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D7166" w14:textId="77777777" w:rsidR="000E133F" w:rsidRDefault="00EC5ECA">
      <w:r>
        <w:t xml:space="preserve"> </w:t>
      </w:r>
    </w:p>
    <w:p w14:paraId="5AB40748" w14:textId="77777777" w:rsidR="000E133F" w:rsidRDefault="00EC5ECA">
      <w:r>
        <w:t xml:space="preserve"> </w:t>
      </w:r>
    </w:p>
    <w:p w14:paraId="47883BF5" w14:textId="77777777" w:rsidR="000E133F" w:rsidRDefault="00EC5ECA">
      <w:r>
        <w:t xml:space="preserve"> </w:t>
      </w:r>
    </w:p>
    <w:p w14:paraId="507107EF" w14:textId="77777777" w:rsidR="000E133F" w:rsidRDefault="00EC5ECA">
      <w:r>
        <w:t xml:space="preserve"> </w:t>
      </w:r>
    </w:p>
    <w:p w14:paraId="1B4A452D" w14:textId="77777777" w:rsidR="000E133F" w:rsidRDefault="00EC5ECA">
      <w:r>
        <w:t xml:space="preserve"> </w:t>
      </w:r>
    </w:p>
    <w:p w14:paraId="0B4C91AA" w14:textId="77777777" w:rsidR="000E133F" w:rsidRDefault="00EC5ECA">
      <w:pPr>
        <w:spacing w:after="80"/>
        <w:jc w:val="center"/>
      </w:pPr>
      <w:r>
        <w:rPr>
          <w:b/>
          <w:bCs/>
          <w:caps/>
          <w:sz w:val="64"/>
          <w:szCs w:val="64"/>
        </w:rPr>
        <w:t>EASTERN ORTHODOXY</w:t>
      </w:r>
    </w:p>
    <w:p w14:paraId="137CD0B9" w14:textId="77777777" w:rsidR="000E133F" w:rsidRDefault="00EC5ECA">
      <w:pPr>
        <w:spacing w:after="80"/>
        <w:jc w:val="center"/>
      </w:pPr>
      <w:r>
        <w:rPr>
          <w:caps/>
          <w:color w:val="555555"/>
          <w:sz w:val="40"/>
          <w:szCs w:val="40"/>
        </w:rPr>
        <w:t>AND THE</w:t>
      </w:r>
    </w:p>
    <w:p w14:paraId="365FF1E5" w14:textId="77777777" w:rsidR="000E133F" w:rsidRDefault="00EC5ECA">
      <w:pPr>
        <w:spacing w:after="240"/>
        <w:jc w:val="center"/>
      </w:pPr>
      <w:r>
        <w:rPr>
          <w:b/>
          <w:bCs/>
          <w:caps/>
          <w:color w:val="1E3A4F"/>
          <w:sz w:val="64"/>
          <w:szCs w:val="64"/>
        </w:rPr>
        <w:t>REFORMED FAITH</w:t>
      </w:r>
    </w:p>
    <w:p w14:paraId="19CFA9DF" w14:textId="77777777" w:rsidR="000E133F" w:rsidRDefault="00EC5ECA">
      <w:pPr>
        <w:pBdr>
          <w:bottom w:val="single" w:sz="4" w:space="0" w:color="AAAAAA"/>
        </w:pBdr>
        <w:spacing w:after="240"/>
        <w:jc w:val="center"/>
      </w:pPr>
      <w:r>
        <w:t xml:space="preserve"> </w:t>
      </w:r>
    </w:p>
    <w:p w14:paraId="4EB49505" w14:textId="77777777" w:rsidR="000E133F" w:rsidRDefault="00EC5ECA">
      <w:r>
        <w:t xml:space="preserve"> </w:t>
      </w:r>
    </w:p>
    <w:p w14:paraId="00C5C5D3" w14:textId="77777777" w:rsidR="000E133F" w:rsidRDefault="00EC5ECA">
      <w:pPr>
        <w:spacing w:after="120"/>
        <w:jc w:val="center"/>
      </w:pPr>
      <w:r>
        <w:rPr>
          <w:i/>
          <w:iCs/>
          <w:color w:val="333333"/>
          <w:sz w:val="30"/>
          <w:szCs w:val="30"/>
        </w:rPr>
        <w:t>An Exhaustive Seminary-Level Theological Treatise</w:t>
      </w:r>
    </w:p>
    <w:p w14:paraId="3E42DD6F" w14:textId="77777777" w:rsidR="000E133F" w:rsidRDefault="00EC5ECA">
      <w:r>
        <w:t xml:space="preserve"> </w:t>
      </w:r>
    </w:p>
    <w:p w14:paraId="2635C47E" w14:textId="77777777" w:rsidR="000E133F" w:rsidRDefault="00EC5ECA">
      <w:r>
        <w:t xml:space="preserve"> </w:t>
      </w:r>
    </w:p>
    <w:p w14:paraId="77BFDA8E" w14:textId="77777777" w:rsidR="000E133F" w:rsidRDefault="00EC5ECA">
      <w:pPr>
        <w:spacing w:after="80"/>
        <w:jc w:val="center"/>
      </w:pPr>
      <w:r>
        <w:rPr>
          <w:b/>
          <w:bCs/>
          <w:caps/>
          <w:color w:val="1E3A4F"/>
          <w:sz w:val="26"/>
          <w:szCs w:val="26"/>
        </w:rPr>
        <w:t>PART ONE</w:t>
      </w:r>
    </w:p>
    <w:p w14:paraId="1630700D" w14:textId="77777777" w:rsidR="000E133F" w:rsidRDefault="00EC5ECA">
      <w:pPr>
        <w:spacing w:after="60"/>
        <w:jc w:val="center"/>
      </w:pPr>
      <w:r>
        <w:rPr>
          <w:i/>
          <w:iCs/>
          <w:color w:val="444444"/>
        </w:rPr>
        <w:t>The Eastern Orthodox Tradition:</w:t>
      </w:r>
    </w:p>
    <w:p w14:paraId="5B475CF1" w14:textId="77777777" w:rsidR="000E133F" w:rsidRDefault="00EC5ECA">
      <w:pPr>
        <w:spacing w:after="240"/>
        <w:jc w:val="center"/>
      </w:pPr>
      <w:r>
        <w:rPr>
          <w:color w:val="444444"/>
        </w:rPr>
        <w:t>History, Theology, and Ecumenical Engagement</w:t>
      </w:r>
    </w:p>
    <w:p w14:paraId="5BC5688F" w14:textId="77777777" w:rsidR="000E133F" w:rsidRDefault="00EC5ECA">
      <w:pPr>
        <w:spacing w:after="80"/>
        <w:jc w:val="center"/>
      </w:pPr>
      <w:r>
        <w:rPr>
          <w:b/>
          <w:bCs/>
          <w:caps/>
          <w:color w:val="1E3A4F"/>
          <w:sz w:val="26"/>
          <w:szCs w:val="26"/>
        </w:rPr>
        <w:t>PART TWO</w:t>
      </w:r>
    </w:p>
    <w:p w14:paraId="3F491C14" w14:textId="77777777" w:rsidR="000E133F" w:rsidRDefault="00EC5ECA">
      <w:pPr>
        <w:spacing w:after="60"/>
        <w:jc w:val="center"/>
      </w:pPr>
      <w:r>
        <w:rPr>
          <w:i/>
          <w:iCs/>
          <w:color w:val="444444"/>
        </w:rPr>
        <w:t>A Reformed Confessional Response:</w:t>
      </w:r>
    </w:p>
    <w:p w14:paraId="72C6F4D8" w14:textId="77777777" w:rsidR="000E133F" w:rsidRDefault="00EC5ECA">
      <w:pPr>
        <w:spacing w:after="240"/>
        <w:jc w:val="center"/>
      </w:pPr>
      <w:r>
        <w:rPr>
          <w:color w:val="444444"/>
        </w:rPr>
        <w:t>Scripture, Grace, Justification, and the Gospel</w:t>
      </w:r>
    </w:p>
    <w:p w14:paraId="55ABEA8B" w14:textId="77777777" w:rsidR="000E133F" w:rsidRDefault="00EC5ECA">
      <w:pPr>
        <w:pBdr>
          <w:top w:val="single" w:sz="4" w:space="0" w:color="AAAAAA"/>
        </w:pBdr>
        <w:spacing w:before="40" w:after="200"/>
        <w:jc w:val="center"/>
      </w:pPr>
      <w:r>
        <w:t xml:space="preserve"> </w:t>
      </w:r>
    </w:p>
    <w:p w14:paraId="3F51BBE0" w14:textId="77777777" w:rsidR="000E133F" w:rsidRDefault="00EC5ECA">
      <w:pPr>
        <w:jc w:val="center"/>
      </w:pPr>
      <w:r>
        <w:rPr>
          <w:i/>
          <w:iCs/>
          <w:color w:val="888888"/>
          <w:sz w:val="22"/>
          <w:szCs w:val="22"/>
        </w:rPr>
        <w:t>Grounded in the Second London Baptist Confession of Faith (1689)</w:t>
      </w:r>
    </w:p>
    <w:p w14:paraId="3DA15100" w14:textId="77777777" w:rsidR="000E133F" w:rsidRDefault="00EC5ECA">
      <w:r>
        <w:br w:type="page"/>
      </w:r>
    </w:p>
    <w:p w14:paraId="70AD318F" w14:textId="77777777" w:rsidR="000E133F" w:rsidRDefault="00EC5ECA">
      <w:pPr>
        <w:pStyle w:val="Heading1"/>
      </w:pPr>
      <w:bookmarkStart w:id="0" w:name="_Toc232765227"/>
      <w:r>
        <w:lastRenderedPageBreak/>
        <w:t>INTRODUCTION</w:t>
      </w:r>
      <w:bookmarkEnd w:id="0"/>
    </w:p>
    <w:p w14:paraId="3F531C82" w14:textId="77777777" w:rsidR="000E133F" w:rsidRDefault="00EC5ECA">
      <w:pPr>
        <w:spacing w:before="60" w:after="140" w:line="360" w:lineRule="auto"/>
      </w:pPr>
      <w:r>
        <w:t>This volume represents one of the most significant encounters available to the serious Reformed Protestant student: the encounter with Eastern Orthodoxy at full theological depth. It is not a survey, a pamphlet, or a polemical broadside. It is an exhaustive theological treatise of approximately 138,000 words — the equivalent of a doctoral dissertation — designed to equip the pastor, the seminary student, the elder, and the serious lay student to understand Eastern Orthodox Christianity in its full historica</w:t>
      </w:r>
      <w:r>
        <w:t>l, theological, and ecumenical dimensions, and to evaluate its claims by the standard of Holy Scripture as confessed in the Second London Baptist Confession of Faith (1689).</w:t>
      </w:r>
    </w:p>
    <w:p w14:paraId="72796DE2" w14:textId="77777777" w:rsidR="000E133F" w:rsidRDefault="00EC5ECA">
      <w:pPr>
        <w:spacing w:before="60" w:after="140" w:line="360" w:lineRule="auto"/>
      </w:pPr>
      <w:r>
        <w:t>The volume is organized in two parts that are methodologically distinct but intellectually inseparable. Part One is an act of theological hospitality. Before any tradition can be fairly evaluated, it must be genuinely understood — understood, that is, on its own terms, in its own voice, and according to its own internal logic. To critique a caricature is intellectually dishonest. Part One therefore suspends the Reformed framework as far as is possible and allows Eastern Orthodoxy to present its own case: it</w:t>
      </w:r>
      <w:r>
        <w:t>s history from the Pentecost origins of the five great sees through the Seven Ecumenical Councils, the Great Schism, the sack of Constantinople, and the modern diaspora; its theology of the Trinity and the Palamite essence-energies distinction; its soteriology of theosis and Christus Victor; its seven holy mysteries; its theology of Holy Tradition and the Septuagint canon; its Mariology and the veneration of saints; its iconographic theology and hesychast spiritual tradition; its ecumenical engagements; and</w:t>
      </w:r>
      <w:r>
        <w:t xml:space="preserve"> the thought of its nine most significant theologians from John of Damascus to Kallistos Ware.</w:t>
      </w:r>
    </w:p>
    <w:p w14:paraId="37795BF5" w14:textId="77777777" w:rsidR="000E133F" w:rsidRDefault="00EC5ECA">
      <w:pPr>
        <w:spacing w:before="60" w:after="140" w:line="360" w:lineRule="auto"/>
      </w:pPr>
      <w:r>
        <w:t xml:space="preserve">Part Two then turns the full instrument of the Reformed confessional tradition upon each of these claims. The governing principle is 2LBC 1.10: "The supreme judge by which all controversies of religion are to be determined, and all decrees of councils, opinions of ancient writers, doctrines of men, and private spirits are to be examined, and in whose sentence we are to rest, can be no other but the Holy Scripture delivered by the Spirit." Beginning with the governing epistemological divide — sola Scriptura </w:t>
      </w:r>
      <w:r>
        <w:t xml:space="preserve">versus Holy Tradition — and proceeding through justification by faith versus theosis, original sin versus ancestral sin, penal substitution versus Christus Victor, Reformed </w:t>
      </w:r>
      <w:r>
        <w:lastRenderedPageBreak/>
        <w:t>ecclesiology versus conciliarism, two ordinances versus seven mysteries, Mariology, iconography, the invocation of saints, and the Filioque, Part Two brings Scripture, the 2LBC, the Westminster Standards, the Heidelberg Catechism, the Belgic Confession, and the major voices of the Reformed tradition (Calvin, Owen, Turretin, Horton, Barre</w:t>
      </w:r>
      <w:r>
        <w:t>tt, Letham) to bear on Orthodoxy's strongest theological arguments. Orthodox theologians — Palamas, Lossky, Schmemann, Ware, Meyendorff, Florovsky — are engaged by name and their positions are stated charitably before being evaluated critically.</w:t>
      </w:r>
    </w:p>
    <w:p w14:paraId="45C98C5D" w14:textId="77777777" w:rsidR="000E133F" w:rsidRDefault="00EC5ECA">
      <w:pPr>
        <w:spacing w:before="60" w:after="140" w:line="360" w:lineRule="auto"/>
      </w:pPr>
      <w:r>
        <w:t>The purpose is not polemic but faithfulness. The Apostle Paul could write with tears of those who preached a different gospel while pronouncing an anathema upon them (Galatians 1:6–9; Philippians 3:18). This volume stands in that tradition: full respect for those who bear the name of Christ, uncompromising clarity about the gospel by which sinners stand or fall before a holy God.</w:t>
      </w:r>
    </w:p>
    <w:p w14:paraId="601A94C4" w14:textId="77777777" w:rsidR="000E133F" w:rsidRDefault="00EC5ECA">
      <w:r>
        <w:br w:type="page"/>
      </w:r>
    </w:p>
    <w:p w14:paraId="76C9F9E4" w14:textId="77777777" w:rsidR="000E133F" w:rsidRDefault="00EC5ECA">
      <w:pPr>
        <w:pStyle w:val="Heading1"/>
      </w:pPr>
      <w:bookmarkStart w:id="1" w:name="_Toc232765228"/>
      <w:r>
        <w:lastRenderedPageBreak/>
        <w:t>TABLE OF CONTENTS</w:t>
      </w:r>
      <w:bookmarkEnd w:id="1"/>
    </w:p>
    <w:sdt>
      <w:sdtPr>
        <w:alias w:val="Table of Contents"/>
        <w:id w:val="1187261999"/>
      </w:sdtPr>
      <w:sdtEndPr/>
      <w:sdtContent>
        <w:p w14:paraId="3D84A61A" w14:textId="77777777" w:rsidR="00104ABC" w:rsidRDefault="00EC5ECA">
          <w:pPr>
            <w:pStyle w:val="TOC1"/>
            <w:tabs>
              <w:tab w:val="right" w:leader="dot" w:pos="9350"/>
            </w:tabs>
            <w:rPr>
              <w:noProof/>
            </w:rPr>
          </w:pPr>
          <w:r>
            <w:fldChar w:fldCharType="begin"/>
          </w:r>
          <w:r>
            <w:instrText>TOC \h \o "1-3"</w:instrText>
          </w:r>
          <w:r>
            <w:fldChar w:fldCharType="separate"/>
          </w:r>
          <w:hyperlink w:anchor="_Toc232765227" w:history="1">
            <w:r w:rsidR="00104ABC" w:rsidRPr="00E435F4">
              <w:rPr>
                <w:rStyle w:val="Hyperlink"/>
                <w:noProof/>
              </w:rPr>
              <w:t>INTRODUCTION</w:t>
            </w:r>
            <w:r w:rsidR="00104ABC">
              <w:rPr>
                <w:noProof/>
              </w:rPr>
              <w:tab/>
            </w:r>
            <w:r w:rsidR="00104ABC">
              <w:rPr>
                <w:noProof/>
              </w:rPr>
              <w:fldChar w:fldCharType="begin"/>
            </w:r>
            <w:r w:rsidR="00104ABC">
              <w:rPr>
                <w:noProof/>
              </w:rPr>
              <w:instrText xml:space="preserve"> PAGEREF _Toc232765227 \h </w:instrText>
            </w:r>
            <w:r w:rsidR="00104ABC">
              <w:rPr>
                <w:noProof/>
              </w:rPr>
            </w:r>
            <w:r w:rsidR="00104ABC">
              <w:rPr>
                <w:noProof/>
              </w:rPr>
              <w:fldChar w:fldCharType="separate"/>
            </w:r>
            <w:r w:rsidR="00104ABC">
              <w:rPr>
                <w:noProof/>
              </w:rPr>
              <w:t>1</w:t>
            </w:r>
            <w:r w:rsidR="00104ABC">
              <w:rPr>
                <w:noProof/>
              </w:rPr>
              <w:fldChar w:fldCharType="end"/>
            </w:r>
          </w:hyperlink>
        </w:p>
        <w:p w14:paraId="24E4FA1B" w14:textId="77777777" w:rsidR="00104ABC" w:rsidRDefault="00104ABC">
          <w:pPr>
            <w:pStyle w:val="TOC1"/>
            <w:tabs>
              <w:tab w:val="right" w:leader="dot" w:pos="9350"/>
            </w:tabs>
            <w:rPr>
              <w:noProof/>
            </w:rPr>
          </w:pPr>
          <w:hyperlink w:anchor="_Toc232765228" w:history="1">
            <w:r w:rsidRPr="00E435F4">
              <w:rPr>
                <w:rStyle w:val="Hyperlink"/>
                <w:noProof/>
              </w:rPr>
              <w:t>TABLE OF CONTENTS</w:t>
            </w:r>
            <w:r>
              <w:rPr>
                <w:noProof/>
              </w:rPr>
              <w:tab/>
            </w:r>
            <w:r>
              <w:rPr>
                <w:noProof/>
              </w:rPr>
              <w:fldChar w:fldCharType="begin"/>
            </w:r>
            <w:r>
              <w:rPr>
                <w:noProof/>
              </w:rPr>
              <w:instrText xml:space="preserve"> PAGEREF _Toc232765228 \h </w:instrText>
            </w:r>
            <w:r>
              <w:rPr>
                <w:noProof/>
              </w:rPr>
            </w:r>
            <w:r>
              <w:rPr>
                <w:noProof/>
              </w:rPr>
              <w:fldChar w:fldCharType="separate"/>
            </w:r>
            <w:r>
              <w:rPr>
                <w:noProof/>
              </w:rPr>
              <w:t>1</w:t>
            </w:r>
            <w:r>
              <w:rPr>
                <w:noProof/>
              </w:rPr>
              <w:fldChar w:fldCharType="end"/>
            </w:r>
          </w:hyperlink>
        </w:p>
        <w:p w14:paraId="7F5B9C4C" w14:textId="77777777" w:rsidR="00104ABC" w:rsidRDefault="00104ABC">
          <w:pPr>
            <w:pStyle w:val="TOC1"/>
            <w:tabs>
              <w:tab w:val="right" w:leader="dot" w:pos="9350"/>
            </w:tabs>
            <w:rPr>
              <w:noProof/>
            </w:rPr>
          </w:pPr>
          <w:hyperlink w:anchor="_Toc232765229" w:history="1">
            <w:r w:rsidRPr="00E435F4">
              <w:rPr>
                <w:rStyle w:val="Hyperlink"/>
                <w:noProof/>
              </w:rPr>
              <w:t>EASTERN ORTHODOXY: A SEMINARY-LEVEL THEOLOGICAL TREATISE</w:t>
            </w:r>
            <w:r>
              <w:rPr>
                <w:noProof/>
              </w:rPr>
              <w:tab/>
            </w:r>
            <w:r>
              <w:rPr>
                <w:noProof/>
              </w:rPr>
              <w:fldChar w:fldCharType="begin"/>
            </w:r>
            <w:r>
              <w:rPr>
                <w:noProof/>
              </w:rPr>
              <w:instrText xml:space="preserve"> PAGEREF _Toc232765229 \h </w:instrText>
            </w:r>
            <w:r>
              <w:rPr>
                <w:noProof/>
              </w:rPr>
            </w:r>
            <w:r>
              <w:rPr>
                <w:noProof/>
              </w:rPr>
              <w:fldChar w:fldCharType="separate"/>
            </w:r>
            <w:r>
              <w:rPr>
                <w:noProof/>
              </w:rPr>
              <w:t>1</w:t>
            </w:r>
            <w:r>
              <w:rPr>
                <w:noProof/>
              </w:rPr>
              <w:fldChar w:fldCharType="end"/>
            </w:r>
          </w:hyperlink>
        </w:p>
        <w:p w14:paraId="7887FC2D" w14:textId="77777777" w:rsidR="00104ABC" w:rsidRDefault="00104ABC">
          <w:pPr>
            <w:pStyle w:val="TOC2"/>
            <w:tabs>
              <w:tab w:val="right" w:leader="dot" w:pos="9350"/>
            </w:tabs>
            <w:rPr>
              <w:noProof/>
            </w:rPr>
          </w:pPr>
          <w:hyperlink w:anchor="_Toc232765230" w:history="1">
            <w:r w:rsidRPr="00E435F4">
              <w:rPr>
                <w:rStyle w:val="Hyperlink"/>
                <w:noProof/>
              </w:rPr>
              <w:t>Part One: History, Ecclesiology, and Theology Proper</w:t>
            </w:r>
            <w:r>
              <w:rPr>
                <w:noProof/>
              </w:rPr>
              <w:tab/>
            </w:r>
            <w:r>
              <w:rPr>
                <w:noProof/>
              </w:rPr>
              <w:fldChar w:fldCharType="begin"/>
            </w:r>
            <w:r>
              <w:rPr>
                <w:noProof/>
              </w:rPr>
              <w:instrText xml:space="preserve"> PAGEREF _Toc232765230 \h </w:instrText>
            </w:r>
            <w:r>
              <w:rPr>
                <w:noProof/>
              </w:rPr>
            </w:r>
            <w:r>
              <w:rPr>
                <w:noProof/>
              </w:rPr>
              <w:fldChar w:fldCharType="separate"/>
            </w:r>
            <w:r>
              <w:rPr>
                <w:noProof/>
              </w:rPr>
              <w:t>1</w:t>
            </w:r>
            <w:r>
              <w:rPr>
                <w:noProof/>
              </w:rPr>
              <w:fldChar w:fldCharType="end"/>
            </w:r>
          </w:hyperlink>
        </w:p>
        <w:p w14:paraId="13E25232" w14:textId="77777777" w:rsidR="00104ABC" w:rsidRDefault="00104ABC">
          <w:pPr>
            <w:pStyle w:val="TOC1"/>
            <w:tabs>
              <w:tab w:val="right" w:leader="dot" w:pos="9350"/>
            </w:tabs>
            <w:rPr>
              <w:noProof/>
            </w:rPr>
          </w:pPr>
          <w:hyperlink w:anchor="_Toc232765231" w:history="1">
            <w:r w:rsidRPr="00E435F4">
              <w:rPr>
                <w:rStyle w:val="Hyperlink"/>
                <w:noProof/>
              </w:rPr>
              <w:t>CHAPTER ONE</w:t>
            </w:r>
            <w:r>
              <w:rPr>
                <w:noProof/>
              </w:rPr>
              <w:tab/>
            </w:r>
            <w:r>
              <w:rPr>
                <w:noProof/>
              </w:rPr>
              <w:fldChar w:fldCharType="begin"/>
            </w:r>
            <w:r>
              <w:rPr>
                <w:noProof/>
              </w:rPr>
              <w:instrText xml:space="preserve"> PAGEREF _Toc232765231 \h </w:instrText>
            </w:r>
            <w:r>
              <w:rPr>
                <w:noProof/>
              </w:rPr>
            </w:r>
            <w:r>
              <w:rPr>
                <w:noProof/>
              </w:rPr>
              <w:fldChar w:fldCharType="separate"/>
            </w:r>
            <w:r>
              <w:rPr>
                <w:noProof/>
              </w:rPr>
              <w:t>1</w:t>
            </w:r>
            <w:r>
              <w:rPr>
                <w:noProof/>
              </w:rPr>
              <w:fldChar w:fldCharType="end"/>
            </w:r>
          </w:hyperlink>
        </w:p>
        <w:p w14:paraId="6C7807C7" w14:textId="77777777" w:rsidR="00104ABC" w:rsidRDefault="00104ABC">
          <w:pPr>
            <w:pStyle w:val="TOC1"/>
            <w:tabs>
              <w:tab w:val="right" w:leader="dot" w:pos="9350"/>
            </w:tabs>
            <w:rPr>
              <w:noProof/>
            </w:rPr>
          </w:pPr>
          <w:hyperlink w:anchor="_Toc232765232" w:history="1">
            <w:r w:rsidRPr="00E435F4">
              <w:rPr>
                <w:rStyle w:val="Hyperlink"/>
                <w:noProof/>
              </w:rPr>
              <w:t>THE HISTORICAL ORIGINS AND DEVELOPMENT OF EASTERN ORTHODOXY</w:t>
            </w:r>
            <w:r>
              <w:rPr>
                <w:noProof/>
              </w:rPr>
              <w:tab/>
            </w:r>
            <w:r>
              <w:rPr>
                <w:noProof/>
              </w:rPr>
              <w:fldChar w:fldCharType="begin"/>
            </w:r>
            <w:r>
              <w:rPr>
                <w:noProof/>
              </w:rPr>
              <w:instrText xml:space="preserve"> PAGEREF _Toc232765232 \h </w:instrText>
            </w:r>
            <w:r>
              <w:rPr>
                <w:noProof/>
              </w:rPr>
            </w:r>
            <w:r>
              <w:rPr>
                <w:noProof/>
              </w:rPr>
              <w:fldChar w:fldCharType="separate"/>
            </w:r>
            <w:r>
              <w:rPr>
                <w:noProof/>
              </w:rPr>
              <w:t>1</w:t>
            </w:r>
            <w:r>
              <w:rPr>
                <w:noProof/>
              </w:rPr>
              <w:fldChar w:fldCharType="end"/>
            </w:r>
          </w:hyperlink>
        </w:p>
        <w:p w14:paraId="53CF3F4C" w14:textId="77777777" w:rsidR="00104ABC" w:rsidRDefault="00104ABC">
          <w:pPr>
            <w:pStyle w:val="TOC2"/>
            <w:tabs>
              <w:tab w:val="right" w:leader="dot" w:pos="9350"/>
            </w:tabs>
            <w:rPr>
              <w:noProof/>
            </w:rPr>
          </w:pPr>
          <w:hyperlink w:anchor="_Toc232765233" w:history="1">
            <w:r w:rsidRPr="00E435F4">
              <w:rPr>
                <w:rStyle w:val="Hyperlink"/>
                <w:noProof/>
              </w:rPr>
              <w:t>1.1 The Apostolic Foundations of the Great Sees</w:t>
            </w:r>
            <w:r>
              <w:rPr>
                <w:noProof/>
              </w:rPr>
              <w:tab/>
            </w:r>
            <w:r>
              <w:rPr>
                <w:noProof/>
              </w:rPr>
              <w:fldChar w:fldCharType="begin"/>
            </w:r>
            <w:r>
              <w:rPr>
                <w:noProof/>
              </w:rPr>
              <w:instrText xml:space="preserve"> PAGEREF _Toc232765233 \h </w:instrText>
            </w:r>
            <w:r>
              <w:rPr>
                <w:noProof/>
              </w:rPr>
            </w:r>
            <w:r>
              <w:rPr>
                <w:noProof/>
              </w:rPr>
              <w:fldChar w:fldCharType="separate"/>
            </w:r>
            <w:r>
              <w:rPr>
                <w:noProof/>
              </w:rPr>
              <w:t>1</w:t>
            </w:r>
            <w:r>
              <w:rPr>
                <w:noProof/>
              </w:rPr>
              <w:fldChar w:fldCharType="end"/>
            </w:r>
          </w:hyperlink>
        </w:p>
        <w:p w14:paraId="50BC36ED" w14:textId="77777777" w:rsidR="00104ABC" w:rsidRDefault="00104ABC">
          <w:pPr>
            <w:pStyle w:val="TOC2"/>
            <w:tabs>
              <w:tab w:val="right" w:leader="dot" w:pos="9350"/>
            </w:tabs>
            <w:rPr>
              <w:noProof/>
            </w:rPr>
          </w:pPr>
          <w:hyperlink w:anchor="_Toc232765234" w:history="1">
            <w:r w:rsidRPr="00E435F4">
              <w:rPr>
                <w:rStyle w:val="Hyperlink"/>
                <w:noProof/>
              </w:rPr>
              <w:t>1.2 The Pentarchy: Theory and Contested Reality</w:t>
            </w:r>
            <w:r>
              <w:rPr>
                <w:noProof/>
              </w:rPr>
              <w:tab/>
            </w:r>
            <w:r>
              <w:rPr>
                <w:noProof/>
              </w:rPr>
              <w:fldChar w:fldCharType="begin"/>
            </w:r>
            <w:r>
              <w:rPr>
                <w:noProof/>
              </w:rPr>
              <w:instrText xml:space="preserve"> PAGEREF _Toc232765234 \h </w:instrText>
            </w:r>
            <w:r>
              <w:rPr>
                <w:noProof/>
              </w:rPr>
            </w:r>
            <w:r>
              <w:rPr>
                <w:noProof/>
              </w:rPr>
              <w:fldChar w:fldCharType="separate"/>
            </w:r>
            <w:r>
              <w:rPr>
                <w:noProof/>
              </w:rPr>
              <w:t>1</w:t>
            </w:r>
            <w:r>
              <w:rPr>
                <w:noProof/>
              </w:rPr>
              <w:fldChar w:fldCharType="end"/>
            </w:r>
          </w:hyperlink>
        </w:p>
        <w:p w14:paraId="5F9406A6" w14:textId="77777777" w:rsidR="00104ABC" w:rsidRDefault="00104ABC">
          <w:pPr>
            <w:pStyle w:val="TOC2"/>
            <w:tabs>
              <w:tab w:val="right" w:leader="dot" w:pos="9350"/>
            </w:tabs>
            <w:rPr>
              <w:noProof/>
            </w:rPr>
          </w:pPr>
          <w:hyperlink w:anchor="_Toc232765235" w:history="1">
            <w:r w:rsidRPr="00E435F4">
              <w:rPr>
                <w:rStyle w:val="Hyperlink"/>
                <w:noProof/>
              </w:rPr>
              <w:t>1.3 The Photian Schism (863–880): The First Great Rupture</w:t>
            </w:r>
            <w:r>
              <w:rPr>
                <w:noProof/>
              </w:rPr>
              <w:tab/>
            </w:r>
            <w:r>
              <w:rPr>
                <w:noProof/>
              </w:rPr>
              <w:fldChar w:fldCharType="begin"/>
            </w:r>
            <w:r>
              <w:rPr>
                <w:noProof/>
              </w:rPr>
              <w:instrText xml:space="preserve"> PAGEREF _Toc232765235 \h </w:instrText>
            </w:r>
            <w:r>
              <w:rPr>
                <w:noProof/>
              </w:rPr>
            </w:r>
            <w:r>
              <w:rPr>
                <w:noProof/>
              </w:rPr>
              <w:fldChar w:fldCharType="separate"/>
            </w:r>
            <w:r>
              <w:rPr>
                <w:noProof/>
              </w:rPr>
              <w:t>1</w:t>
            </w:r>
            <w:r>
              <w:rPr>
                <w:noProof/>
              </w:rPr>
              <w:fldChar w:fldCharType="end"/>
            </w:r>
          </w:hyperlink>
        </w:p>
        <w:p w14:paraId="4CD0055E" w14:textId="77777777" w:rsidR="00104ABC" w:rsidRDefault="00104ABC">
          <w:pPr>
            <w:pStyle w:val="TOC2"/>
            <w:tabs>
              <w:tab w:val="right" w:leader="dot" w:pos="9350"/>
            </w:tabs>
            <w:rPr>
              <w:noProof/>
            </w:rPr>
          </w:pPr>
          <w:hyperlink w:anchor="_Toc232765236" w:history="1">
            <w:r w:rsidRPr="00E435F4">
              <w:rPr>
                <w:rStyle w:val="Hyperlink"/>
                <w:noProof/>
              </w:rPr>
              <w:t>1.4 The Great Schism of 1054: Documents, Theology, and Legacy</w:t>
            </w:r>
            <w:r>
              <w:rPr>
                <w:noProof/>
              </w:rPr>
              <w:tab/>
            </w:r>
            <w:r>
              <w:rPr>
                <w:noProof/>
              </w:rPr>
              <w:fldChar w:fldCharType="begin"/>
            </w:r>
            <w:r>
              <w:rPr>
                <w:noProof/>
              </w:rPr>
              <w:instrText xml:space="preserve"> PAGEREF _Toc232765236 \h </w:instrText>
            </w:r>
            <w:r>
              <w:rPr>
                <w:noProof/>
              </w:rPr>
            </w:r>
            <w:r>
              <w:rPr>
                <w:noProof/>
              </w:rPr>
              <w:fldChar w:fldCharType="separate"/>
            </w:r>
            <w:r>
              <w:rPr>
                <w:noProof/>
              </w:rPr>
              <w:t>1</w:t>
            </w:r>
            <w:r>
              <w:rPr>
                <w:noProof/>
              </w:rPr>
              <w:fldChar w:fldCharType="end"/>
            </w:r>
          </w:hyperlink>
        </w:p>
        <w:p w14:paraId="636AB2AD" w14:textId="77777777" w:rsidR="00104ABC" w:rsidRDefault="00104ABC">
          <w:pPr>
            <w:pStyle w:val="TOC2"/>
            <w:tabs>
              <w:tab w:val="right" w:leader="dot" w:pos="9350"/>
            </w:tabs>
            <w:rPr>
              <w:noProof/>
            </w:rPr>
          </w:pPr>
          <w:hyperlink w:anchor="_Toc232765237" w:history="1">
            <w:r w:rsidRPr="00E435F4">
              <w:rPr>
                <w:rStyle w:val="Hyperlink"/>
                <w:noProof/>
              </w:rPr>
              <w:t>1.5 The Fourth Crusade (1204): The Theological Wound</w:t>
            </w:r>
            <w:r>
              <w:rPr>
                <w:noProof/>
              </w:rPr>
              <w:tab/>
            </w:r>
            <w:r>
              <w:rPr>
                <w:noProof/>
              </w:rPr>
              <w:fldChar w:fldCharType="begin"/>
            </w:r>
            <w:r>
              <w:rPr>
                <w:noProof/>
              </w:rPr>
              <w:instrText xml:space="preserve"> PAGEREF _Toc232765237 \h </w:instrText>
            </w:r>
            <w:r>
              <w:rPr>
                <w:noProof/>
              </w:rPr>
            </w:r>
            <w:r>
              <w:rPr>
                <w:noProof/>
              </w:rPr>
              <w:fldChar w:fldCharType="separate"/>
            </w:r>
            <w:r>
              <w:rPr>
                <w:noProof/>
              </w:rPr>
              <w:t>1</w:t>
            </w:r>
            <w:r>
              <w:rPr>
                <w:noProof/>
              </w:rPr>
              <w:fldChar w:fldCharType="end"/>
            </w:r>
          </w:hyperlink>
        </w:p>
        <w:p w14:paraId="0F557449" w14:textId="77777777" w:rsidR="00104ABC" w:rsidRDefault="00104ABC">
          <w:pPr>
            <w:pStyle w:val="TOC2"/>
            <w:tabs>
              <w:tab w:val="right" w:leader="dot" w:pos="9350"/>
            </w:tabs>
            <w:rPr>
              <w:noProof/>
            </w:rPr>
          </w:pPr>
          <w:hyperlink w:anchor="_Toc232765238" w:history="1">
            <w:r w:rsidRPr="00E435F4">
              <w:rPr>
                <w:rStyle w:val="Hyperlink"/>
                <w:noProof/>
              </w:rPr>
              <w:t>1.6 The Fall of Constantinople (1453) and Its Theological Legacy</w:t>
            </w:r>
            <w:r>
              <w:rPr>
                <w:noProof/>
              </w:rPr>
              <w:tab/>
            </w:r>
            <w:r>
              <w:rPr>
                <w:noProof/>
              </w:rPr>
              <w:fldChar w:fldCharType="begin"/>
            </w:r>
            <w:r>
              <w:rPr>
                <w:noProof/>
              </w:rPr>
              <w:instrText xml:space="preserve"> PAGEREF _Toc232765238 \h </w:instrText>
            </w:r>
            <w:r>
              <w:rPr>
                <w:noProof/>
              </w:rPr>
            </w:r>
            <w:r>
              <w:rPr>
                <w:noProof/>
              </w:rPr>
              <w:fldChar w:fldCharType="separate"/>
            </w:r>
            <w:r>
              <w:rPr>
                <w:noProof/>
              </w:rPr>
              <w:t>1</w:t>
            </w:r>
            <w:r>
              <w:rPr>
                <w:noProof/>
              </w:rPr>
              <w:fldChar w:fldCharType="end"/>
            </w:r>
          </w:hyperlink>
        </w:p>
        <w:p w14:paraId="5C5ADB66" w14:textId="77777777" w:rsidR="00104ABC" w:rsidRDefault="00104ABC">
          <w:pPr>
            <w:pStyle w:val="TOC2"/>
            <w:tabs>
              <w:tab w:val="right" w:leader="dot" w:pos="9350"/>
            </w:tabs>
            <w:rPr>
              <w:noProof/>
            </w:rPr>
          </w:pPr>
          <w:hyperlink w:anchor="_Toc232765239" w:history="1">
            <w:r w:rsidRPr="00E435F4">
              <w:rPr>
                <w:rStyle w:val="Hyperlink"/>
                <w:noProof/>
              </w:rPr>
              <w:t>1.7 Modern Orthodoxy: Autocephaly, Diaspora, and the Contemporary Landscape</w:t>
            </w:r>
            <w:r>
              <w:rPr>
                <w:noProof/>
              </w:rPr>
              <w:tab/>
            </w:r>
            <w:r>
              <w:rPr>
                <w:noProof/>
              </w:rPr>
              <w:fldChar w:fldCharType="begin"/>
            </w:r>
            <w:r>
              <w:rPr>
                <w:noProof/>
              </w:rPr>
              <w:instrText xml:space="preserve"> PAGEREF _Toc232765239 \h </w:instrText>
            </w:r>
            <w:r>
              <w:rPr>
                <w:noProof/>
              </w:rPr>
            </w:r>
            <w:r>
              <w:rPr>
                <w:noProof/>
              </w:rPr>
              <w:fldChar w:fldCharType="separate"/>
            </w:r>
            <w:r>
              <w:rPr>
                <w:noProof/>
              </w:rPr>
              <w:t>1</w:t>
            </w:r>
            <w:r>
              <w:rPr>
                <w:noProof/>
              </w:rPr>
              <w:fldChar w:fldCharType="end"/>
            </w:r>
          </w:hyperlink>
        </w:p>
        <w:p w14:paraId="249FD1D1" w14:textId="77777777" w:rsidR="00104ABC" w:rsidRDefault="00104ABC">
          <w:pPr>
            <w:pStyle w:val="TOC1"/>
            <w:tabs>
              <w:tab w:val="right" w:leader="dot" w:pos="9350"/>
            </w:tabs>
            <w:rPr>
              <w:noProof/>
            </w:rPr>
          </w:pPr>
          <w:hyperlink w:anchor="_Toc232765240" w:history="1">
            <w:r w:rsidRPr="00E435F4">
              <w:rPr>
                <w:rStyle w:val="Hyperlink"/>
                <w:noProof/>
              </w:rPr>
              <w:t>CHAPTER TWO</w:t>
            </w:r>
            <w:r>
              <w:rPr>
                <w:noProof/>
              </w:rPr>
              <w:tab/>
            </w:r>
            <w:r>
              <w:rPr>
                <w:noProof/>
              </w:rPr>
              <w:fldChar w:fldCharType="begin"/>
            </w:r>
            <w:r>
              <w:rPr>
                <w:noProof/>
              </w:rPr>
              <w:instrText xml:space="preserve"> PAGEREF _Toc232765240 \h </w:instrText>
            </w:r>
            <w:r>
              <w:rPr>
                <w:noProof/>
              </w:rPr>
            </w:r>
            <w:r>
              <w:rPr>
                <w:noProof/>
              </w:rPr>
              <w:fldChar w:fldCharType="separate"/>
            </w:r>
            <w:r>
              <w:rPr>
                <w:noProof/>
              </w:rPr>
              <w:t>1</w:t>
            </w:r>
            <w:r>
              <w:rPr>
                <w:noProof/>
              </w:rPr>
              <w:fldChar w:fldCharType="end"/>
            </w:r>
          </w:hyperlink>
        </w:p>
        <w:p w14:paraId="2240F8C6" w14:textId="77777777" w:rsidR="00104ABC" w:rsidRDefault="00104ABC">
          <w:pPr>
            <w:pStyle w:val="TOC1"/>
            <w:tabs>
              <w:tab w:val="right" w:leader="dot" w:pos="9350"/>
            </w:tabs>
            <w:rPr>
              <w:noProof/>
            </w:rPr>
          </w:pPr>
          <w:hyperlink w:anchor="_Toc232765241" w:history="1">
            <w:r w:rsidRPr="00E435F4">
              <w:rPr>
                <w:rStyle w:val="Hyperlink"/>
                <w:noProof/>
              </w:rPr>
              <w:t>ORTHODOX ECCLESIOLOGY — CONCILIARITY, PENTARCHY, AND THE SEVEN COUNCILS</w:t>
            </w:r>
            <w:r>
              <w:rPr>
                <w:noProof/>
              </w:rPr>
              <w:tab/>
            </w:r>
            <w:r>
              <w:rPr>
                <w:noProof/>
              </w:rPr>
              <w:fldChar w:fldCharType="begin"/>
            </w:r>
            <w:r>
              <w:rPr>
                <w:noProof/>
              </w:rPr>
              <w:instrText xml:space="preserve"> PAGEREF _Toc232765241 \h </w:instrText>
            </w:r>
            <w:r>
              <w:rPr>
                <w:noProof/>
              </w:rPr>
            </w:r>
            <w:r>
              <w:rPr>
                <w:noProof/>
              </w:rPr>
              <w:fldChar w:fldCharType="separate"/>
            </w:r>
            <w:r>
              <w:rPr>
                <w:noProof/>
              </w:rPr>
              <w:t>1</w:t>
            </w:r>
            <w:r>
              <w:rPr>
                <w:noProof/>
              </w:rPr>
              <w:fldChar w:fldCharType="end"/>
            </w:r>
          </w:hyperlink>
        </w:p>
        <w:p w14:paraId="31948019" w14:textId="77777777" w:rsidR="00104ABC" w:rsidRDefault="00104ABC">
          <w:pPr>
            <w:pStyle w:val="TOC2"/>
            <w:tabs>
              <w:tab w:val="right" w:leader="dot" w:pos="9350"/>
            </w:tabs>
            <w:rPr>
              <w:noProof/>
            </w:rPr>
          </w:pPr>
          <w:hyperlink w:anchor="_Toc232765242" w:history="1">
            <w:r w:rsidRPr="00E435F4">
              <w:rPr>
                <w:rStyle w:val="Hyperlink"/>
                <w:noProof/>
              </w:rPr>
              <w:t>2.1 The Theology of the Local Church and the Eucharistic Ecclesiology of Zizioulas</w:t>
            </w:r>
            <w:r>
              <w:rPr>
                <w:noProof/>
              </w:rPr>
              <w:tab/>
            </w:r>
            <w:r>
              <w:rPr>
                <w:noProof/>
              </w:rPr>
              <w:fldChar w:fldCharType="begin"/>
            </w:r>
            <w:r>
              <w:rPr>
                <w:noProof/>
              </w:rPr>
              <w:instrText xml:space="preserve"> PAGEREF _Toc232765242 \h </w:instrText>
            </w:r>
            <w:r>
              <w:rPr>
                <w:noProof/>
              </w:rPr>
            </w:r>
            <w:r>
              <w:rPr>
                <w:noProof/>
              </w:rPr>
              <w:fldChar w:fldCharType="separate"/>
            </w:r>
            <w:r>
              <w:rPr>
                <w:noProof/>
              </w:rPr>
              <w:t>1</w:t>
            </w:r>
            <w:r>
              <w:rPr>
                <w:noProof/>
              </w:rPr>
              <w:fldChar w:fldCharType="end"/>
            </w:r>
          </w:hyperlink>
        </w:p>
        <w:p w14:paraId="29031374" w14:textId="77777777" w:rsidR="00104ABC" w:rsidRDefault="00104ABC">
          <w:pPr>
            <w:pStyle w:val="TOC2"/>
            <w:tabs>
              <w:tab w:val="right" w:leader="dot" w:pos="9350"/>
            </w:tabs>
            <w:rPr>
              <w:noProof/>
            </w:rPr>
          </w:pPr>
          <w:hyperlink w:anchor="_Toc232765243" w:history="1">
            <w:r w:rsidRPr="00E435F4">
              <w:rPr>
                <w:rStyle w:val="Hyperlink"/>
                <w:noProof/>
              </w:rPr>
              <w:t>2.2 Conciliarity (*Sobornost*) and the Reception of Truth</w:t>
            </w:r>
            <w:r>
              <w:rPr>
                <w:noProof/>
              </w:rPr>
              <w:tab/>
            </w:r>
            <w:r>
              <w:rPr>
                <w:noProof/>
              </w:rPr>
              <w:fldChar w:fldCharType="begin"/>
            </w:r>
            <w:r>
              <w:rPr>
                <w:noProof/>
              </w:rPr>
              <w:instrText xml:space="preserve"> PAGEREF _Toc232765243 \h </w:instrText>
            </w:r>
            <w:r>
              <w:rPr>
                <w:noProof/>
              </w:rPr>
            </w:r>
            <w:r>
              <w:rPr>
                <w:noProof/>
              </w:rPr>
              <w:fldChar w:fldCharType="separate"/>
            </w:r>
            <w:r>
              <w:rPr>
                <w:noProof/>
              </w:rPr>
              <w:t>1</w:t>
            </w:r>
            <w:r>
              <w:rPr>
                <w:noProof/>
              </w:rPr>
              <w:fldChar w:fldCharType="end"/>
            </w:r>
          </w:hyperlink>
        </w:p>
        <w:p w14:paraId="760E10D8" w14:textId="77777777" w:rsidR="00104ABC" w:rsidRDefault="00104ABC">
          <w:pPr>
            <w:pStyle w:val="TOC2"/>
            <w:tabs>
              <w:tab w:val="right" w:leader="dot" w:pos="9350"/>
            </w:tabs>
            <w:rPr>
              <w:noProof/>
            </w:rPr>
          </w:pPr>
          <w:hyperlink w:anchor="_Toc232765244" w:history="1">
            <w:r w:rsidRPr="00E435F4">
              <w:rPr>
                <w:rStyle w:val="Hyperlink"/>
                <w:noProof/>
              </w:rPr>
              <w:t>2.3 The Seven Ecumenical Councils: Full Account of Each</w:t>
            </w:r>
            <w:r>
              <w:rPr>
                <w:noProof/>
              </w:rPr>
              <w:tab/>
            </w:r>
            <w:r>
              <w:rPr>
                <w:noProof/>
              </w:rPr>
              <w:fldChar w:fldCharType="begin"/>
            </w:r>
            <w:r>
              <w:rPr>
                <w:noProof/>
              </w:rPr>
              <w:instrText xml:space="preserve"> PAGEREF _Toc232765244 \h </w:instrText>
            </w:r>
            <w:r>
              <w:rPr>
                <w:noProof/>
              </w:rPr>
            </w:r>
            <w:r>
              <w:rPr>
                <w:noProof/>
              </w:rPr>
              <w:fldChar w:fldCharType="separate"/>
            </w:r>
            <w:r>
              <w:rPr>
                <w:noProof/>
              </w:rPr>
              <w:t>1</w:t>
            </w:r>
            <w:r>
              <w:rPr>
                <w:noProof/>
              </w:rPr>
              <w:fldChar w:fldCharType="end"/>
            </w:r>
          </w:hyperlink>
        </w:p>
        <w:p w14:paraId="14A92828" w14:textId="77777777" w:rsidR="00104ABC" w:rsidRDefault="00104ABC">
          <w:pPr>
            <w:pStyle w:val="TOC3"/>
            <w:tabs>
              <w:tab w:val="right" w:leader="dot" w:pos="9350"/>
            </w:tabs>
            <w:rPr>
              <w:noProof/>
            </w:rPr>
          </w:pPr>
          <w:hyperlink w:anchor="_Toc232765245" w:history="1">
            <w:r w:rsidRPr="00E435F4">
              <w:rPr>
                <w:rStyle w:val="Hyperlink"/>
                <w:noProof/>
              </w:rPr>
              <w:t>Council I — Nicaea I (325)</w:t>
            </w:r>
            <w:r>
              <w:rPr>
                <w:noProof/>
              </w:rPr>
              <w:tab/>
            </w:r>
            <w:r>
              <w:rPr>
                <w:noProof/>
              </w:rPr>
              <w:fldChar w:fldCharType="begin"/>
            </w:r>
            <w:r>
              <w:rPr>
                <w:noProof/>
              </w:rPr>
              <w:instrText xml:space="preserve"> PAGEREF _Toc232765245 \h </w:instrText>
            </w:r>
            <w:r>
              <w:rPr>
                <w:noProof/>
              </w:rPr>
            </w:r>
            <w:r>
              <w:rPr>
                <w:noProof/>
              </w:rPr>
              <w:fldChar w:fldCharType="separate"/>
            </w:r>
            <w:r>
              <w:rPr>
                <w:noProof/>
              </w:rPr>
              <w:t>1</w:t>
            </w:r>
            <w:r>
              <w:rPr>
                <w:noProof/>
              </w:rPr>
              <w:fldChar w:fldCharType="end"/>
            </w:r>
          </w:hyperlink>
        </w:p>
        <w:p w14:paraId="38763969" w14:textId="77777777" w:rsidR="00104ABC" w:rsidRDefault="00104ABC">
          <w:pPr>
            <w:pStyle w:val="TOC3"/>
            <w:tabs>
              <w:tab w:val="right" w:leader="dot" w:pos="9350"/>
            </w:tabs>
            <w:rPr>
              <w:noProof/>
            </w:rPr>
          </w:pPr>
          <w:hyperlink w:anchor="_Toc232765246" w:history="1">
            <w:r w:rsidRPr="00E435F4">
              <w:rPr>
                <w:rStyle w:val="Hyperlink"/>
                <w:noProof/>
              </w:rPr>
              <w:t>Council II — Constantinople I (381)</w:t>
            </w:r>
            <w:r>
              <w:rPr>
                <w:noProof/>
              </w:rPr>
              <w:tab/>
            </w:r>
            <w:r>
              <w:rPr>
                <w:noProof/>
              </w:rPr>
              <w:fldChar w:fldCharType="begin"/>
            </w:r>
            <w:r>
              <w:rPr>
                <w:noProof/>
              </w:rPr>
              <w:instrText xml:space="preserve"> PAGEREF _Toc232765246 \h </w:instrText>
            </w:r>
            <w:r>
              <w:rPr>
                <w:noProof/>
              </w:rPr>
            </w:r>
            <w:r>
              <w:rPr>
                <w:noProof/>
              </w:rPr>
              <w:fldChar w:fldCharType="separate"/>
            </w:r>
            <w:r>
              <w:rPr>
                <w:noProof/>
              </w:rPr>
              <w:t>1</w:t>
            </w:r>
            <w:r>
              <w:rPr>
                <w:noProof/>
              </w:rPr>
              <w:fldChar w:fldCharType="end"/>
            </w:r>
          </w:hyperlink>
        </w:p>
        <w:p w14:paraId="2A85316F" w14:textId="77777777" w:rsidR="00104ABC" w:rsidRDefault="00104ABC">
          <w:pPr>
            <w:pStyle w:val="TOC3"/>
            <w:tabs>
              <w:tab w:val="right" w:leader="dot" w:pos="9350"/>
            </w:tabs>
            <w:rPr>
              <w:noProof/>
            </w:rPr>
          </w:pPr>
          <w:hyperlink w:anchor="_Toc232765247" w:history="1">
            <w:r w:rsidRPr="00E435F4">
              <w:rPr>
                <w:rStyle w:val="Hyperlink"/>
                <w:noProof/>
              </w:rPr>
              <w:t>Council III — Ephesus (431)</w:t>
            </w:r>
            <w:r>
              <w:rPr>
                <w:noProof/>
              </w:rPr>
              <w:tab/>
            </w:r>
            <w:r>
              <w:rPr>
                <w:noProof/>
              </w:rPr>
              <w:fldChar w:fldCharType="begin"/>
            </w:r>
            <w:r>
              <w:rPr>
                <w:noProof/>
              </w:rPr>
              <w:instrText xml:space="preserve"> PAGEREF _Toc232765247 \h </w:instrText>
            </w:r>
            <w:r>
              <w:rPr>
                <w:noProof/>
              </w:rPr>
            </w:r>
            <w:r>
              <w:rPr>
                <w:noProof/>
              </w:rPr>
              <w:fldChar w:fldCharType="separate"/>
            </w:r>
            <w:r>
              <w:rPr>
                <w:noProof/>
              </w:rPr>
              <w:t>1</w:t>
            </w:r>
            <w:r>
              <w:rPr>
                <w:noProof/>
              </w:rPr>
              <w:fldChar w:fldCharType="end"/>
            </w:r>
          </w:hyperlink>
        </w:p>
        <w:p w14:paraId="52C64351" w14:textId="77777777" w:rsidR="00104ABC" w:rsidRDefault="00104ABC">
          <w:pPr>
            <w:pStyle w:val="TOC3"/>
            <w:tabs>
              <w:tab w:val="right" w:leader="dot" w:pos="9350"/>
            </w:tabs>
            <w:rPr>
              <w:noProof/>
            </w:rPr>
          </w:pPr>
          <w:hyperlink w:anchor="_Toc232765248" w:history="1">
            <w:r w:rsidRPr="00E435F4">
              <w:rPr>
                <w:rStyle w:val="Hyperlink"/>
                <w:noProof/>
              </w:rPr>
              <w:t>Council IV — Chalcedon (451)</w:t>
            </w:r>
            <w:r>
              <w:rPr>
                <w:noProof/>
              </w:rPr>
              <w:tab/>
            </w:r>
            <w:r>
              <w:rPr>
                <w:noProof/>
              </w:rPr>
              <w:fldChar w:fldCharType="begin"/>
            </w:r>
            <w:r>
              <w:rPr>
                <w:noProof/>
              </w:rPr>
              <w:instrText xml:space="preserve"> PAGEREF _Toc232765248 \h </w:instrText>
            </w:r>
            <w:r>
              <w:rPr>
                <w:noProof/>
              </w:rPr>
            </w:r>
            <w:r>
              <w:rPr>
                <w:noProof/>
              </w:rPr>
              <w:fldChar w:fldCharType="separate"/>
            </w:r>
            <w:r>
              <w:rPr>
                <w:noProof/>
              </w:rPr>
              <w:t>1</w:t>
            </w:r>
            <w:r>
              <w:rPr>
                <w:noProof/>
              </w:rPr>
              <w:fldChar w:fldCharType="end"/>
            </w:r>
          </w:hyperlink>
        </w:p>
        <w:p w14:paraId="1B116C05" w14:textId="77777777" w:rsidR="00104ABC" w:rsidRDefault="00104ABC">
          <w:pPr>
            <w:pStyle w:val="TOC3"/>
            <w:tabs>
              <w:tab w:val="right" w:leader="dot" w:pos="9350"/>
            </w:tabs>
            <w:rPr>
              <w:noProof/>
            </w:rPr>
          </w:pPr>
          <w:hyperlink w:anchor="_Toc232765249" w:history="1">
            <w:r w:rsidRPr="00E435F4">
              <w:rPr>
                <w:rStyle w:val="Hyperlink"/>
                <w:noProof/>
              </w:rPr>
              <w:t>Council V — Constantinople II (553)</w:t>
            </w:r>
            <w:r>
              <w:rPr>
                <w:noProof/>
              </w:rPr>
              <w:tab/>
            </w:r>
            <w:r>
              <w:rPr>
                <w:noProof/>
              </w:rPr>
              <w:fldChar w:fldCharType="begin"/>
            </w:r>
            <w:r>
              <w:rPr>
                <w:noProof/>
              </w:rPr>
              <w:instrText xml:space="preserve"> PAGEREF _Toc232765249 \h </w:instrText>
            </w:r>
            <w:r>
              <w:rPr>
                <w:noProof/>
              </w:rPr>
            </w:r>
            <w:r>
              <w:rPr>
                <w:noProof/>
              </w:rPr>
              <w:fldChar w:fldCharType="separate"/>
            </w:r>
            <w:r>
              <w:rPr>
                <w:noProof/>
              </w:rPr>
              <w:t>1</w:t>
            </w:r>
            <w:r>
              <w:rPr>
                <w:noProof/>
              </w:rPr>
              <w:fldChar w:fldCharType="end"/>
            </w:r>
          </w:hyperlink>
        </w:p>
        <w:p w14:paraId="0669BD62" w14:textId="77777777" w:rsidR="00104ABC" w:rsidRDefault="00104ABC">
          <w:pPr>
            <w:pStyle w:val="TOC3"/>
            <w:tabs>
              <w:tab w:val="right" w:leader="dot" w:pos="9350"/>
            </w:tabs>
            <w:rPr>
              <w:noProof/>
            </w:rPr>
          </w:pPr>
          <w:hyperlink w:anchor="_Toc232765250" w:history="1">
            <w:r w:rsidRPr="00E435F4">
              <w:rPr>
                <w:rStyle w:val="Hyperlink"/>
                <w:noProof/>
              </w:rPr>
              <w:t>Council VI — Constantinople III (680–681)</w:t>
            </w:r>
            <w:r>
              <w:rPr>
                <w:noProof/>
              </w:rPr>
              <w:tab/>
            </w:r>
            <w:r>
              <w:rPr>
                <w:noProof/>
              </w:rPr>
              <w:fldChar w:fldCharType="begin"/>
            </w:r>
            <w:r>
              <w:rPr>
                <w:noProof/>
              </w:rPr>
              <w:instrText xml:space="preserve"> PAGEREF _Toc232765250 \h </w:instrText>
            </w:r>
            <w:r>
              <w:rPr>
                <w:noProof/>
              </w:rPr>
            </w:r>
            <w:r>
              <w:rPr>
                <w:noProof/>
              </w:rPr>
              <w:fldChar w:fldCharType="separate"/>
            </w:r>
            <w:r>
              <w:rPr>
                <w:noProof/>
              </w:rPr>
              <w:t>1</w:t>
            </w:r>
            <w:r>
              <w:rPr>
                <w:noProof/>
              </w:rPr>
              <w:fldChar w:fldCharType="end"/>
            </w:r>
          </w:hyperlink>
        </w:p>
        <w:p w14:paraId="2193099B" w14:textId="77777777" w:rsidR="00104ABC" w:rsidRDefault="00104ABC">
          <w:pPr>
            <w:pStyle w:val="TOC3"/>
            <w:tabs>
              <w:tab w:val="right" w:leader="dot" w:pos="9350"/>
            </w:tabs>
            <w:rPr>
              <w:noProof/>
            </w:rPr>
          </w:pPr>
          <w:hyperlink w:anchor="_Toc232765251" w:history="1">
            <w:r w:rsidRPr="00E435F4">
              <w:rPr>
                <w:rStyle w:val="Hyperlink"/>
                <w:noProof/>
              </w:rPr>
              <w:t>Council VII — Nicaea II (787)</w:t>
            </w:r>
            <w:r>
              <w:rPr>
                <w:noProof/>
              </w:rPr>
              <w:tab/>
            </w:r>
            <w:r>
              <w:rPr>
                <w:noProof/>
              </w:rPr>
              <w:fldChar w:fldCharType="begin"/>
            </w:r>
            <w:r>
              <w:rPr>
                <w:noProof/>
              </w:rPr>
              <w:instrText xml:space="preserve"> PAGEREF _Toc232765251 \h </w:instrText>
            </w:r>
            <w:r>
              <w:rPr>
                <w:noProof/>
              </w:rPr>
            </w:r>
            <w:r>
              <w:rPr>
                <w:noProof/>
              </w:rPr>
              <w:fldChar w:fldCharType="separate"/>
            </w:r>
            <w:r>
              <w:rPr>
                <w:noProof/>
              </w:rPr>
              <w:t>1</w:t>
            </w:r>
            <w:r>
              <w:rPr>
                <w:noProof/>
              </w:rPr>
              <w:fldChar w:fldCharType="end"/>
            </w:r>
          </w:hyperlink>
        </w:p>
        <w:p w14:paraId="20E45135" w14:textId="77777777" w:rsidR="00104ABC" w:rsidRDefault="00104ABC">
          <w:pPr>
            <w:pStyle w:val="TOC2"/>
            <w:tabs>
              <w:tab w:val="right" w:leader="dot" w:pos="9350"/>
            </w:tabs>
            <w:rPr>
              <w:noProof/>
            </w:rPr>
          </w:pPr>
          <w:hyperlink w:anchor="_Toc232765252" w:history="1">
            <w:r w:rsidRPr="00E435F4">
              <w:rPr>
                <w:rStyle w:val="Hyperlink"/>
                <w:noProof/>
              </w:rPr>
              <w:t>2.4 Apostolic Succession: Its Theological Meaning in Orthodox Thought</w:t>
            </w:r>
            <w:r>
              <w:rPr>
                <w:noProof/>
              </w:rPr>
              <w:tab/>
            </w:r>
            <w:r>
              <w:rPr>
                <w:noProof/>
              </w:rPr>
              <w:fldChar w:fldCharType="begin"/>
            </w:r>
            <w:r>
              <w:rPr>
                <w:noProof/>
              </w:rPr>
              <w:instrText xml:space="preserve"> PAGEREF _Toc232765252 \h </w:instrText>
            </w:r>
            <w:r>
              <w:rPr>
                <w:noProof/>
              </w:rPr>
            </w:r>
            <w:r>
              <w:rPr>
                <w:noProof/>
              </w:rPr>
              <w:fldChar w:fldCharType="separate"/>
            </w:r>
            <w:r>
              <w:rPr>
                <w:noProof/>
              </w:rPr>
              <w:t>1</w:t>
            </w:r>
            <w:r>
              <w:rPr>
                <w:noProof/>
              </w:rPr>
              <w:fldChar w:fldCharType="end"/>
            </w:r>
          </w:hyperlink>
        </w:p>
        <w:p w14:paraId="720C262F" w14:textId="77777777" w:rsidR="00104ABC" w:rsidRDefault="00104ABC">
          <w:pPr>
            <w:pStyle w:val="TOC2"/>
            <w:tabs>
              <w:tab w:val="right" w:leader="dot" w:pos="9350"/>
            </w:tabs>
            <w:rPr>
              <w:noProof/>
            </w:rPr>
          </w:pPr>
          <w:hyperlink w:anchor="_Toc232765253" w:history="1">
            <w:r w:rsidRPr="00E435F4">
              <w:rPr>
                <w:rStyle w:val="Hyperlink"/>
                <w:noProof/>
              </w:rPr>
              <w:t>2.5 The Quinisext Council (692) and the Canonical Tradition</w:t>
            </w:r>
            <w:r>
              <w:rPr>
                <w:noProof/>
              </w:rPr>
              <w:tab/>
            </w:r>
            <w:r>
              <w:rPr>
                <w:noProof/>
              </w:rPr>
              <w:fldChar w:fldCharType="begin"/>
            </w:r>
            <w:r>
              <w:rPr>
                <w:noProof/>
              </w:rPr>
              <w:instrText xml:space="preserve"> PAGEREF _Toc232765253 \h </w:instrText>
            </w:r>
            <w:r>
              <w:rPr>
                <w:noProof/>
              </w:rPr>
            </w:r>
            <w:r>
              <w:rPr>
                <w:noProof/>
              </w:rPr>
              <w:fldChar w:fldCharType="separate"/>
            </w:r>
            <w:r>
              <w:rPr>
                <w:noProof/>
              </w:rPr>
              <w:t>1</w:t>
            </w:r>
            <w:r>
              <w:rPr>
                <w:noProof/>
              </w:rPr>
              <w:fldChar w:fldCharType="end"/>
            </w:r>
          </w:hyperlink>
        </w:p>
        <w:p w14:paraId="5721C14C" w14:textId="77777777" w:rsidR="00104ABC" w:rsidRDefault="00104ABC">
          <w:pPr>
            <w:pStyle w:val="TOC2"/>
            <w:tabs>
              <w:tab w:val="right" w:leader="dot" w:pos="9350"/>
            </w:tabs>
            <w:rPr>
              <w:noProof/>
            </w:rPr>
          </w:pPr>
          <w:hyperlink w:anchor="_Toc232765254" w:history="1">
            <w:r w:rsidRPr="00E435F4">
              <w:rPr>
                <w:rStyle w:val="Hyperlink"/>
                <w:noProof/>
              </w:rPr>
              <w:t>2.6 The Bishop in Orthodox Theology: Ordination, Authority, and Accountability</w:t>
            </w:r>
            <w:r>
              <w:rPr>
                <w:noProof/>
              </w:rPr>
              <w:tab/>
            </w:r>
            <w:r>
              <w:rPr>
                <w:noProof/>
              </w:rPr>
              <w:fldChar w:fldCharType="begin"/>
            </w:r>
            <w:r>
              <w:rPr>
                <w:noProof/>
              </w:rPr>
              <w:instrText xml:space="preserve"> PAGEREF _Toc232765254 \h </w:instrText>
            </w:r>
            <w:r>
              <w:rPr>
                <w:noProof/>
              </w:rPr>
            </w:r>
            <w:r>
              <w:rPr>
                <w:noProof/>
              </w:rPr>
              <w:fldChar w:fldCharType="separate"/>
            </w:r>
            <w:r>
              <w:rPr>
                <w:noProof/>
              </w:rPr>
              <w:t>1</w:t>
            </w:r>
            <w:r>
              <w:rPr>
                <w:noProof/>
              </w:rPr>
              <w:fldChar w:fldCharType="end"/>
            </w:r>
          </w:hyperlink>
        </w:p>
        <w:p w14:paraId="450173ED" w14:textId="77777777" w:rsidR="00104ABC" w:rsidRDefault="00104ABC">
          <w:pPr>
            <w:pStyle w:val="TOC1"/>
            <w:tabs>
              <w:tab w:val="right" w:leader="dot" w:pos="9350"/>
            </w:tabs>
            <w:rPr>
              <w:noProof/>
            </w:rPr>
          </w:pPr>
          <w:hyperlink w:anchor="_Toc232765255" w:history="1">
            <w:r w:rsidRPr="00E435F4">
              <w:rPr>
                <w:rStyle w:val="Hyperlink"/>
                <w:noProof/>
              </w:rPr>
              <w:t>CHAPTER THREE</w:t>
            </w:r>
            <w:r>
              <w:rPr>
                <w:noProof/>
              </w:rPr>
              <w:tab/>
            </w:r>
            <w:r>
              <w:rPr>
                <w:noProof/>
              </w:rPr>
              <w:fldChar w:fldCharType="begin"/>
            </w:r>
            <w:r>
              <w:rPr>
                <w:noProof/>
              </w:rPr>
              <w:instrText xml:space="preserve"> PAGEREF _Toc232765255 \h </w:instrText>
            </w:r>
            <w:r>
              <w:rPr>
                <w:noProof/>
              </w:rPr>
            </w:r>
            <w:r>
              <w:rPr>
                <w:noProof/>
              </w:rPr>
              <w:fldChar w:fldCharType="separate"/>
            </w:r>
            <w:r>
              <w:rPr>
                <w:noProof/>
              </w:rPr>
              <w:t>1</w:t>
            </w:r>
            <w:r>
              <w:rPr>
                <w:noProof/>
              </w:rPr>
              <w:fldChar w:fldCharType="end"/>
            </w:r>
          </w:hyperlink>
        </w:p>
        <w:p w14:paraId="63C9137A" w14:textId="77777777" w:rsidR="00104ABC" w:rsidRDefault="00104ABC">
          <w:pPr>
            <w:pStyle w:val="TOC1"/>
            <w:tabs>
              <w:tab w:val="right" w:leader="dot" w:pos="9350"/>
            </w:tabs>
            <w:rPr>
              <w:noProof/>
            </w:rPr>
          </w:pPr>
          <w:hyperlink w:anchor="_Toc232765256" w:history="1">
            <w:r w:rsidRPr="00E435F4">
              <w:rPr>
                <w:rStyle w:val="Hyperlink"/>
                <w:noProof/>
              </w:rPr>
              <w:t>ORTHODOX THEOLOGY PROPER — GOD, TRINITY, AND THE ESSENCE-ENERGIES DISTINCTION</w:t>
            </w:r>
            <w:r>
              <w:rPr>
                <w:noProof/>
              </w:rPr>
              <w:tab/>
            </w:r>
            <w:r>
              <w:rPr>
                <w:noProof/>
              </w:rPr>
              <w:fldChar w:fldCharType="begin"/>
            </w:r>
            <w:r>
              <w:rPr>
                <w:noProof/>
              </w:rPr>
              <w:instrText xml:space="preserve"> PAGEREF _Toc232765256 \h </w:instrText>
            </w:r>
            <w:r>
              <w:rPr>
                <w:noProof/>
              </w:rPr>
            </w:r>
            <w:r>
              <w:rPr>
                <w:noProof/>
              </w:rPr>
              <w:fldChar w:fldCharType="separate"/>
            </w:r>
            <w:r>
              <w:rPr>
                <w:noProof/>
              </w:rPr>
              <w:t>1</w:t>
            </w:r>
            <w:r>
              <w:rPr>
                <w:noProof/>
              </w:rPr>
              <w:fldChar w:fldCharType="end"/>
            </w:r>
          </w:hyperlink>
        </w:p>
        <w:p w14:paraId="33FD1AFE" w14:textId="77777777" w:rsidR="00104ABC" w:rsidRDefault="00104ABC">
          <w:pPr>
            <w:pStyle w:val="TOC2"/>
            <w:tabs>
              <w:tab w:val="right" w:leader="dot" w:pos="9350"/>
            </w:tabs>
            <w:rPr>
              <w:noProof/>
            </w:rPr>
          </w:pPr>
          <w:hyperlink w:anchor="_Toc232765257" w:history="1">
            <w:r w:rsidRPr="00E435F4">
              <w:rPr>
                <w:rStyle w:val="Hyperlink"/>
                <w:noProof/>
              </w:rPr>
              <w:t>3.1 Apophatic Theology: The Unknowability of the Divine Essence</w:t>
            </w:r>
            <w:r>
              <w:rPr>
                <w:noProof/>
              </w:rPr>
              <w:tab/>
            </w:r>
            <w:r>
              <w:rPr>
                <w:noProof/>
              </w:rPr>
              <w:fldChar w:fldCharType="begin"/>
            </w:r>
            <w:r>
              <w:rPr>
                <w:noProof/>
              </w:rPr>
              <w:instrText xml:space="preserve"> PAGEREF _Toc232765257 \h </w:instrText>
            </w:r>
            <w:r>
              <w:rPr>
                <w:noProof/>
              </w:rPr>
            </w:r>
            <w:r>
              <w:rPr>
                <w:noProof/>
              </w:rPr>
              <w:fldChar w:fldCharType="separate"/>
            </w:r>
            <w:r>
              <w:rPr>
                <w:noProof/>
              </w:rPr>
              <w:t>1</w:t>
            </w:r>
            <w:r>
              <w:rPr>
                <w:noProof/>
              </w:rPr>
              <w:fldChar w:fldCharType="end"/>
            </w:r>
          </w:hyperlink>
        </w:p>
        <w:p w14:paraId="10015CCA" w14:textId="77777777" w:rsidR="00104ABC" w:rsidRDefault="00104ABC">
          <w:pPr>
            <w:pStyle w:val="TOC2"/>
            <w:tabs>
              <w:tab w:val="right" w:leader="dot" w:pos="9350"/>
            </w:tabs>
            <w:rPr>
              <w:noProof/>
            </w:rPr>
          </w:pPr>
          <w:hyperlink w:anchor="_Toc232765258" w:history="1">
            <w:r w:rsidRPr="00E435F4">
              <w:rPr>
                <w:rStyle w:val="Hyperlink"/>
                <w:noProof/>
              </w:rPr>
              <w:t>3.2 The Essence-Energies Distinction of Gregory Palamas: A Full Exposition</w:t>
            </w:r>
            <w:r>
              <w:rPr>
                <w:noProof/>
              </w:rPr>
              <w:tab/>
            </w:r>
            <w:r>
              <w:rPr>
                <w:noProof/>
              </w:rPr>
              <w:fldChar w:fldCharType="begin"/>
            </w:r>
            <w:r>
              <w:rPr>
                <w:noProof/>
              </w:rPr>
              <w:instrText xml:space="preserve"> PAGEREF _Toc232765258 \h </w:instrText>
            </w:r>
            <w:r>
              <w:rPr>
                <w:noProof/>
              </w:rPr>
            </w:r>
            <w:r>
              <w:rPr>
                <w:noProof/>
              </w:rPr>
              <w:fldChar w:fldCharType="separate"/>
            </w:r>
            <w:r>
              <w:rPr>
                <w:noProof/>
              </w:rPr>
              <w:t>1</w:t>
            </w:r>
            <w:r>
              <w:rPr>
                <w:noProof/>
              </w:rPr>
              <w:fldChar w:fldCharType="end"/>
            </w:r>
          </w:hyperlink>
        </w:p>
        <w:p w14:paraId="1F51750C" w14:textId="77777777" w:rsidR="00104ABC" w:rsidRDefault="00104ABC">
          <w:pPr>
            <w:pStyle w:val="TOC3"/>
            <w:tabs>
              <w:tab w:val="right" w:leader="dot" w:pos="9350"/>
            </w:tabs>
            <w:rPr>
              <w:noProof/>
            </w:rPr>
          </w:pPr>
          <w:hyperlink w:anchor="_Toc232765259" w:history="1">
            <w:r w:rsidRPr="00E435F4">
              <w:rPr>
                <w:rStyle w:val="Hyperlink"/>
                <w:noProof/>
              </w:rPr>
              <w:t>(a) The Historical Context: The Hesychast Controversy 1337–1351</w:t>
            </w:r>
            <w:r>
              <w:rPr>
                <w:noProof/>
              </w:rPr>
              <w:tab/>
            </w:r>
            <w:r>
              <w:rPr>
                <w:noProof/>
              </w:rPr>
              <w:fldChar w:fldCharType="begin"/>
            </w:r>
            <w:r>
              <w:rPr>
                <w:noProof/>
              </w:rPr>
              <w:instrText xml:space="preserve"> PAGEREF _Toc232765259 \h </w:instrText>
            </w:r>
            <w:r>
              <w:rPr>
                <w:noProof/>
              </w:rPr>
            </w:r>
            <w:r>
              <w:rPr>
                <w:noProof/>
              </w:rPr>
              <w:fldChar w:fldCharType="separate"/>
            </w:r>
            <w:r>
              <w:rPr>
                <w:noProof/>
              </w:rPr>
              <w:t>1</w:t>
            </w:r>
            <w:r>
              <w:rPr>
                <w:noProof/>
              </w:rPr>
              <w:fldChar w:fldCharType="end"/>
            </w:r>
          </w:hyperlink>
        </w:p>
        <w:p w14:paraId="130401AA" w14:textId="77777777" w:rsidR="00104ABC" w:rsidRDefault="00104ABC">
          <w:pPr>
            <w:pStyle w:val="TOC3"/>
            <w:tabs>
              <w:tab w:val="right" w:leader="dot" w:pos="9350"/>
            </w:tabs>
            <w:rPr>
              <w:noProof/>
            </w:rPr>
          </w:pPr>
          <w:hyperlink w:anchor="_Toc232765260" w:history="1">
            <w:r w:rsidRPr="00E435F4">
              <w:rPr>
                <w:rStyle w:val="Hyperlink"/>
                <w:noProof/>
              </w:rPr>
              <w:t>(b) Palamas's Argument from the Triads</w:t>
            </w:r>
            <w:r>
              <w:rPr>
                <w:noProof/>
              </w:rPr>
              <w:tab/>
            </w:r>
            <w:r>
              <w:rPr>
                <w:noProof/>
              </w:rPr>
              <w:fldChar w:fldCharType="begin"/>
            </w:r>
            <w:r>
              <w:rPr>
                <w:noProof/>
              </w:rPr>
              <w:instrText xml:space="preserve"> PAGEREF _Toc232765260 \h </w:instrText>
            </w:r>
            <w:r>
              <w:rPr>
                <w:noProof/>
              </w:rPr>
            </w:r>
            <w:r>
              <w:rPr>
                <w:noProof/>
              </w:rPr>
              <w:fldChar w:fldCharType="separate"/>
            </w:r>
            <w:r>
              <w:rPr>
                <w:noProof/>
              </w:rPr>
              <w:t>1</w:t>
            </w:r>
            <w:r>
              <w:rPr>
                <w:noProof/>
              </w:rPr>
              <w:fldChar w:fldCharType="end"/>
            </w:r>
          </w:hyperlink>
        </w:p>
        <w:p w14:paraId="1BC081FE" w14:textId="77777777" w:rsidR="00104ABC" w:rsidRDefault="00104ABC">
          <w:pPr>
            <w:pStyle w:val="TOC3"/>
            <w:tabs>
              <w:tab w:val="right" w:leader="dot" w:pos="9350"/>
            </w:tabs>
            <w:rPr>
              <w:noProof/>
            </w:rPr>
          </w:pPr>
          <w:hyperlink w:anchor="_Toc232765261" w:history="1">
            <w:r w:rsidRPr="00E435F4">
              <w:rPr>
                <w:rStyle w:val="Hyperlink"/>
                <w:noProof/>
              </w:rPr>
              <w:t>(c) The Palamite Distinction Developed: Essence, Hypostases, Energies</w:t>
            </w:r>
            <w:r>
              <w:rPr>
                <w:noProof/>
              </w:rPr>
              <w:tab/>
            </w:r>
            <w:r>
              <w:rPr>
                <w:noProof/>
              </w:rPr>
              <w:fldChar w:fldCharType="begin"/>
            </w:r>
            <w:r>
              <w:rPr>
                <w:noProof/>
              </w:rPr>
              <w:instrText xml:space="preserve"> PAGEREF _Toc232765261 \h </w:instrText>
            </w:r>
            <w:r>
              <w:rPr>
                <w:noProof/>
              </w:rPr>
            </w:r>
            <w:r>
              <w:rPr>
                <w:noProof/>
              </w:rPr>
              <w:fldChar w:fldCharType="separate"/>
            </w:r>
            <w:r>
              <w:rPr>
                <w:noProof/>
              </w:rPr>
              <w:t>1</w:t>
            </w:r>
            <w:r>
              <w:rPr>
                <w:noProof/>
              </w:rPr>
              <w:fldChar w:fldCharType="end"/>
            </w:r>
          </w:hyperlink>
        </w:p>
        <w:p w14:paraId="4347BFB2" w14:textId="77777777" w:rsidR="00104ABC" w:rsidRDefault="00104ABC">
          <w:pPr>
            <w:pStyle w:val="TOC3"/>
            <w:tabs>
              <w:tab w:val="right" w:leader="dot" w:pos="9350"/>
            </w:tabs>
            <w:rPr>
              <w:noProof/>
            </w:rPr>
          </w:pPr>
          <w:hyperlink w:anchor="_Toc232765262" w:history="1">
            <w:r w:rsidRPr="00E435F4">
              <w:rPr>
                <w:rStyle w:val="Hyperlink"/>
                <w:noProof/>
              </w:rPr>
              <w:t>(d) The Conciliar Reception: Palamism as Orthodox Dogma</w:t>
            </w:r>
            <w:r>
              <w:rPr>
                <w:noProof/>
              </w:rPr>
              <w:tab/>
            </w:r>
            <w:r>
              <w:rPr>
                <w:noProof/>
              </w:rPr>
              <w:fldChar w:fldCharType="begin"/>
            </w:r>
            <w:r>
              <w:rPr>
                <w:noProof/>
              </w:rPr>
              <w:instrText xml:space="preserve"> PAGEREF _Toc232765262 \h </w:instrText>
            </w:r>
            <w:r>
              <w:rPr>
                <w:noProof/>
              </w:rPr>
            </w:r>
            <w:r>
              <w:rPr>
                <w:noProof/>
              </w:rPr>
              <w:fldChar w:fldCharType="separate"/>
            </w:r>
            <w:r>
              <w:rPr>
                <w:noProof/>
              </w:rPr>
              <w:t>1</w:t>
            </w:r>
            <w:r>
              <w:rPr>
                <w:noProof/>
              </w:rPr>
              <w:fldChar w:fldCharType="end"/>
            </w:r>
          </w:hyperlink>
        </w:p>
        <w:p w14:paraId="3291E203" w14:textId="77777777" w:rsidR="00104ABC" w:rsidRDefault="00104ABC">
          <w:pPr>
            <w:pStyle w:val="TOC3"/>
            <w:tabs>
              <w:tab w:val="right" w:leader="dot" w:pos="9350"/>
            </w:tabs>
            <w:rPr>
              <w:noProof/>
            </w:rPr>
          </w:pPr>
          <w:hyperlink w:anchor="_Toc232765263" w:history="1">
            <w:r w:rsidRPr="00E435F4">
              <w:rPr>
                <w:rStyle w:val="Hyperlink"/>
                <w:noProof/>
              </w:rPr>
              <w:t>(e) The Significance for Soteriology: Theosis as Real Participation</w:t>
            </w:r>
            <w:r>
              <w:rPr>
                <w:noProof/>
              </w:rPr>
              <w:tab/>
            </w:r>
            <w:r>
              <w:rPr>
                <w:noProof/>
              </w:rPr>
              <w:fldChar w:fldCharType="begin"/>
            </w:r>
            <w:r>
              <w:rPr>
                <w:noProof/>
              </w:rPr>
              <w:instrText xml:space="preserve"> PAGEREF _Toc232765263 \h </w:instrText>
            </w:r>
            <w:r>
              <w:rPr>
                <w:noProof/>
              </w:rPr>
            </w:r>
            <w:r>
              <w:rPr>
                <w:noProof/>
              </w:rPr>
              <w:fldChar w:fldCharType="separate"/>
            </w:r>
            <w:r>
              <w:rPr>
                <w:noProof/>
              </w:rPr>
              <w:t>1</w:t>
            </w:r>
            <w:r>
              <w:rPr>
                <w:noProof/>
              </w:rPr>
              <w:fldChar w:fldCharType="end"/>
            </w:r>
          </w:hyperlink>
        </w:p>
        <w:p w14:paraId="21985878" w14:textId="77777777" w:rsidR="00104ABC" w:rsidRDefault="00104ABC">
          <w:pPr>
            <w:pStyle w:val="TOC3"/>
            <w:tabs>
              <w:tab w:val="right" w:leader="dot" w:pos="9350"/>
            </w:tabs>
            <w:rPr>
              <w:noProof/>
            </w:rPr>
          </w:pPr>
          <w:hyperlink w:anchor="_Toc232765264" w:history="1">
            <w:r w:rsidRPr="00E435F4">
              <w:rPr>
                <w:rStyle w:val="Hyperlink"/>
                <w:noProof/>
              </w:rPr>
              <w:t>(f) The Western Response: Aquinas, Divine Simplicity, and the Thomistic Alternative</w:t>
            </w:r>
            <w:r>
              <w:rPr>
                <w:noProof/>
              </w:rPr>
              <w:tab/>
            </w:r>
            <w:r>
              <w:rPr>
                <w:noProof/>
              </w:rPr>
              <w:fldChar w:fldCharType="begin"/>
            </w:r>
            <w:r>
              <w:rPr>
                <w:noProof/>
              </w:rPr>
              <w:instrText xml:space="preserve"> PAGEREF _Toc232765264 \h </w:instrText>
            </w:r>
            <w:r>
              <w:rPr>
                <w:noProof/>
              </w:rPr>
            </w:r>
            <w:r>
              <w:rPr>
                <w:noProof/>
              </w:rPr>
              <w:fldChar w:fldCharType="separate"/>
            </w:r>
            <w:r>
              <w:rPr>
                <w:noProof/>
              </w:rPr>
              <w:t>1</w:t>
            </w:r>
            <w:r>
              <w:rPr>
                <w:noProof/>
              </w:rPr>
              <w:fldChar w:fldCharType="end"/>
            </w:r>
          </w:hyperlink>
        </w:p>
        <w:p w14:paraId="6C86C317" w14:textId="77777777" w:rsidR="00104ABC" w:rsidRDefault="00104ABC">
          <w:pPr>
            <w:pStyle w:val="TOC2"/>
            <w:tabs>
              <w:tab w:val="right" w:leader="dot" w:pos="9350"/>
            </w:tabs>
            <w:rPr>
              <w:noProof/>
            </w:rPr>
          </w:pPr>
          <w:hyperlink w:anchor="_Toc232765265" w:history="1">
            <w:r w:rsidRPr="00E435F4">
              <w:rPr>
                <w:rStyle w:val="Hyperlink"/>
                <w:noProof/>
              </w:rPr>
              <w:t>3.3 The Holy Trinity: Processions, Relations, and the Eastern Understanding</w:t>
            </w:r>
            <w:r>
              <w:rPr>
                <w:noProof/>
              </w:rPr>
              <w:tab/>
            </w:r>
            <w:r>
              <w:rPr>
                <w:noProof/>
              </w:rPr>
              <w:fldChar w:fldCharType="begin"/>
            </w:r>
            <w:r>
              <w:rPr>
                <w:noProof/>
              </w:rPr>
              <w:instrText xml:space="preserve"> PAGEREF _Toc232765265 \h </w:instrText>
            </w:r>
            <w:r>
              <w:rPr>
                <w:noProof/>
              </w:rPr>
            </w:r>
            <w:r>
              <w:rPr>
                <w:noProof/>
              </w:rPr>
              <w:fldChar w:fldCharType="separate"/>
            </w:r>
            <w:r>
              <w:rPr>
                <w:noProof/>
              </w:rPr>
              <w:t>1</w:t>
            </w:r>
            <w:r>
              <w:rPr>
                <w:noProof/>
              </w:rPr>
              <w:fldChar w:fldCharType="end"/>
            </w:r>
          </w:hyperlink>
        </w:p>
        <w:p w14:paraId="08F73ED9" w14:textId="77777777" w:rsidR="00104ABC" w:rsidRDefault="00104ABC">
          <w:pPr>
            <w:pStyle w:val="TOC2"/>
            <w:tabs>
              <w:tab w:val="right" w:leader="dot" w:pos="9350"/>
            </w:tabs>
            <w:rPr>
              <w:noProof/>
            </w:rPr>
          </w:pPr>
          <w:hyperlink w:anchor="_Toc232765266" w:history="1">
            <w:r w:rsidRPr="00E435F4">
              <w:rPr>
                <w:rStyle w:val="Hyperlink"/>
                <w:noProof/>
              </w:rPr>
              <w:t>3.4 Divine Simplicity and Palamism: East vs. West</w:t>
            </w:r>
            <w:r>
              <w:rPr>
                <w:noProof/>
              </w:rPr>
              <w:tab/>
            </w:r>
            <w:r>
              <w:rPr>
                <w:noProof/>
              </w:rPr>
              <w:fldChar w:fldCharType="begin"/>
            </w:r>
            <w:r>
              <w:rPr>
                <w:noProof/>
              </w:rPr>
              <w:instrText xml:space="preserve"> PAGEREF _Toc232765266 \h </w:instrText>
            </w:r>
            <w:r>
              <w:rPr>
                <w:noProof/>
              </w:rPr>
            </w:r>
            <w:r>
              <w:rPr>
                <w:noProof/>
              </w:rPr>
              <w:fldChar w:fldCharType="separate"/>
            </w:r>
            <w:r>
              <w:rPr>
                <w:noProof/>
              </w:rPr>
              <w:t>1</w:t>
            </w:r>
            <w:r>
              <w:rPr>
                <w:noProof/>
              </w:rPr>
              <w:fldChar w:fldCharType="end"/>
            </w:r>
          </w:hyperlink>
        </w:p>
        <w:p w14:paraId="1032B71E" w14:textId="77777777" w:rsidR="00104ABC" w:rsidRDefault="00104ABC">
          <w:pPr>
            <w:pStyle w:val="TOC2"/>
            <w:tabs>
              <w:tab w:val="right" w:leader="dot" w:pos="9350"/>
            </w:tabs>
            <w:rPr>
              <w:noProof/>
            </w:rPr>
          </w:pPr>
          <w:hyperlink w:anchor="_Toc232765267" w:history="1">
            <w:r w:rsidRPr="00E435F4">
              <w:rPr>
                <w:rStyle w:val="Hyperlink"/>
                <w:noProof/>
              </w:rPr>
              <w:t>3.5 The Monarchy of the Father and the Critique of the Filioque: A Systematic Statement</w:t>
            </w:r>
            <w:r>
              <w:rPr>
                <w:noProof/>
              </w:rPr>
              <w:tab/>
            </w:r>
            <w:r>
              <w:rPr>
                <w:noProof/>
              </w:rPr>
              <w:fldChar w:fldCharType="begin"/>
            </w:r>
            <w:r>
              <w:rPr>
                <w:noProof/>
              </w:rPr>
              <w:instrText xml:space="preserve"> PAGEREF _Toc232765267 \h </w:instrText>
            </w:r>
            <w:r>
              <w:rPr>
                <w:noProof/>
              </w:rPr>
            </w:r>
            <w:r>
              <w:rPr>
                <w:noProof/>
              </w:rPr>
              <w:fldChar w:fldCharType="separate"/>
            </w:r>
            <w:r>
              <w:rPr>
                <w:noProof/>
              </w:rPr>
              <w:t>1</w:t>
            </w:r>
            <w:r>
              <w:rPr>
                <w:noProof/>
              </w:rPr>
              <w:fldChar w:fldCharType="end"/>
            </w:r>
          </w:hyperlink>
        </w:p>
        <w:p w14:paraId="04A7BACA" w14:textId="77777777" w:rsidR="00104ABC" w:rsidRDefault="00104ABC">
          <w:pPr>
            <w:pStyle w:val="TOC1"/>
            <w:tabs>
              <w:tab w:val="right" w:leader="dot" w:pos="9350"/>
            </w:tabs>
            <w:rPr>
              <w:noProof/>
            </w:rPr>
          </w:pPr>
          <w:hyperlink w:anchor="_Toc232765268" w:history="1">
            <w:r w:rsidRPr="00E435F4">
              <w:rPr>
                <w:rStyle w:val="Hyperlink"/>
                <w:noProof/>
              </w:rPr>
              <w:t>EASTERN ORTHODOXY: A SEMINARY-LEVEL THEOLOGICAL TREATISE</w:t>
            </w:r>
            <w:r>
              <w:rPr>
                <w:noProof/>
              </w:rPr>
              <w:tab/>
            </w:r>
            <w:r>
              <w:rPr>
                <w:noProof/>
              </w:rPr>
              <w:fldChar w:fldCharType="begin"/>
            </w:r>
            <w:r>
              <w:rPr>
                <w:noProof/>
              </w:rPr>
              <w:instrText xml:space="preserve"> PAGEREF _Toc232765268 \h </w:instrText>
            </w:r>
            <w:r>
              <w:rPr>
                <w:noProof/>
              </w:rPr>
            </w:r>
            <w:r>
              <w:rPr>
                <w:noProof/>
              </w:rPr>
              <w:fldChar w:fldCharType="separate"/>
            </w:r>
            <w:r>
              <w:rPr>
                <w:noProof/>
              </w:rPr>
              <w:t>1</w:t>
            </w:r>
            <w:r>
              <w:rPr>
                <w:noProof/>
              </w:rPr>
              <w:fldChar w:fldCharType="end"/>
            </w:r>
          </w:hyperlink>
        </w:p>
        <w:p w14:paraId="31B59666" w14:textId="77777777" w:rsidR="00104ABC" w:rsidRDefault="00104ABC">
          <w:pPr>
            <w:pStyle w:val="TOC2"/>
            <w:tabs>
              <w:tab w:val="right" w:leader="dot" w:pos="9350"/>
            </w:tabs>
            <w:rPr>
              <w:noProof/>
            </w:rPr>
          </w:pPr>
          <w:hyperlink w:anchor="_Toc232765269" w:history="1">
            <w:r w:rsidRPr="00E435F4">
              <w:rPr>
                <w:rStyle w:val="Hyperlink"/>
                <w:noProof/>
              </w:rPr>
              <w:t>Part I, Chapters 4–6: Soteriology, Sacraments, and Holy Tradition</w:t>
            </w:r>
            <w:r>
              <w:rPr>
                <w:noProof/>
              </w:rPr>
              <w:tab/>
            </w:r>
            <w:r>
              <w:rPr>
                <w:noProof/>
              </w:rPr>
              <w:fldChar w:fldCharType="begin"/>
            </w:r>
            <w:r>
              <w:rPr>
                <w:noProof/>
              </w:rPr>
              <w:instrText xml:space="preserve"> PAGEREF _Toc232765269 \h </w:instrText>
            </w:r>
            <w:r>
              <w:rPr>
                <w:noProof/>
              </w:rPr>
            </w:r>
            <w:r>
              <w:rPr>
                <w:noProof/>
              </w:rPr>
              <w:fldChar w:fldCharType="separate"/>
            </w:r>
            <w:r>
              <w:rPr>
                <w:noProof/>
              </w:rPr>
              <w:t>1</w:t>
            </w:r>
            <w:r>
              <w:rPr>
                <w:noProof/>
              </w:rPr>
              <w:fldChar w:fldCharType="end"/>
            </w:r>
          </w:hyperlink>
        </w:p>
        <w:p w14:paraId="1E5797AE" w14:textId="77777777" w:rsidR="00104ABC" w:rsidRDefault="00104ABC">
          <w:pPr>
            <w:pStyle w:val="TOC1"/>
            <w:tabs>
              <w:tab w:val="right" w:leader="dot" w:pos="9350"/>
            </w:tabs>
            <w:rPr>
              <w:noProof/>
            </w:rPr>
          </w:pPr>
          <w:hyperlink w:anchor="_Toc232765270" w:history="1">
            <w:r w:rsidRPr="00E435F4">
              <w:rPr>
                <w:rStyle w:val="Hyperlink"/>
                <w:noProof/>
              </w:rPr>
              <w:t>CHAPTER FOUR: ORTHODOX SOTERIOLOGY — THEOSIS, ANCESTRAL SIN, AND THE ATONEMENT</w:t>
            </w:r>
            <w:r>
              <w:rPr>
                <w:noProof/>
              </w:rPr>
              <w:tab/>
            </w:r>
            <w:r>
              <w:rPr>
                <w:noProof/>
              </w:rPr>
              <w:fldChar w:fldCharType="begin"/>
            </w:r>
            <w:r>
              <w:rPr>
                <w:noProof/>
              </w:rPr>
              <w:instrText xml:space="preserve"> PAGEREF _Toc232765270 \h </w:instrText>
            </w:r>
            <w:r>
              <w:rPr>
                <w:noProof/>
              </w:rPr>
            </w:r>
            <w:r>
              <w:rPr>
                <w:noProof/>
              </w:rPr>
              <w:fldChar w:fldCharType="separate"/>
            </w:r>
            <w:r>
              <w:rPr>
                <w:noProof/>
              </w:rPr>
              <w:t>1</w:t>
            </w:r>
            <w:r>
              <w:rPr>
                <w:noProof/>
              </w:rPr>
              <w:fldChar w:fldCharType="end"/>
            </w:r>
          </w:hyperlink>
        </w:p>
        <w:p w14:paraId="2162B2C6" w14:textId="77777777" w:rsidR="00104ABC" w:rsidRDefault="00104ABC">
          <w:pPr>
            <w:pStyle w:val="TOC2"/>
            <w:tabs>
              <w:tab w:val="right" w:leader="dot" w:pos="9350"/>
            </w:tabs>
            <w:rPr>
              <w:noProof/>
            </w:rPr>
          </w:pPr>
          <w:hyperlink w:anchor="_Toc232765271" w:history="1">
            <w:r w:rsidRPr="00E435F4">
              <w:rPr>
                <w:rStyle w:val="Hyperlink"/>
                <w:noProof/>
              </w:rPr>
              <w:t>Prefatory Remarks on the Orthodox Soteriological Framework</w:t>
            </w:r>
            <w:r>
              <w:rPr>
                <w:noProof/>
              </w:rPr>
              <w:tab/>
            </w:r>
            <w:r>
              <w:rPr>
                <w:noProof/>
              </w:rPr>
              <w:fldChar w:fldCharType="begin"/>
            </w:r>
            <w:r>
              <w:rPr>
                <w:noProof/>
              </w:rPr>
              <w:instrText xml:space="preserve"> PAGEREF _Toc232765271 \h </w:instrText>
            </w:r>
            <w:r>
              <w:rPr>
                <w:noProof/>
              </w:rPr>
            </w:r>
            <w:r>
              <w:rPr>
                <w:noProof/>
              </w:rPr>
              <w:fldChar w:fldCharType="separate"/>
            </w:r>
            <w:r>
              <w:rPr>
                <w:noProof/>
              </w:rPr>
              <w:t>1</w:t>
            </w:r>
            <w:r>
              <w:rPr>
                <w:noProof/>
              </w:rPr>
              <w:fldChar w:fldCharType="end"/>
            </w:r>
          </w:hyperlink>
        </w:p>
        <w:p w14:paraId="6271111F" w14:textId="77777777" w:rsidR="00104ABC" w:rsidRDefault="00104ABC">
          <w:pPr>
            <w:pStyle w:val="TOC2"/>
            <w:tabs>
              <w:tab w:val="right" w:leader="dot" w:pos="9350"/>
            </w:tabs>
            <w:rPr>
              <w:noProof/>
            </w:rPr>
          </w:pPr>
          <w:hyperlink w:anchor="_Toc232765272" w:history="1">
            <w:r w:rsidRPr="00E435F4">
              <w:rPr>
                <w:rStyle w:val="Hyperlink"/>
                <w:noProof/>
              </w:rPr>
              <w:t>4.1 Theosis: The Orthodox Doctrine of Salvation as Deification</w:t>
            </w:r>
            <w:r>
              <w:rPr>
                <w:noProof/>
              </w:rPr>
              <w:tab/>
            </w:r>
            <w:r>
              <w:rPr>
                <w:noProof/>
              </w:rPr>
              <w:fldChar w:fldCharType="begin"/>
            </w:r>
            <w:r>
              <w:rPr>
                <w:noProof/>
              </w:rPr>
              <w:instrText xml:space="preserve"> PAGEREF _Toc232765272 \h </w:instrText>
            </w:r>
            <w:r>
              <w:rPr>
                <w:noProof/>
              </w:rPr>
            </w:r>
            <w:r>
              <w:rPr>
                <w:noProof/>
              </w:rPr>
              <w:fldChar w:fldCharType="separate"/>
            </w:r>
            <w:r>
              <w:rPr>
                <w:noProof/>
              </w:rPr>
              <w:t>1</w:t>
            </w:r>
            <w:r>
              <w:rPr>
                <w:noProof/>
              </w:rPr>
              <w:fldChar w:fldCharType="end"/>
            </w:r>
          </w:hyperlink>
        </w:p>
        <w:p w14:paraId="26AABF22" w14:textId="77777777" w:rsidR="00104ABC" w:rsidRDefault="00104ABC">
          <w:pPr>
            <w:pStyle w:val="TOC3"/>
            <w:tabs>
              <w:tab w:val="right" w:leader="dot" w:pos="9350"/>
            </w:tabs>
            <w:rPr>
              <w:noProof/>
            </w:rPr>
          </w:pPr>
          <w:hyperlink w:anchor="_Toc232765273" w:history="1">
            <w:r w:rsidRPr="00E435F4">
              <w:rPr>
                <w:rStyle w:val="Hyperlink"/>
                <w:noProof/>
              </w:rPr>
              <w:t>4.1.a The Biblical Basis</w:t>
            </w:r>
            <w:r>
              <w:rPr>
                <w:noProof/>
              </w:rPr>
              <w:tab/>
            </w:r>
            <w:r>
              <w:rPr>
                <w:noProof/>
              </w:rPr>
              <w:fldChar w:fldCharType="begin"/>
            </w:r>
            <w:r>
              <w:rPr>
                <w:noProof/>
              </w:rPr>
              <w:instrText xml:space="preserve"> PAGEREF _Toc232765273 \h </w:instrText>
            </w:r>
            <w:r>
              <w:rPr>
                <w:noProof/>
              </w:rPr>
            </w:r>
            <w:r>
              <w:rPr>
                <w:noProof/>
              </w:rPr>
              <w:fldChar w:fldCharType="separate"/>
            </w:r>
            <w:r>
              <w:rPr>
                <w:noProof/>
              </w:rPr>
              <w:t>1</w:t>
            </w:r>
            <w:r>
              <w:rPr>
                <w:noProof/>
              </w:rPr>
              <w:fldChar w:fldCharType="end"/>
            </w:r>
          </w:hyperlink>
        </w:p>
        <w:p w14:paraId="7F735244" w14:textId="77777777" w:rsidR="00104ABC" w:rsidRDefault="00104ABC">
          <w:pPr>
            <w:pStyle w:val="TOC3"/>
            <w:tabs>
              <w:tab w:val="right" w:leader="dot" w:pos="9350"/>
            </w:tabs>
            <w:rPr>
              <w:noProof/>
            </w:rPr>
          </w:pPr>
          <w:hyperlink w:anchor="_Toc232765274" w:history="1">
            <w:r w:rsidRPr="00E435F4">
              <w:rPr>
                <w:rStyle w:val="Hyperlink"/>
                <w:noProof/>
              </w:rPr>
              <w:t>4.1.b The Patristic Development</w:t>
            </w:r>
            <w:r>
              <w:rPr>
                <w:noProof/>
              </w:rPr>
              <w:tab/>
            </w:r>
            <w:r>
              <w:rPr>
                <w:noProof/>
              </w:rPr>
              <w:fldChar w:fldCharType="begin"/>
            </w:r>
            <w:r>
              <w:rPr>
                <w:noProof/>
              </w:rPr>
              <w:instrText xml:space="preserve"> PAGEREF _Toc232765274 \h </w:instrText>
            </w:r>
            <w:r>
              <w:rPr>
                <w:noProof/>
              </w:rPr>
            </w:r>
            <w:r>
              <w:rPr>
                <w:noProof/>
              </w:rPr>
              <w:fldChar w:fldCharType="separate"/>
            </w:r>
            <w:r>
              <w:rPr>
                <w:noProof/>
              </w:rPr>
              <w:t>1</w:t>
            </w:r>
            <w:r>
              <w:rPr>
                <w:noProof/>
              </w:rPr>
              <w:fldChar w:fldCharType="end"/>
            </w:r>
          </w:hyperlink>
        </w:p>
        <w:p w14:paraId="0627EF85" w14:textId="77777777" w:rsidR="00104ABC" w:rsidRDefault="00104ABC">
          <w:pPr>
            <w:pStyle w:val="TOC3"/>
            <w:tabs>
              <w:tab w:val="right" w:leader="dot" w:pos="9350"/>
            </w:tabs>
            <w:rPr>
              <w:noProof/>
            </w:rPr>
          </w:pPr>
          <w:hyperlink w:anchor="_Toc232765275" w:history="1">
            <w:r w:rsidRPr="00E435F4">
              <w:rPr>
                <w:rStyle w:val="Hyperlink"/>
                <w:noProof/>
              </w:rPr>
              <w:t>4.1.c The Palamite Framework: Theosis as Participation in the Divine Energies</w:t>
            </w:r>
            <w:r>
              <w:rPr>
                <w:noProof/>
              </w:rPr>
              <w:tab/>
            </w:r>
            <w:r>
              <w:rPr>
                <w:noProof/>
              </w:rPr>
              <w:fldChar w:fldCharType="begin"/>
            </w:r>
            <w:r>
              <w:rPr>
                <w:noProof/>
              </w:rPr>
              <w:instrText xml:space="preserve"> PAGEREF _Toc232765275 \h </w:instrText>
            </w:r>
            <w:r>
              <w:rPr>
                <w:noProof/>
              </w:rPr>
            </w:r>
            <w:r>
              <w:rPr>
                <w:noProof/>
              </w:rPr>
              <w:fldChar w:fldCharType="separate"/>
            </w:r>
            <w:r>
              <w:rPr>
                <w:noProof/>
              </w:rPr>
              <w:t>1</w:t>
            </w:r>
            <w:r>
              <w:rPr>
                <w:noProof/>
              </w:rPr>
              <w:fldChar w:fldCharType="end"/>
            </w:r>
          </w:hyperlink>
        </w:p>
        <w:p w14:paraId="451C7BB0" w14:textId="77777777" w:rsidR="00104ABC" w:rsidRDefault="00104ABC">
          <w:pPr>
            <w:pStyle w:val="TOC3"/>
            <w:tabs>
              <w:tab w:val="right" w:leader="dot" w:pos="9350"/>
            </w:tabs>
            <w:rPr>
              <w:noProof/>
            </w:rPr>
          </w:pPr>
          <w:hyperlink w:anchor="_Toc232765276" w:history="1">
            <w:r w:rsidRPr="00E435F4">
              <w:rPr>
                <w:rStyle w:val="Hyperlink"/>
                <w:noProof/>
              </w:rPr>
              <w:t>4.1.d The Process of Theosis: Stages of the Spiritual Life</w:t>
            </w:r>
            <w:r>
              <w:rPr>
                <w:noProof/>
              </w:rPr>
              <w:tab/>
            </w:r>
            <w:r>
              <w:rPr>
                <w:noProof/>
              </w:rPr>
              <w:fldChar w:fldCharType="begin"/>
            </w:r>
            <w:r>
              <w:rPr>
                <w:noProof/>
              </w:rPr>
              <w:instrText xml:space="preserve"> PAGEREF _Toc232765276 \h </w:instrText>
            </w:r>
            <w:r>
              <w:rPr>
                <w:noProof/>
              </w:rPr>
            </w:r>
            <w:r>
              <w:rPr>
                <w:noProof/>
              </w:rPr>
              <w:fldChar w:fldCharType="separate"/>
            </w:r>
            <w:r>
              <w:rPr>
                <w:noProof/>
              </w:rPr>
              <w:t>1</w:t>
            </w:r>
            <w:r>
              <w:rPr>
                <w:noProof/>
              </w:rPr>
              <w:fldChar w:fldCharType="end"/>
            </w:r>
          </w:hyperlink>
        </w:p>
        <w:p w14:paraId="70C1D584" w14:textId="77777777" w:rsidR="00104ABC" w:rsidRDefault="00104ABC">
          <w:pPr>
            <w:pStyle w:val="TOC3"/>
            <w:tabs>
              <w:tab w:val="right" w:leader="dot" w:pos="9350"/>
            </w:tabs>
            <w:rPr>
              <w:noProof/>
            </w:rPr>
          </w:pPr>
          <w:hyperlink w:anchor="_Toc232765277" w:history="1">
            <w:r w:rsidRPr="00E435F4">
              <w:rPr>
                <w:rStyle w:val="Hyperlink"/>
                <w:noProof/>
              </w:rPr>
              <w:t>4.1.e The Theotokos as the First Fruits of Theosis</w:t>
            </w:r>
            <w:r>
              <w:rPr>
                <w:noProof/>
              </w:rPr>
              <w:tab/>
            </w:r>
            <w:r>
              <w:rPr>
                <w:noProof/>
              </w:rPr>
              <w:fldChar w:fldCharType="begin"/>
            </w:r>
            <w:r>
              <w:rPr>
                <w:noProof/>
              </w:rPr>
              <w:instrText xml:space="preserve"> PAGEREF _Toc232765277 \h </w:instrText>
            </w:r>
            <w:r>
              <w:rPr>
                <w:noProof/>
              </w:rPr>
            </w:r>
            <w:r>
              <w:rPr>
                <w:noProof/>
              </w:rPr>
              <w:fldChar w:fldCharType="separate"/>
            </w:r>
            <w:r>
              <w:rPr>
                <w:noProof/>
              </w:rPr>
              <w:t>1</w:t>
            </w:r>
            <w:r>
              <w:rPr>
                <w:noProof/>
              </w:rPr>
              <w:fldChar w:fldCharType="end"/>
            </w:r>
          </w:hyperlink>
        </w:p>
        <w:p w14:paraId="57292D33" w14:textId="77777777" w:rsidR="00104ABC" w:rsidRDefault="00104ABC">
          <w:pPr>
            <w:pStyle w:val="TOC2"/>
            <w:tabs>
              <w:tab w:val="right" w:leader="dot" w:pos="9350"/>
            </w:tabs>
            <w:rPr>
              <w:noProof/>
            </w:rPr>
          </w:pPr>
          <w:hyperlink w:anchor="_Toc232765278" w:history="1">
            <w:r w:rsidRPr="00E435F4">
              <w:rPr>
                <w:rStyle w:val="Hyperlink"/>
                <w:noProof/>
              </w:rPr>
              <w:t>4.2 Ancestral Sin: The Orthodox Anthropology</w:t>
            </w:r>
            <w:r>
              <w:rPr>
                <w:noProof/>
              </w:rPr>
              <w:tab/>
            </w:r>
            <w:r>
              <w:rPr>
                <w:noProof/>
              </w:rPr>
              <w:fldChar w:fldCharType="begin"/>
            </w:r>
            <w:r>
              <w:rPr>
                <w:noProof/>
              </w:rPr>
              <w:instrText xml:space="preserve"> PAGEREF _Toc232765278 \h </w:instrText>
            </w:r>
            <w:r>
              <w:rPr>
                <w:noProof/>
              </w:rPr>
            </w:r>
            <w:r>
              <w:rPr>
                <w:noProof/>
              </w:rPr>
              <w:fldChar w:fldCharType="separate"/>
            </w:r>
            <w:r>
              <w:rPr>
                <w:noProof/>
              </w:rPr>
              <w:t>1</w:t>
            </w:r>
            <w:r>
              <w:rPr>
                <w:noProof/>
              </w:rPr>
              <w:fldChar w:fldCharType="end"/>
            </w:r>
          </w:hyperlink>
        </w:p>
        <w:p w14:paraId="61B7EE4B" w14:textId="77777777" w:rsidR="00104ABC" w:rsidRDefault="00104ABC">
          <w:pPr>
            <w:pStyle w:val="TOC3"/>
            <w:tabs>
              <w:tab w:val="right" w:leader="dot" w:pos="9350"/>
            </w:tabs>
            <w:rPr>
              <w:noProof/>
            </w:rPr>
          </w:pPr>
          <w:hyperlink w:anchor="_Toc232765279" w:history="1">
            <w:r w:rsidRPr="00E435F4">
              <w:rPr>
                <w:rStyle w:val="Hyperlink"/>
                <w:noProof/>
              </w:rPr>
              <w:t>4.2.a The Orthodox Reading of Genesis 3</w:t>
            </w:r>
            <w:r>
              <w:rPr>
                <w:noProof/>
              </w:rPr>
              <w:tab/>
            </w:r>
            <w:r>
              <w:rPr>
                <w:noProof/>
              </w:rPr>
              <w:fldChar w:fldCharType="begin"/>
            </w:r>
            <w:r>
              <w:rPr>
                <w:noProof/>
              </w:rPr>
              <w:instrText xml:space="preserve"> PAGEREF _Toc232765279 \h </w:instrText>
            </w:r>
            <w:r>
              <w:rPr>
                <w:noProof/>
              </w:rPr>
            </w:r>
            <w:r>
              <w:rPr>
                <w:noProof/>
              </w:rPr>
              <w:fldChar w:fldCharType="separate"/>
            </w:r>
            <w:r>
              <w:rPr>
                <w:noProof/>
              </w:rPr>
              <w:t>1</w:t>
            </w:r>
            <w:r>
              <w:rPr>
                <w:noProof/>
              </w:rPr>
              <w:fldChar w:fldCharType="end"/>
            </w:r>
          </w:hyperlink>
        </w:p>
        <w:p w14:paraId="683D9B3F" w14:textId="77777777" w:rsidR="00104ABC" w:rsidRDefault="00104ABC">
          <w:pPr>
            <w:pStyle w:val="TOC3"/>
            <w:tabs>
              <w:tab w:val="right" w:leader="dot" w:pos="9350"/>
            </w:tabs>
            <w:rPr>
              <w:noProof/>
            </w:rPr>
          </w:pPr>
          <w:hyperlink w:anchor="_Toc232765280" w:history="1">
            <w:r w:rsidRPr="00E435F4">
              <w:rPr>
                <w:rStyle w:val="Hyperlink"/>
                <w:noProof/>
              </w:rPr>
              <w:t>4.2.b The Greek Text of Romans 5:12 and the Patristic Exegesis</w:t>
            </w:r>
            <w:r>
              <w:rPr>
                <w:noProof/>
              </w:rPr>
              <w:tab/>
            </w:r>
            <w:r>
              <w:rPr>
                <w:noProof/>
              </w:rPr>
              <w:fldChar w:fldCharType="begin"/>
            </w:r>
            <w:r>
              <w:rPr>
                <w:noProof/>
              </w:rPr>
              <w:instrText xml:space="preserve"> PAGEREF _Toc232765280 \h </w:instrText>
            </w:r>
            <w:r>
              <w:rPr>
                <w:noProof/>
              </w:rPr>
            </w:r>
            <w:r>
              <w:rPr>
                <w:noProof/>
              </w:rPr>
              <w:fldChar w:fldCharType="separate"/>
            </w:r>
            <w:r>
              <w:rPr>
                <w:noProof/>
              </w:rPr>
              <w:t>1</w:t>
            </w:r>
            <w:r>
              <w:rPr>
                <w:noProof/>
              </w:rPr>
              <w:fldChar w:fldCharType="end"/>
            </w:r>
          </w:hyperlink>
        </w:p>
        <w:p w14:paraId="1E799E39" w14:textId="77777777" w:rsidR="00104ABC" w:rsidRDefault="00104ABC">
          <w:pPr>
            <w:pStyle w:val="TOC3"/>
            <w:tabs>
              <w:tab w:val="right" w:leader="dot" w:pos="9350"/>
            </w:tabs>
            <w:rPr>
              <w:noProof/>
            </w:rPr>
          </w:pPr>
          <w:hyperlink w:anchor="_Toc232765281" w:history="1">
            <w:r w:rsidRPr="00E435F4">
              <w:rPr>
                <w:rStyle w:val="Hyperlink"/>
                <w:noProof/>
              </w:rPr>
              <w:t>4.2.c The Theological Implications</w:t>
            </w:r>
            <w:r>
              <w:rPr>
                <w:noProof/>
              </w:rPr>
              <w:tab/>
            </w:r>
            <w:r>
              <w:rPr>
                <w:noProof/>
              </w:rPr>
              <w:fldChar w:fldCharType="begin"/>
            </w:r>
            <w:r>
              <w:rPr>
                <w:noProof/>
              </w:rPr>
              <w:instrText xml:space="preserve"> PAGEREF _Toc232765281 \h </w:instrText>
            </w:r>
            <w:r>
              <w:rPr>
                <w:noProof/>
              </w:rPr>
            </w:r>
            <w:r>
              <w:rPr>
                <w:noProof/>
              </w:rPr>
              <w:fldChar w:fldCharType="separate"/>
            </w:r>
            <w:r>
              <w:rPr>
                <w:noProof/>
              </w:rPr>
              <w:t>1</w:t>
            </w:r>
            <w:r>
              <w:rPr>
                <w:noProof/>
              </w:rPr>
              <w:fldChar w:fldCharType="end"/>
            </w:r>
          </w:hyperlink>
        </w:p>
        <w:p w14:paraId="3AB7BE7C" w14:textId="77777777" w:rsidR="00104ABC" w:rsidRDefault="00104ABC">
          <w:pPr>
            <w:pStyle w:val="TOC2"/>
            <w:tabs>
              <w:tab w:val="right" w:leader="dot" w:pos="9350"/>
            </w:tabs>
            <w:rPr>
              <w:noProof/>
            </w:rPr>
          </w:pPr>
          <w:hyperlink w:anchor="_Toc232765282" w:history="1">
            <w:r w:rsidRPr="00E435F4">
              <w:rPr>
                <w:rStyle w:val="Hyperlink"/>
                <w:noProof/>
              </w:rPr>
              <w:t>4.3 The Atonement: Christus Victor, Recapitulation, and the Orthodox Critique of Penal Substitution</w:t>
            </w:r>
            <w:r>
              <w:rPr>
                <w:noProof/>
              </w:rPr>
              <w:tab/>
            </w:r>
            <w:r>
              <w:rPr>
                <w:noProof/>
              </w:rPr>
              <w:fldChar w:fldCharType="begin"/>
            </w:r>
            <w:r>
              <w:rPr>
                <w:noProof/>
              </w:rPr>
              <w:instrText xml:space="preserve"> PAGEREF _Toc232765282 \h </w:instrText>
            </w:r>
            <w:r>
              <w:rPr>
                <w:noProof/>
              </w:rPr>
            </w:r>
            <w:r>
              <w:rPr>
                <w:noProof/>
              </w:rPr>
              <w:fldChar w:fldCharType="separate"/>
            </w:r>
            <w:r>
              <w:rPr>
                <w:noProof/>
              </w:rPr>
              <w:t>1</w:t>
            </w:r>
            <w:r>
              <w:rPr>
                <w:noProof/>
              </w:rPr>
              <w:fldChar w:fldCharType="end"/>
            </w:r>
          </w:hyperlink>
        </w:p>
        <w:p w14:paraId="3613635B" w14:textId="77777777" w:rsidR="00104ABC" w:rsidRDefault="00104ABC">
          <w:pPr>
            <w:pStyle w:val="TOC3"/>
            <w:tabs>
              <w:tab w:val="right" w:leader="dot" w:pos="9350"/>
            </w:tabs>
            <w:rPr>
              <w:noProof/>
            </w:rPr>
          </w:pPr>
          <w:hyperlink w:anchor="_Toc232765283" w:history="1">
            <w:r w:rsidRPr="00E435F4">
              <w:rPr>
                <w:rStyle w:val="Hyperlink"/>
                <w:noProof/>
              </w:rPr>
              <w:t>4.3.a The Orthodox Atonement: Christ's Death as the Defeat of Death</w:t>
            </w:r>
            <w:r>
              <w:rPr>
                <w:noProof/>
              </w:rPr>
              <w:tab/>
            </w:r>
            <w:r>
              <w:rPr>
                <w:noProof/>
              </w:rPr>
              <w:fldChar w:fldCharType="begin"/>
            </w:r>
            <w:r>
              <w:rPr>
                <w:noProof/>
              </w:rPr>
              <w:instrText xml:space="preserve"> PAGEREF _Toc232765283 \h </w:instrText>
            </w:r>
            <w:r>
              <w:rPr>
                <w:noProof/>
              </w:rPr>
            </w:r>
            <w:r>
              <w:rPr>
                <w:noProof/>
              </w:rPr>
              <w:fldChar w:fldCharType="separate"/>
            </w:r>
            <w:r>
              <w:rPr>
                <w:noProof/>
              </w:rPr>
              <w:t>1</w:t>
            </w:r>
            <w:r>
              <w:rPr>
                <w:noProof/>
              </w:rPr>
              <w:fldChar w:fldCharType="end"/>
            </w:r>
          </w:hyperlink>
        </w:p>
        <w:p w14:paraId="20D75867" w14:textId="77777777" w:rsidR="00104ABC" w:rsidRDefault="00104ABC">
          <w:pPr>
            <w:pStyle w:val="TOC3"/>
            <w:tabs>
              <w:tab w:val="right" w:leader="dot" w:pos="9350"/>
            </w:tabs>
            <w:rPr>
              <w:noProof/>
            </w:rPr>
          </w:pPr>
          <w:hyperlink w:anchor="_Toc232765284" w:history="1">
            <w:r w:rsidRPr="00E435F4">
              <w:rPr>
                <w:rStyle w:val="Hyperlink"/>
                <w:noProof/>
              </w:rPr>
              <w:t>4.3.b The Divine Liturgy as the Theological Locus of Orthodox Atonement Theology</w:t>
            </w:r>
            <w:r>
              <w:rPr>
                <w:noProof/>
              </w:rPr>
              <w:tab/>
            </w:r>
            <w:r>
              <w:rPr>
                <w:noProof/>
              </w:rPr>
              <w:fldChar w:fldCharType="begin"/>
            </w:r>
            <w:r>
              <w:rPr>
                <w:noProof/>
              </w:rPr>
              <w:instrText xml:space="preserve"> PAGEREF _Toc232765284 \h </w:instrText>
            </w:r>
            <w:r>
              <w:rPr>
                <w:noProof/>
              </w:rPr>
            </w:r>
            <w:r>
              <w:rPr>
                <w:noProof/>
              </w:rPr>
              <w:fldChar w:fldCharType="separate"/>
            </w:r>
            <w:r>
              <w:rPr>
                <w:noProof/>
              </w:rPr>
              <w:t>1</w:t>
            </w:r>
            <w:r>
              <w:rPr>
                <w:noProof/>
              </w:rPr>
              <w:fldChar w:fldCharType="end"/>
            </w:r>
          </w:hyperlink>
        </w:p>
        <w:p w14:paraId="00671FB1" w14:textId="77777777" w:rsidR="00104ABC" w:rsidRDefault="00104ABC">
          <w:pPr>
            <w:pStyle w:val="TOC3"/>
            <w:tabs>
              <w:tab w:val="right" w:leader="dot" w:pos="9350"/>
            </w:tabs>
            <w:rPr>
              <w:noProof/>
            </w:rPr>
          </w:pPr>
          <w:hyperlink w:anchor="_Toc232765285" w:history="1">
            <w:r w:rsidRPr="00E435F4">
              <w:rPr>
                <w:rStyle w:val="Hyperlink"/>
                <w:noProof/>
              </w:rPr>
              <w:t>4.3.c The Orthodox Critique of Penal Substitutionary Atonement</w:t>
            </w:r>
            <w:r>
              <w:rPr>
                <w:noProof/>
              </w:rPr>
              <w:tab/>
            </w:r>
            <w:r>
              <w:rPr>
                <w:noProof/>
              </w:rPr>
              <w:fldChar w:fldCharType="begin"/>
            </w:r>
            <w:r>
              <w:rPr>
                <w:noProof/>
              </w:rPr>
              <w:instrText xml:space="preserve"> PAGEREF _Toc232765285 \h </w:instrText>
            </w:r>
            <w:r>
              <w:rPr>
                <w:noProof/>
              </w:rPr>
            </w:r>
            <w:r>
              <w:rPr>
                <w:noProof/>
              </w:rPr>
              <w:fldChar w:fldCharType="separate"/>
            </w:r>
            <w:r>
              <w:rPr>
                <w:noProof/>
              </w:rPr>
              <w:t>1</w:t>
            </w:r>
            <w:r>
              <w:rPr>
                <w:noProof/>
              </w:rPr>
              <w:fldChar w:fldCharType="end"/>
            </w:r>
          </w:hyperlink>
        </w:p>
        <w:p w14:paraId="0F378C97" w14:textId="77777777" w:rsidR="00104ABC" w:rsidRDefault="00104ABC">
          <w:pPr>
            <w:pStyle w:val="TOC3"/>
            <w:tabs>
              <w:tab w:val="right" w:leader="dot" w:pos="9350"/>
            </w:tabs>
            <w:rPr>
              <w:noProof/>
            </w:rPr>
          </w:pPr>
          <w:hyperlink w:anchor="_Toc232765286" w:history="1">
            <w:r w:rsidRPr="00E435F4">
              <w:rPr>
                <w:rStyle w:val="Hyperlink"/>
                <w:noProof/>
              </w:rPr>
              <w:t>4.3.d The Incarnation as Atonement</w:t>
            </w:r>
            <w:r>
              <w:rPr>
                <w:noProof/>
              </w:rPr>
              <w:tab/>
            </w:r>
            <w:r>
              <w:rPr>
                <w:noProof/>
              </w:rPr>
              <w:fldChar w:fldCharType="begin"/>
            </w:r>
            <w:r>
              <w:rPr>
                <w:noProof/>
              </w:rPr>
              <w:instrText xml:space="preserve"> PAGEREF _Toc232765286 \h </w:instrText>
            </w:r>
            <w:r>
              <w:rPr>
                <w:noProof/>
              </w:rPr>
            </w:r>
            <w:r>
              <w:rPr>
                <w:noProof/>
              </w:rPr>
              <w:fldChar w:fldCharType="separate"/>
            </w:r>
            <w:r>
              <w:rPr>
                <w:noProof/>
              </w:rPr>
              <w:t>1</w:t>
            </w:r>
            <w:r>
              <w:rPr>
                <w:noProof/>
              </w:rPr>
              <w:fldChar w:fldCharType="end"/>
            </w:r>
          </w:hyperlink>
        </w:p>
        <w:p w14:paraId="611934AD" w14:textId="77777777" w:rsidR="00104ABC" w:rsidRDefault="00104ABC">
          <w:pPr>
            <w:pStyle w:val="TOC2"/>
            <w:tabs>
              <w:tab w:val="right" w:leader="dot" w:pos="9350"/>
            </w:tabs>
            <w:rPr>
              <w:noProof/>
            </w:rPr>
          </w:pPr>
          <w:hyperlink w:anchor="_Toc232765287" w:history="1">
            <w:r w:rsidRPr="00E435F4">
              <w:rPr>
                <w:rStyle w:val="Hyperlink"/>
                <w:noProof/>
              </w:rPr>
              <w:t>4.4 Synergism: The Orthodox Doctrine of Grace and Human Freedom</w:t>
            </w:r>
            <w:r>
              <w:rPr>
                <w:noProof/>
              </w:rPr>
              <w:tab/>
            </w:r>
            <w:r>
              <w:rPr>
                <w:noProof/>
              </w:rPr>
              <w:fldChar w:fldCharType="begin"/>
            </w:r>
            <w:r>
              <w:rPr>
                <w:noProof/>
              </w:rPr>
              <w:instrText xml:space="preserve"> PAGEREF _Toc232765287 \h </w:instrText>
            </w:r>
            <w:r>
              <w:rPr>
                <w:noProof/>
              </w:rPr>
            </w:r>
            <w:r>
              <w:rPr>
                <w:noProof/>
              </w:rPr>
              <w:fldChar w:fldCharType="separate"/>
            </w:r>
            <w:r>
              <w:rPr>
                <w:noProof/>
              </w:rPr>
              <w:t>1</w:t>
            </w:r>
            <w:r>
              <w:rPr>
                <w:noProof/>
              </w:rPr>
              <w:fldChar w:fldCharType="end"/>
            </w:r>
          </w:hyperlink>
        </w:p>
        <w:p w14:paraId="1F06C56B" w14:textId="77777777" w:rsidR="00104ABC" w:rsidRDefault="00104ABC">
          <w:pPr>
            <w:pStyle w:val="TOC3"/>
            <w:tabs>
              <w:tab w:val="right" w:leader="dot" w:pos="9350"/>
            </w:tabs>
            <w:rPr>
              <w:noProof/>
            </w:rPr>
          </w:pPr>
          <w:hyperlink w:anchor="_Toc232765288" w:history="1">
            <w:r w:rsidRPr="00E435F4">
              <w:rPr>
                <w:rStyle w:val="Hyperlink"/>
                <w:noProof/>
              </w:rPr>
              <w:t>4.4.a The Orthodox Via Media</w:t>
            </w:r>
            <w:r>
              <w:rPr>
                <w:noProof/>
              </w:rPr>
              <w:tab/>
            </w:r>
            <w:r>
              <w:rPr>
                <w:noProof/>
              </w:rPr>
              <w:fldChar w:fldCharType="begin"/>
            </w:r>
            <w:r>
              <w:rPr>
                <w:noProof/>
              </w:rPr>
              <w:instrText xml:space="preserve"> PAGEREF _Toc232765288 \h </w:instrText>
            </w:r>
            <w:r>
              <w:rPr>
                <w:noProof/>
              </w:rPr>
            </w:r>
            <w:r>
              <w:rPr>
                <w:noProof/>
              </w:rPr>
              <w:fldChar w:fldCharType="separate"/>
            </w:r>
            <w:r>
              <w:rPr>
                <w:noProof/>
              </w:rPr>
              <w:t>1</w:t>
            </w:r>
            <w:r>
              <w:rPr>
                <w:noProof/>
              </w:rPr>
              <w:fldChar w:fldCharType="end"/>
            </w:r>
          </w:hyperlink>
        </w:p>
        <w:p w14:paraId="61D06D7D" w14:textId="77777777" w:rsidR="00104ABC" w:rsidRDefault="00104ABC">
          <w:pPr>
            <w:pStyle w:val="TOC3"/>
            <w:tabs>
              <w:tab w:val="right" w:leader="dot" w:pos="9350"/>
            </w:tabs>
            <w:rPr>
              <w:noProof/>
            </w:rPr>
          </w:pPr>
          <w:hyperlink w:anchor="_Toc232765289" w:history="1">
            <w:r w:rsidRPr="00E435F4">
              <w:rPr>
                <w:rStyle w:val="Hyperlink"/>
                <w:noProof/>
              </w:rPr>
              <w:t>4.4.b Patristic Foundations</w:t>
            </w:r>
            <w:r>
              <w:rPr>
                <w:noProof/>
              </w:rPr>
              <w:tab/>
            </w:r>
            <w:r>
              <w:rPr>
                <w:noProof/>
              </w:rPr>
              <w:fldChar w:fldCharType="begin"/>
            </w:r>
            <w:r>
              <w:rPr>
                <w:noProof/>
              </w:rPr>
              <w:instrText xml:space="preserve"> PAGEREF _Toc232765289 \h </w:instrText>
            </w:r>
            <w:r>
              <w:rPr>
                <w:noProof/>
              </w:rPr>
            </w:r>
            <w:r>
              <w:rPr>
                <w:noProof/>
              </w:rPr>
              <w:fldChar w:fldCharType="separate"/>
            </w:r>
            <w:r>
              <w:rPr>
                <w:noProof/>
              </w:rPr>
              <w:t>1</w:t>
            </w:r>
            <w:r>
              <w:rPr>
                <w:noProof/>
              </w:rPr>
              <w:fldChar w:fldCharType="end"/>
            </w:r>
          </w:hyperlink>
        </w:p>
        <w:p w14:paraId="14054987" w14:textId="77777777" w:rsidR="00104ABC" w:rsidRDefault="00104ABC">
          <w:pPr>
            <w:pStyle w:val="TOC3"/>
            <w:tabs>
              <w:tab w:val="right" w:leader="dot" w:pos="9350"/>
            </w:tabs>
            <w:rPr>
              <w:noProof/>
            </w:rPr>
          </w:pPr>
          <w:hyperlink w:anchor="_Toc232765290" w:history="1">
            <w:r w:rsidRPr="00E435F4">
              <w:rPr>
                <w:rStyle w:val="Hyperlink"/>
                <w:noProof/>
              </w:rPr>
              <w:t>4.4.c Distinguishing Orthodox Synergism from Pelagianism</w:t>
            </w:r>
            <w:r>
              <w:rPr>
                <w:noProof/>
              </w:rPr>
              <w:tab/>
            </w:r>
            <w:r>
              <w:rPr>
                <w:noProof/>
              </w:rPr>
              <w:fldChar w:fldCharType="begin"/>
            </w:r>
            <w:r>
              <w:rPr>
                <w:noProof/>
              </w:rPr>
              <w:instrText xml:space="preserve"> PAGEREF _Toc232765290 \h </w:instrText>
            </w:r>
            <w:r>
              <w:rPr>
                <w:noProof/>
              </w:rPr>
            </w:r>
            <w:r>
              <w:rPr>
                <w:noProof/>
              </w:rPr>
              <w:fldChar w:fldCharType="separate"/>
            </w:r>
            <w:r>
              <w:rPr>
                <w:noProof/>
              </w:rPr>
              <w:t>1</w:t>
            </w:r>
            <w:r>
              <w:rPr>
                <w:noProof/>
              </w:rPr>
              <w:fldChar w:fldCharType="end"/>
            </w:r>
          </w:hyperlink>
        </w:p>
        <w:p w14:paraId="29E26FD9" w14:textId="77777777" w:rsidR="00104ABC" w:rsidRDefault="00104ABC">
          <w:pPr>
            <w:pStyle w:val="TOC1"/>
            <w:tabs>
              <w:tab w:val="right" w:leader="dot" w:pos="9350"/>
            </w:tabs>
            <w:rPr>
              <w:noProof/>
            </w:rPr>
          </w:pPr>
          <w:hyperlink w:anchor="_Toc232765291" w:history="1">
            <w:r w:rsidRPr="00E435F4">
              <w:rPr>
                <w:rStyle w:val="Hyperlink"/>
                <w:noProof/>
              </w:rPr>
              <w:t>CHAPTER FIVE: THE SEVEN HOLY MYSTERIES — ORTHODOX SACRAMENTAL THEOLOGY</w:t>
            </w:r>
            <w:r>
              <w:rPr>
                <w:noProof/>
              </w:rPr>
              <w:tab/>
            </w:r>
            <w:r>
              <w:rPr>
                <w:noProof/>
              </w:rPr>
              <w:fldChar w:fldCharType="begin"/>
            </w:r>
            <w:r>
              <w:rPr>
                <w:noProof/>
              </w:rPr>
              <w:instrText xml:space="preserve"> PAGEREF _Toc232765291 \h </w:instrText>
            </w:r>
            <w:r>
              <w:rPr>
                <w:noProof/>
              </w:rPr>
            </w:r>
            <w:r>
              <w:rPr>
                <w:noProof/>
              </w:rPr>
              <w:fldChar w:fldCharType="separate"/>
            </w:r>
            <w:r>
              <w:rPr>
                <w:noProof/>
              </w:rPr>
              <w:t>1</w:t>
            </w:r>
            <w:r>
              <w:rPr>
                <w:noProof/>
              </w:rPr>
              <w:fldChar w:fldCharType="end"/>
            </w:r>
          </w:hyperlink>
        </w:p>
        <w:p w14:paraId="6EE9AD53" w14:textId="77777777" w:rsidR="00104ABC" w:rsidRDefault="00104ABC">
          <w:pPr>
            <w:pStyle w:val="TOC2"/>
            <w:tabs>
              <w:tab w:val="right" w:leader="dot" w:pos="9350"/>
            </w:tabs>
            <w:rPr>
              <w:noProof/>
            </w:rPr>
          </w:pPr>
          <w:hyperlink w:anchor="_Toc232765292" w:history="1">
            <w:r w:rsidRPr="00E435F4">
              <w:rPr>
                <w:rStyle w:val="Hyperlink"/>
                <w:noProof/>
              </w:rPr>
              <w:t>5.0 The Theology of Mysterion</w:t>
            </w:r>
            <w:r>
              <w:rPr>
                <w:noProof/>
              </w:rPr>
              <w:tab/>
            </w:r>
            <w:r>
              <w:rPr>
                <w:noProof/>
              </w:rPr>
              <w:fldChar w:fldCharType="begin"/>
            </w:r>
            <w:r>
              <w:rPr>
                <w:noProof/>
              </w:rPr>
              <w:instrText xml:space="preserve"> PAGEREF _Toc232765292 \h </w:instrText>
            </w:r>
            <w:r>
              <w:rPr>
                <w:noProof/>
              </w:rPr>
            </w:r>
            <w:r>
              <w:rPr>
                <w:noProof/>
              </w:rPr>
              <w:fldChar w:fldCharType="separate"/>
            </w:r>
            <w:r>
              <w:rPr>
                <w:noProof/>
              </w:rPr>
              <w:t>1</w:t>
            </w:r>
            <w:r>
              <w:rPr>
                <w:noProof/>
              </w:rPr>
              <w:fldChar w:fldCharType="end"/>
            </w:r>
          </w:hyperlink>
        </w:p>
        <w:p w14:paraId="15AB2CA9" w14:textId="77777777" w:rsidR="00104ABC" w:rsidRDefault="00104ABC">
          <w:pPr>
            <w:pStyle w:val="TOC3"/>
            <w:tabs>
              <w:tab w:val="right" w:leader="dot" w:pos="9350"/>
            </w:tabs>
            <w:rPr>
              <w:noProof/>
            </w:rPr>
          </w:pPr>
          <w:hyperlink w:anchor="_Toc232765293" w:history="1">
            <w:r w:rsidRPr="00E435F4">
              <w:rPr>
                <w:rStyle w:val="Hyperlink"/>
                <w:noProof/>
              </w:rPr>
              <w:t>5.0.a Mysterion and Sacramentum</w:t>
            </w:r>
            <w:r>
              <w:rPr>
                <w:noProof/>
              </w:rPr>
              <w:tab/>
            </w:r>
            <w:r>
              <w:rPr>
                <w:noProof/>
              </w:rPr>
              <w:fldChar w:fldCharType="begin"/>
            </w:r>
            <w:r>
              <w:rPr>
                <w:noProof/>
              </w:rPr>
              <w:instrText xml:space="preserve"> PAGEREF _Toc232765293 \h </w:instrText>
            </w:r>
            <w:r>
              <w:rPr>
                <w:noProof/>
              </w:rPr>
            </w:r>
            <w:r>
              <w:rPr>
                <w:noProof/>
              </w:rPr>
              <w:fldChar w:fldCharType="separate"/>
            </w:r>
            <w:r>
              <w:rPr>
                <w:noProof/>
              </w:rPr>
              <w:t>1</w:t>
            </w:r>
            <w:r>
              <w:rPr>
                <w:noProof/>
              </w:rPr>
              <w:fldChar w:fldCharType="end"/>
            </w:r>
          </w:hyperlink>
        </w:p>
        <w:p w14:paraId="62DD0B43" w14:textId="77777777" w:rsidR="00104ABC" w:rsidRDefault="00104ABC">
          <w:pPr>
            <w:pStyle w:val="TOC3"/>
            <w:tabs>
              <w:tab w:val="right" w:leader="dot" w:pos="9350"/>
            </w:tabs>
            <w:rPr>
              <w:noProof/>
            </w:rPr>
          </w:pPr>
          <w:hyperlink w:anchor="_Toc232765294" w:history="1">
            <w:r w:rsidRPr="00E435F4">
              <w:rPr>
                <w:rStyle w:val="Hyperlink"/>
                <w:noProof/>
              </w:rPr>
              <w:t>5.0.b Schmemann's Eucharistic Ontology and the World as Sacrament</w:t>
            </w:r>
            <w:r>
              <w:rPr>
                <w:noProof/>
              </w:rPr>
              <w:tab/>
            </w:r>
            <w:r>
              <w:rPr>
                <w:noProof/>
              </w:rPr>
              <w:fldChar w:fldCharType="begin"/>
            </w:r>
            <w:r>
              <w:rPr>
                <w:noProof/>
              </w:rPr>
              <w:instrText xml:space="preserve"> PAGEREF _Toc232765294 \h </w:instrText>
            </w:r>
            <w:r>
              <w:rPr>
                <w:noProof/>
              </w:rPr>
            </w:r>
            <w:r>
              <w:rPr>
                <w:noProof/>
              </w:rPr>
              <w:fldChar w:fldCharType="separate"/>
            </w:r>
            <w:r>
              <w:rPr>
                <w:noProof/>
              </w:rPr>
              <w:t>1</w:t>
            </w:r>
            <w:r>
              <w:rPr>
                <w:noProof/>
              </w:rPr>
              <w:fldChar w:fldCharType="end"/>
            </w:r>
          </w:hyperlink>
        </w:p>
        <w:p w14:paraId="5505E833" w14:textId="77777777" w:rsidR="00104ABC" w:rsidRDefault="00104ABC">
          <w:pPr>
            <w:pStyle w:val="TOC2"/>
            <w:tabs>
              <w:tab w:val="right" w:leader="dot" w:pos="9350"/>
            </w:tabs>
            <w:rPr>
              <w:noProof/>
            </w:rPr>
          </w:pPr>
          <w:hyperlink w:anchor="_Toc232765295" w:history="1">
            <w:r w:rsidRPr="00E435F4">
              <w:rPr>
                <w:rStyle w:val="Hyperlink"/>
                <w:noProof/>
              </w:rPr>
              <w:t>5.1 Holy Baptism</w:t>
            </w:r>
            <w:r>
              <w:rPr>
                <w:noProof/>
              </w:rPr>
              <w:tab/>
            </w:r>
            <w:r>
              <w:rPr>
                <w:noProof/>
              </w:rPr>
              <w:fldChar w:fldCharType="begin"/>
            </w:r>
            <w:r>
              <w:rPr>
                <w:noProof/>
              </w:rPr>
              <w:instrText xml:space="preserve"> PAGEREF _Toc232765295 \h </w:instrText>
            </w:r>
            <w:r>
              <w:rPr>
                <w:noProof/>
              </w:rPr>
            </w:r>
            <w:r>
              <w:rPr>
                <w:noProof/>
              </w:rPr>
              <w:fldChar w:fldCharType="separate"/>
            </w:r>
            <w:r>
              <w:rPr>
                <w:noProof/>
              </w:rPr>
              <w:t>1</w:t>
            </w:r>
            <w:r>
              <w:rPr>
                <w:noProof/>
              </w:rPr>
              <w:fldChar w:fldCharType="end"/>
            </w:r>
          </w:hyperlink>
        </w:p>
        <w:p w14:paraId="5EA9C4B7" w14:textId="77777777" w:rsidR="00104ABC" w:rsidRDefault="00104ABC">
          <w:pPr>
            <w:pStyle w:val="TOC2"/>
            <w:tabs>
              <w:tab w:val="right" w:leader="dot" w:pos="9350"/>
            </w:tabs>
            <w:rPr>
              <w:noProof/>
            </w:rPr>
          </w:pPr>
          <w:hyperlink w:anchor="_Toc232765296" w:history="1">
            <w:r w:rsidRPr="00E435F4">
              <w:rPr>
                <w:rStyle w:val="Hyperlink"/>
                <w:noProof/>
              </w:rPr>
              <w:t>5.2 Holy Chrismation</w:t>
            </w:r>
            <w:r>
              <w:rPr>
                <w:noProof/>
              </w:rPr>
              <w:tab/>
            </w:r>
            <w:r>
              <w:rPr>
                <w:noProof/>
              </w:rPr>
              <w:fldChar w:fldCharType="begin"/>
            </w:r>
            <w:r>
              <w:rPr>
                <w:noProof/>
              </w:rPr>
              <w:instrText xml:space="preserve"> PAGEREF _Toc232765296 \h </w:instrText>
            </w:r>
            <w:r>
              <w:rPr>
                <w:noProof/>
              </w:rPr>
            </w:r>
            <w:r>
              <w:rPr>
                <w:noProof/>
              </w:rPr>
              <w:fldChar w:fldCharType="separate"/>
            </w:r>
            <w:r>
              <w:rPr>
                <w:noProof/>
              </w:rPr>
              <w:t>1</w:t>
            </w:r>
            <w:r>
              <w:rPr>
                <w:noProof/>
              </w:rPr>
              <w:fldChar w:fldCharType="end"/>
            </w:r>
          </w:hyperlink>
        </w:p>
        <w:p w14:paraId="31EC98AB" w14:textId="77777777" w:rsidR="00104ABC" w:rsidRDefault="00104ABC">
          <w:pPr>
            <w:pStyle w:val="TOC2"/>
            <w:tabs>
              <w:tab w:val="right" w:leader="dot" w:pos="9350"/>
            </w:tabs>
            <w:rPr>
              <w:noProof/>
            </w:rPr>
          </w:pPr>
          <w:hyperlink w:anchor="_Toc232765297" w:history="1">
            <w:r w:rsidRPr="00E435F4">
              <w:rPr>
                <w:rStyle w:val="Hyperlink"/>
                <w:noProof/>
              </w:rPr>
              <w:t>5.3 The Divine Eucharist</w:t>
            </w:r>
            <w:r>
              <w:rPr>
                <w:noProof/>
              </w:rPr>
              <w:tab/>
            </w:r>
            <w:r>
              <w:rPr>
                <w:noProof/>
              </w:rPr>
              <w:fldChar w:fldCharType="begin"/>
            </w:r>
            <w:r>
              <w:rPr>
                <w:noProof/>
              </w:rPr>
              <w:instrText xml:space="preserve"> PAGEREF _Toc232765297 \h </w:instrText>
            </w:r>
            <w:r>
              <w:rPr>
                <w:noProof/>
              </w:rPr>
            </w:r>
            <w:r>
              <w:rPr>
                <w:noProof/>
              </w:rPr>
              <w:fldChar w:fldCharType="separate"/>
            </w:r>
            <w:r>
              <w:rPr>
                <w:noProof/>
              </w:rPr>
              <w:t>1</w:t>
            </w:r>
            <w:r>
              <w:rPr>
                <w:noProof/>
              </w:rPr>
              <w:fldChar w:fldCharType="end"/>
            </w:r>
          </w:hyperlink>
        </w:p>
        <w:p w14:paraId="5CA99915" w14:textId="77777777" w:rsidR="00104ABC" w:rsidRDefault="00104ABC">
          <w:pPr>
            <w:pStyle w:val="TOC3"/>
            <w:tabs>
              <w:tab w:val="right" w:leader="dot" w:pos="9350"/>
            </w:tabs>
            <w:rPr>
              <w:noProof/>
            </w:rPr>
          </w:pPr>
          <w:hyperlink w:anchor="_Toc232765298" w:history="1">
            <w:r w:rsidRPr="00E435F4">
              <w:rPr>
                <w:rStyle w:val="Hyperlink"/>
                <w:noProof/>
              </w:rPr>
              <w:t>5.3.a The Eucharist as the Mystery of the Assembly</w:t>
            </w:r>
            <w:r>
              <w:rPr>
                <w:noProof/>
              </w:rPr>
              <w:tab/>
            </w:r>
            <w:r>
              <w:rPr>
                <w:noProof/>
              </w:rPr>
              <w:fldChar w:fldCharType="begin"/>
            </w:r>
            <w:r>
              <w:rPr>
                <w:noProof/>
              </w:rPr>
              <w:instrText xml:space="preserve"> PAGEREF _Toc232765298 \h </w:instrText>
            </w:r>
            <w:r>
              <w:rPr>
                <w:noProof/>
              </w:rPr>
            </w:r>
            <w:r>
              <w:rPr>
                <w:noProof/>
              </w:rPr>
              <w:fldChar w:fldCharType="separate"/>
            </w:r>
            <w:r>
              <w:rPr>
                <w:noProof/>
              </w:rPr>
              <w:t>1</w:t>
            </w:r>
            <w:r>
              <w:rPr>
                <w:noProof/>
              </w:rPr>
              <w:fldChar w:fldCharType="end"/>
            </w:r>
          </w:hyperlink>
        </w:p>
        <w:p w14:paraId="7162A6F9" w14:textId="77777777" w:rsidR="00104ABC" w:rsidRDefault="00104ABC">
          <w:pPr>
            <w:pStyle w:val="TOC3"/>
            <w:tabs>
              <w:tab w:val="right" w:leader="dot" w:pos="9350"/>
            </w:tabs>
            <w:rPr>
              <w:noProof/>
            </w:rPr>
          </w:pPr>
          <w:hyperlink w:anchor="_Toc232765299" w:history="1">
            <w:r w:rsidRPr="00E435F4">
              <w:rPr>
                <w:rStyle w:val="Hyperlink"/>
                <w:noProof/>
              </w:rPr>
              <w:t>5.3.b The Anaphora and the Epiclesis</w:t>
            </w:r>
            <w:r>
              <w:rPr>
                <w:noProof/>
              </w:rPr>
              <w:tab/>
            </w:r>
            <w:r>
              <w:rPr>
                <w:noProof/>
              </w:rPr>
              <w:fldChar w:fldCharType="begin"/>
            </w:r>
            <w:r>
              <w:rPr>
                <w:noProof/>
              </w:rPr>
              <w:instrText xml:space="preserve"> PAGEREF _Toc232765299 \h </w:instrText>
            </w:r>
            <w:r>
              <w:rPr>
                <w:noProof/>
              </w:rPr>
            </w:r>
            <w:r>
              <w:rPr>
                <w:noProof/>
              </w:rPr>
              <w:fldChar w:fldCharType="separate"/>
            </w:r>
            <w:r>
              <w:rPr>
                <w:noProof/>
              </w:rPr>
              <w:t>1</w:t>
            </w:r>
            <w:r>
              <w:rPr>
                <w:noProof/>
              </w:rPr>
              <w:fldChar w:fldCharType="end"/>
            </w:r>
          </w:hyperlink>
        </w:p>
        <w:p w14:paraId="70AC9152" w14:textId="77777777" w:rsidR="00104ABC" w:rsidRDefault="00104ABC">
          <w:pPr>
            <w:pStyle w:val="TOC3"/>
            <w:tabs>
              <w:tab w:val="right" w:leader="dot" w:pos="9350"/>
            </w:tabs>
            <w:rPr>
              <w:noProof/>
            </w:rPr>
          </w:pPr>
          <w:hyperlink w:anchor="_Toc232765300" w:history="1">
            <w:r w:rsidRPr="00E435F4">
              <w:rPr>
                <w:rStyle w:val="Hyperlink"/>
                <w:noProof/>
              </w:rPr>
              <w:t>5.3.c The Real Presence and the Rejection of Transubstantiation</w:t>
            </w:r>
            <w:r>
              <w:rPr>
                <w:noProof/>
              </w:rPr>
              <w:tab/>
            </w:r>
            <w:r>
              <w:rPr>
                <w:noProof/>
              </w:rPr>
              <w:fldChar w:fldCharType="begin"/>
            </w:r>
            <w:r>
              <w:rPr>
                <w:noProof/>
              </w:rPr>
              <w:instrText xml:space="preserve"> PAGEREF _Toc232765300 \h </w:instrText>
            </w:r>
            <w:r>
              <w:rPr>
                <w:noProof/>
              </w:rPr>
            </w:r>
            <w:r>
              <w:rPr>
                <w:noProof/>
              </w:rPr>
              <w:fldChar w:fldCharType="separate"/>
            </w:r>
            <w:r>
              <w:rPr>
                <w:noProof/>
              </w:rPr>
              <w:t>1</w:t>
            </w:r>
            <w:r>
              <w:rPr>
                <w:noProof/>
              </w:rPr>
              <w:fldChar w:fldCharType="end"/>
            </w:r>
          </w:hyperlink>
        </w:p>
        <w:p w14:paraId="274FE22A" w14:textId="77777777" w:rsidR="00104ABC" w:rsidRDefault="00104ABC">
          <w:pPr>
            <w:pStyle w:val="TOC2"/>
            <w:tabs>
              <w:tab w:val="right" w:leader="dot" w:pos="9350"/>
            </w:tabs>
            <w:rPr>
              <w:noProof/>
            </w:rPr>
          </w:pPr>
          <w:hyperlink w:anchor="_Toc232765301" w:history="1">
            <w:r w:rsidRPr="00E435F4">
              <w:rPr>
                <w:rStyle w:val="Hyperlink"/>
                <w:noProof/>
              </w:rPr>
              <w:t>5.4 Holy Confession</w:t>
            </w:r>
            <w:r>
              <w:rPr>
                <w:noProof/>
              </w:rPr>
              <w:tab/>
            </w:r>
            <w:r>
              <w:rPr>
                <w:noProof/>
              </w:rPr>
              <w:fldChar w:fldCharType="begin"/>
            </w:r>
            <w:r>
              <w:rPr>
                <w:noProof/>
              </w:rPr>
              <w:instrText xml:space="preserve"> PAGEREF _Toc232765301 \h </w:instrText>
            </w:r>
            <w:r>
              <w:rPr>
                <w:noProof/>
              </w:rPr>
            </w:r>
            <w:r>
              <w:rPr>
                <w:noProof/>
              </w:rPr>
              <w:fldChar w:fldCharType="separate"/>
            </w:r>
            <w:r>
              <w:rPr>
                <w:noProof/>
              </w:rPr>
              <w:t>1</w:t>
            </w:r>
            <w:r>
              <w:rPr>
                <w:noProof/>
              </w:rPr>
              <w:fldChar w:fldCharType="end"/>
            </w:r>
          </w:hyperlink>
        </w:p>
        <w:p w14:paraId="3EA423F9" w14:textId="77777777" w:rsidR="00104ABC" w:rsidRDefault="00104ABC">
          <w:pPr>
            <w:pStyle w:val="TOC2"/>
            <w:tabs>
              <w:tab w:val="right" w:leader="dot" w:pos="9350"/>
            </w:tabs>
            <w:rPr>
              <w:noProof/>
            </w:rPr>
          </w:pPr>
          <w:hyperlink w:anchor="_Toc232765302" w:history="1">
            <w:r w:rsidRPr="00E435F4">
              <w:rPr>
                <w:rStyle w:val="Hyperlink"/>
                <w:noProof/>
              </w:rPr>
              <w:t>5.5 Holy Orders</w:t>
            </w:r>
            <w:r>
              <w:rPr>
                <w:noProof/>
              </w:rPr>
              <w:tab/>
            </w:r>
            <w:r>
              <w:rPr>
                <w:noProof/>
              </w:rPr>
              <w:fldChar w:fldCharType="begin"/>
            </w:r>
            <w:r>
              <w:rPr>
                <w:noProof/>
              </w:rPr>
              <w:instrText xml:space="preserve"> PAGEREF _Toc232765302 \h </w:instrText>
            </w:r>
            <w:r>
              <w:rPr>
                <w:noProof/>
              </w:rPr>
            </w:r>
            <w:r>
              <w:rPr>
                <w:noProof/>
              </w:rPr>
              <w:fldChar w:fldCharType="separate"/>
            </w:r>
            <w:r>
              <w:rPr>
                <w:noProof/>
              </w:rPr>
              <w:t>1</w:t>
            </w:r>
            <w:r>
              <w:rPr>
                <w:noProof/>
              </w:rPr>
              <w:fldChar w:fldCharType="end"/>
            </w:r>
          </w:hyperlink>
        </w:p>
        <w:p w14:paraId="3A04E292" w14:textId="77777777" w:rsidR="00104ABC" w:rsidRDefault="00104ABC">
          <w:pPr>
            <w:pStyle w:val="TOC2"/>
            <w:tabs>
              <w:tab w:val="right" w:leader="dot" w:pos="9350"/>
            </w:tabs>
            <w:rPr>
              <w:noProof/>
            </w:rPr>
          </w:pPr>
          <w:hyperlink w:anchor="_Toc232765303" w:history="1">
            <w:r w:rsidRPr="00E435F4">
              <w:rPr>
                <w:rStyle w:val="Hyperlink"/>
                <w:noProof/>
              </w:rPr>
              <w:t>5.6 Holy Matrimony</w:t>
            </w:r>
            <w:r>
              <w:rPr>
                <w:noProof/>
              </w:rPr>
              <w:tab/>
            </w:r>
            <w:r>
              <w:rPr>
                <w:noProof/>
              </w:rPr>
              <w:fldChar w:fldCharType="begin"/>
            </w:r>
            <w:r>
              <w:rPr>
                <w:noProof/>
              </w:rPr>
              <w:instrText xml:space="preserve"> PAGEREF _Toc232765303 \h </w:instrText>
            </w:r>
            <w:r>
              <w:rPr>
                <w:noProof/>
              </w:rPr>
            </w:r>
            <w:r>
              <w:rPr>
                <w:noProof/>
              </w:rPr>
              <w:fldChar w:fldCharType="separate"/>
            </w:r>
            <w:r>
              <w:rPr>
                <w:noProof/>
              </w:rPr>
              <w:t>1</w:t>
            </w:r>
            <w:r>
              <w:rPr>
                <w:noProof/>
              </w:rPr>
              <w:fldChar w:fldCharType="end"/>
            </w:r>
          </w:hyperlink>
        </w:p>
        <w:p w14:paraId="6874D015" w14:textId="77777777" w:rsidR="00104ABC" w:rsidRDefault="00104ABC">
          <w:pPr>
            <w:pStyle w:val="TOC2"/>
            <w:tabs>
              <w:tab w:val="right" w:leader="dot" w:pos="9350"/>
            </w:tabs>
            <w:rPr>
              <w:noProof/>
            </w:rPr>
          </w:pPr>
          <w:hyperlink w:anchor="_Toc232765304" w:history="1">
            <w:r w:rsidRPr="00E435F4">
              <w:rPr>
                <w:rStyle w:val="Hyperlink"/>
                <w:noProof/>
              </w:rPr>
              <w:t>5.7 Holy Unction</w:t>
            </w:r>
            <w:r>
              <w:rPr>
                <w:noProof/>
              </w:rPr>
              <w:tab/>
            </w:r>
            <w:r>
              <w:rPr>
                <w:noProof/>
              </w:rPr>
              <w:fldChar w:fldCharType="begin"/>
            </w:r>
            <w:r>
              <w:rPr>
                <w:noProof/>
              </w:rPr>
              <w:instrText xml:space="preserve"> PAGEREF _Toc232765304 \h </w:instrText>
            </w:r>
            <w:r>
              <w:rPr>
                <w:noProof/>
              </w:rPr>
            </w:r>
            <w:r>
              <w:rPr>
                <w:noProof/>
              </w:rPr>
              <w:fldChar w:fldCharType="separate"/>
            </w:r>
            <w:r>
              <w:rPr>
                <w:noProof/>
              </w:rPr>
              <w:t>1</w:t>
            </w:r>
            <w:r>
              <w:rPr>
                <w:noProof/>
              </w:rPr>
              <w:fldChar w:fldCharType="end"/>
            </w:r>
          </w:hyperlink>
        </w:p>
        <w:p w14:paraId="645F95AF" w14:textId="77777777" w:rsidR="00104ABC" w:rsidRDefault="00104ABC">
          <w:pPr>
            <w:pStyle w:val="TOC1"/>
            <w:tabs>
              <w:tab w:val="right" w:leader="dot" w:pos="9350"/>
            </w:tabs>
            <w:rPr>
              <w:noProof/>
            </w:rPr>
          </w:pPr>
          <w:hyperlink w:anchor="_Toc232765305" w:history="1">
            <w:r w:rsidRPr="00E435F4">
              <w:rPr>
                <w:rStyle w:val="Hyperlink"/>
                <w:noProof/>
              </w:rPr>
              <w:t>CHAPTER SIX: HOLY TRADITION, SCRIPTURE, AND THE ORTHODOX CANON</w:t>
            </w:r>
            <w:r>
              <w:rPr>
                <w:noProof/>
              </w:rPr>
              <w:tab/>
            </w:r>
            <w:r>
              <w:rPr>
                <w:noProof/>
              </w:rPr>
              <w:fldChar w:fldCharType="begin"/>
            </w:r>
            <w:r>
              <w:rPr>
                <w:noProof/>
              </w:rPr>
              <w:instrText xml:space="preserve"> PAGEREF _Toc232765305 \h </w:instrText>
            </w:r>
            <w:r>
              <w:rPr>
                <w:noProof/>
              </w:rPr>
            </w:r>
            <w:r>
              <w:rPr>
                <w:noProof/>
              </w:rPr>
              <w:fldChar w:fldCharType="separate"/>
            </w:r>
            <w:r>
              <w:rPr>
                <w:noProof/>
              </w:rPr>
              <w:t>1</w:t>
            </w:r>
            <w:r>
              <w:rPr>
                <w:noProof/>
              </w:rPr>
              <w:fldChar w:fldCharType="end"/>
            </w:r>
          </w:hyperlink>
        </w:p>
        <w:p w14:paraId="41FE5588" w14:textId="77777777" w:rsidR="00104ABC" w:rsidRDefault="00104ABC">
          <w:pPr>
            <w:pStyle w:val="TOC2"/>
            <w:tabs>
              <w:tab w:val="right" w:leader="dot" w:pos="9350"/>
            </w:tabs>
            <w:rPr>
              <w:noProof/>
            </w:rPr>
          </w:pPr>
          <w:hyperlink w:anchor="_Toc232765306" w:history="1">
            <w:r w:rsidRPr="00E435F4">
              <w:rPr>
                <w:rStyle w:val="Hyperlink"/>
                <w:noProof/>
              </w:rPr>
              <w:t>6.1 The Orthodox Doctrine of Holy Tradition: Not a Second Source but the Living Context</w:t>
            </w:r>
            <w:r>
              <w:rPr>
                <w:noProof/>
              </w:rPr>
              <w:tab/>
            </w:r>
            <w:r>
              <w:rPr>
                <w:noProof/>
              </w:rPr>
              <w:fldChar w:fldCharType="begin"/>
            </w:r>
            <w:r>
              <w:rPr>
                <w:noProof/>
              </w:rPr>
              <w:instrText xml:space="preserve"> PAGEREF _Toc232765306 \h </w:instrText>
            </w:r>
            <w:r>
              <w:rPr>
                <w:noProof/>
              </w:rPr>
            </w:r>
            <w:r>
              <w:rPr>
                <w:noProof/>
              </w:rPr>
              <w:fldChar w:fldCharType="separate"/>
            </w:r>
            <w:r>
              <w:rPr>
                <w:noProof/>
              </w:rPr>
              <w:t>1</w:t>
            </w:r>
            <w:r>
              <w:rPr>
                <w:noProof/>
              </w:rPr>
              <w:fldChar w:fldCharType="end"/>
            </w:r>
          </w:hyperlink>
        </w:p>
        <w:p w14:paraId="55241F04" w14:textId="77777777" w:rsidR="00104ABC" w:rsidRDefault="00104ABC">
          <w:pPr>
            <w:pStyle w:val="TOC3"/>
            <w:tabs>
              <w:tab w:val="right" w:leader="dot" w:pos="9350"/>
            </w:tabs>
            <w:rPr>
              <w:noProof/>
            </w:rPr>
          </w:pPr>
          <w:hyperlink w:anchor="_Toc232765307" w:history="1">
            <w:r w:rsidRPr="00E435F4">
              <w:rPr>
                <w:rStyle w:val="Hyperlink"/>
                <w:noProof/>
              </w:rPr>
              <w:t>6.1.a Lossky's Definition and Its Implications</w:t>
            </w:r>
            <w:r>
              <w:rPr>
                <w:noProof/>
              </w:rPr>
              <w:tab/>
            </w:r>
            <w:r>
              <w:rPr>
                <w:noProof/>
              </w:rPr>
              <w:fldChar w:fldCharType="begin"/>
            </w:r>
            <w:r>
              <w:rPr>
                <w:noProof/>
              </w:rPr>
              <w:instrText xml:space="preserve"> PAGEREF _Toc232765307 \h </w:instrText>
            </w:r>
            <w:r>
              <w:rPr>
                <w:noProof/>
              </w:rPr>
            </w:r>
            <w:r>
              <w:rPr>
                <w:noProof/>
              </w:rPr>
              <w:fldChar w:fldCharType="separate"/>
            </w:r>
            <w:r>
              <w:rPr>
                <w:noProof/>
              </w:rPr>
              <w:t>1</w:t>
            </w:r>
            <w:r>
              <w:rPr>
                <w:noProof/>
              </w:rPr>
              <w:fldChar w:fldCharType="end"/>
            </w:r>
          </w:hyperlink>
        </w:p>
        <w:p w14:paraId="65C6C9C6" w14:textId="77777777" w:rsidR="00104ABC" w:rsidRDefault="00104ABC">
          <w:pPr>
            <w:pStyle w:val="TOC3"/>
            <w:tabs>
              <w:tab w:val="right" w:leader="dot" w:pos="9350"/>
            </w:tabs>
            <w:rPr>
              <w:noProof/>
            </w:rPr>
          </w:pPr>
          <w:hyperlink w:anchor="_Toc232765308" w:history="1">
            <w:r w:rsidRPr="00E435F4">
              <w:rPr>
                <w:rStyle w:val="Hyperlink"/>
                <w:noProof/>
              </w:rPr>
              <w:t>6.1.b Florovsky on Scripture, Tradition, and Interpretation</w:t>
            </w:r>
            <w:r>
              <w:rPr>
                <w:noProof/>
              </w:rPr>
              <w:tab/>
            </w:r>
            <w:r>
              <w:rPr>
                <w:noProof/>
              </w:rPr>
              <w:fldChar w:fldCharType="begin"/>
            </w:r>
            <w:r>
              <w:rPr>
                <w:noProof/>
              </w:rPr>
              <w:instrText xml:space="preserve"> PAGEREF _Toc232765308 \h </w:instrText>
            </w:r>
            <w:r>
              <w:rPr>
                <w:noProof/>
              </w:rPr>
            </w:r>
            <w:r>
              <w:rPr>
                <w:noProof/>
              </w:rPr>
              <w:fldChar w:fldCharType="separate"/>
            </w:r>
            <w:r>
              <w:rPr>
                <w:noProof/>
              </w:rPr>
              <w:t>1</w:t>
            </w:r>
            <w:r>
              <w:rPr>
                <w:noProof/>
              </w:rPr>
              <w:fldChar w:fldCharType="end"/>
            </w:r>
          </w:hyperlink>
        </w:p>
        <w:p w14:paraId="16378B4C" w14:textId="77777777" w:rsidR="00104ABC" w:rsidRDefault="00104ABC">
          <w:pPr>
            <w:pStyle w:val="TOC3"/>
            <w:tabs>
              <w:tab w:val="right" w:leader="dot" w:pos="9350"/>
            </w:tabs>
            <w:rPr>
              <w:noProof/>
            </w:rPr>
          </w:pPr>
          <w:hyperlink w:anchor="_Toc232765309" w:history="1">
            <w:r w:rsidRPr="00E435F4">
              <w:rPr>
                <w:rStyle w:val="Hyperlink"/>
                <w:noProof/>
              </w:rPr>
              <w:t>6.1.c The Vincentian Canon and the Patristic Consensus</w:t>
            </w:r>
            <w:r>
              <w:rPr>
                <w:noProof/>
              </w:rPr>
              <w:tab/>
            </w:r>
            <w:r>
              <w:rPr>
                <w:noProof/>
              </w:rPr>
              <w:fldChar w:fldCharType="begin"/>
            </w:r>
            <w:r>
              <w:rPr>
                <w:noProof/>
              </w:rPr>
              <w:instrText xml:space="preserve"> PAGEREF _Toc232765309 \h </w:instrText>
            </w:r>
            <w:r>
              <w:rPr>
                <w:noProof/>
              </w:rPr>
            </w:r>
            <w:r>
              <w:rPr>
                <w:noProof/>
              </w:rPr>
              <w:fldChar w:fldCharType="separate"/>
            </w:r>
            <w:r>
              <w:rPr>
                <w:noProof/>
              </w:rPr>
              <w:t>1</w:t>
            </w:r>
            <w:r>
              <w:rPr>
                <w:noProof/>
              </w:rPr>
              <w:fldChar w:fldCharType="end"/>
            </w:r>
          </w:hyperlink>
        </w:p>
        <w:p w14:paraId="6BE79855" w14:textId="77777777" w:rsidR="00104ABC" w:rsidRDefault="00104ABC">
          <w:pPr>
            <w:pStyle w:val="TOC3"/>
            <w:tabs>
              <w:tab w:val="right" w:leader="dot" w:pos="9350"/>
            </w:tabs>
            <w:rPr>
              <w:noProof/>
            </w:rPr>
          </w:pPr>
          <w:hyperlink w:anchor="_Toc232765310" w:history="1">
            <w:r w:rsidRPr="00E435F4">
              <w:rPr>
                <w:rStyle w:val="Hyperlink"/>
                <w:noProof/>
              </w:rPr>
              <w:t>6.1.d The New Testament's Presupposition of Tradition</w:t>
            </w:r>
            <w:r>
              <w:rPr>
                <w:noProof/>
              </w:rPr>
              <w:tab/>
            </w:r>
            <w:r>
              <w:rPr>
                <w:noProof/>
              </w:rPr>
              <w:fldChar w:fldCharType="begin"/>
            </w:r>
            <w:r>
              <w:rPr>
                <w:noProof/>
              </w:rPr>
              <w:instrText xml:space="preserve"> PAGEREF _Toc232765310 \h </w:instrText>
            </w:r>
            <w:r>
              <w:rPr>
                <w:noProof/>
              </w:rPr>
            </w:r>
            <w:r>
              <w:rPr>
                <w:noProof/>
              </w:rPr>
              <w:fldChar w:fldCharType="separate"/>
            </w:r>
            <w:r>
              <w:rPr>
                <w:noProof/>
              </w:rPr>
              <w:t>1</w:t>
            </w:r>
            <w:r>
              <w:rPr>
                <w:noProof/>
              </w:rPr>
              <w:fldChar w:fldCharType="end"/>
            </w:r>
          </w:hyperlink>
        </w:p>
        <w:p w14:paraId="2ECBD7C9" w14:textId="77777777" w:rsidR="00104ABC" w:rsidRDefault="00104ABC">
          <w:pPr>
            <w:pStyle w:val="TOC2"/>
            <w:tabs>
              <w:tab w:val="right" w:leader="dot" w:pos="9350"/>
            </w:tabs>
            <w:rPr>
              <w:noProof/>
            </w:rPr>
          </w:pPr>
          <w:hyperlink w:anchor="_Toc232765311" w:history="1">
            <w:r w:rsidRPr="00E435F4">
              <w:rPr>
                <w:rStyle w:val="Hyperlink"/>
                <w:noProof/>
              </w:rPr>
              <w:t>6.2 Scripture Within Tradition: The Orthodox Hermeneutical Principle</w:t>
            </w:r>
            <w:r>
              <w:rPr>
                <w:noProof/>
              </w:rPr>
              <w:tab/>
            </w:r>
            <w:r>
              <w:rPr>
                <w:noProof/>
              </w:rPr>
              <w:fldChar w:fldCharType="begin"/>
            </w:r>
            <w:r>
              <w:rPr>
                <w:noProof/>
              </w:rPr>
              <w:instrText xml:space="preserve"> PAGEREF _Toc232765311 \h </w:instrText>
            </w:r>
            <w:r>
              <w:rPr>
                <w:noProof/>
              </w:rPr>
            </w:r>
            <w:r>
              <w:rPr>
                <w:noProof/>
              </w:rPr>
              <w:fldChar w:fldCharType="separate"/>
            </w:r>
            <w:r>
              <w:rPr>
                <w:noProof/>
              </w:rPr>
              <w:t>1</w:t>
            </w:r>
            <w:r>
              <w:rPr>
                <w:noProof/>
              </w:rPr>
              <w:fldChar w:fldCharType="end"/>
            </w:r>
          </w:hyperlink>
        </w:p>
        <w:p w14:paraId="5D220ADE" w14:textId="77777777" w:rsidR="00104ABC" w:rsidRDefault="00104ABC">
          <w:pPr>
            <w:pStyle w:val="TOC3"/>
            <w:tabs>
              <w:tab w:val="right" w:leader="dot" w:pos="9350"/>
            </w:tabs>
            <w:rPr>
              <w:noProof/>
            </w:rPr>
          </w:pPr>
          <w:hyperlink w:anchor="_Toc232765312" w:history="1">
            <w:r w:rsidRPr="00E435F4">
              <w:rPr>
                <w:rStyle w:val="Hyperlink"/>
                <w:noProof/>
              </w:rPr>
              <w:t>6.2.a The Patristic Hermeneutic</w:t>
            </w:r>
            <w:r>
              <w:rPr>
                <w:noProof/>
              </w:rPr>
              <w:tab/>
            </w:r>
            <w:r>
              <w:rPr>
                <w:noProof/>
              </w:rPr>
              <w:fldChar w:fldCharType="begin"/>
            </w:r>
            <w:r>
              <w:rPr>
                <w:noProof/>
              </w:rPr>
              <w:instrText xml:space="preserve"> PAGEREF _Toc232765312 \h </w:instrText>
            </w:r>
            <w:r>
              <w:rPr>
                <w:noProof/>
              </w:rPr>
            </w:r>
            <w:r>
              <w:rPr>
                <w:noProof/>
              </w:rPr>
              <w:fldChar w:fldCharType="separate"/>
            </w:r>
            <w:r>
              <w:rPr>
                <w:noProof/>
              </w:rPr>
              <w:t>1</w:t>
            </w:r>
            <w:r>
              <w:rPr>
                <w:noProof/>
              </w:rPr>
              <w:fldChar w:fldCharType="end"/>
            </w:r>
          </w:hyperlink>
        </w:p>
        <w:p w14:paraId="7E07C01C" w14:textId="77777777" w:rsidR="00104ABC" w:rsidRDefault="00104ABC">
          <w:pPr>
            <w:pStyle w:val="TOC3"/>
            <w:tabs>
              <w:tab w:val="right" w:leader="dot" w:pos="9350"/>
            </w:tabs>
            <w:rPr>
              <w:noProof/>
            </w:rPr>
          </w:pPr>
          <w:hyperlink w:anchor="_Toc232765313" w:history="1">
            <w:r w:rsidRPr="00E435F4">
              <w:rPr>
                <w:rStyle w:val="Hyperlink"/>
                <w:noProof/>
              </w:rPr>
              <w:t>6.2.b The Liturgy as Hermeneutical Context</w:t>
            </w:r>
            <w:r>
              <w:rPr>
                <w:noProof/>
              </w:rPr>
              <w:tab/>
            </w:r>
            <w:r>
              <w:rPr>
                <w:noProof/>
              </w:rPr>
              <w:fldChar w:fldCharType="begin"/>
            </w:r>
            <w:r>
              <w:rPr>
                <w:noProof/>
              </w:rPr>
              <w:instrText xml:space="preserve"> PAGEREF _Toc232765313 \h </w:instrText>
            </w:r>
            <w:r>
              <w:rPr>
                <w:noProof/>
              </w:rPr>
            </w:r>
            <w:r>
              <w:rPr>
                <w:noProof/>
              </w:rPr>
              <w:fldChar w:fldCharType="separate"/>
            </w:r>
            <w:r>
              <w:rPr>
                <w:noProof/>
              </w:rPr>
              <w:t>1</w:t>
            </w:r>
            <w:r>
              <w:rPr>
                <w:noProof/>
              </w:rPr>
              <w:fldChar w:fldCharType="end"/>
            </w:r>
          </w:hyperlink>
        </w:p>
        <w:p w14:paraId="0A61EDBB" w14:textId="77777777" w:rsidR="00104ABC" w:rsidRDefault="00104ABC">
          <w:pPr>
            <w:pStyle w:val="TOC2"/>
            <w:tabs>
              <w:tab w:val="right" w:leader="dot" w:pos="9350"/>
            </w:tabs>
            <w:rPr>
              <w:noProof/>
            </w:rPr>
          </w:pPr>
          <w:hyperlink w:anchor="_Toc232765314" w:history="1">
            <w:r w:rsidRPr="00E435F4">
              <w:rPr>
                <w:rStyle w:val="Hyperlink"/>
                <w:noProof/>
              </w:rPr>
              <w:t>6.3 The Septuagint Canon and the Deuterocanonicals</w:t>
            </w:r>
            <w:r>
              <w:rPr>
                <w:noProof/>
              </w:rPr>
              <w:tab/>
            </w:r>
            <w:r>
              <w:rPr>
                <w:noProof/>
              </w:rPr>
              <w:fldChar w:fldCharType="begin"/>
            </w:r>
            <w:r>
              <w:rPr>
                <w:noProof/>
              </w:rPr>
              <w:instrText xml:space="preserve"> PAGEREF _Toc232765314 \h </w:instrText>
            </w:r>
            <w:r>
              <w:rPr>
                <w:noProof/>
              </w:rPr>
            </w:r>
            <w:r>
              <w:rPr>
                <w:noProof/>
              </w:rPr>
              <w:fldChar w:fldCharType="separate"/>
            </w:r>
            <w:r>
              <w:rPr>
                <w:noProof/>
              </w:rPr>
              <w:t>1</w:t>
            </w:r>
            <w:r>
              <w:rPr>
                <w:noProof/>
              </w:rPr>
              <w:fldChar w:fldCharType="end"/>
            </w:r>
          </w:hyperlink>
        </w:p>
        <w:p w14:paraId="69E9E6A3" w14:textId="77777777" w:rsidR="00104ABC" w:rsidRDefault="00104ABC">
          <w:pPr>
            <w:pStyle w:val="TOC3"/>
            <w:tabs>
              <w:tab w:val="right" w:leader="dot" w:pos="9350"/>
            </w:tabs>
            <w:rPr>
              <w:noProof/>
            </w:rPr>
          </w:pPr>
          <w:hyperlink w:anchor="_Toc232765315" w:history="1">
            <w:r w:rsidRPr="00E435F4">
              <w:rPr>
                <w:rStyle w:val="Hyperlink"/>
                <w:noProof/>
              </w:rPr>
              <w:t>6.3.a The Historical Case</w:t>
            </w:r>
            <w:r>
              <w:rPr>
                <w:noProof/>
              </w:rPr>
              <w:tab/>
            </w:r>
            <w:r>
              <w:rPr>
                <w:noProof/>
              </w:rPr>
              <w:fldChar w:fldCharType="begin"/>
            </w:r>
            <w:r>
              <w:rPr>
                <w:noProof/>
              </w:rPr>
              <w:instrText xml:space="preserve"> PAGEREF _Toc232765315 \h </w:instrText>
            </w:r>
            <w:r>
              <w:rPr>
                <w:noProof/>
              </w:rPr>
            </w:r>
            <w:r>
              <w:rPr>
                <w:noProof/>
              </w:rPr>
              <w:fldChar w:fldCharType="separate"/>
            </w:r>
            <w:r>
              <w:rPr>
                <w:noProof/>
              </w:rPr>
              <w:t>1</w:t>
            </w:r>
            <w:r>
              <w:rPr>
                <w:noProof/>
              </w:rPr>
              <w:fldChar w:fldCharType="end"/>
            </w:r>
          </w:hyperlink>
        </w:p>
        <w:p w14:paraId="4D41F4E6" w14:textId="77777777" w:rsidR="00104ABC" w:rsidRDefault="00104ABC">
          <w:pPr>
            <w:pStyle w:val="TOC3"/>
            <w:tabs>
              <w:tab w:val="right" w:leader="dot" w:pos="9350"/>
            </w:tabs>
            <w:rPr>
              <w:noProof/>
            </w:rPr>
          </w:pPr>
          <w:hyperlink w:anchor="_Toc232765316" w:history="1">
            <w:r w:rsidRPr="00E435F4">
              <w:rPr>
                <w:rStyle w:val="Hyperlink"/>
                <w:noProof/>
              </w:rPr>
              <w:t>6.3.b The Synod of Jerusalem (1672) and the Confession of Dositheus</w:t>
            </w:r>
            <w:r>
              <w:rPr>
                <w:noProof/>
              </w:rPr>
              <w:tab/>
            </w:r>
            <w:r>
              <w:rPr>
                <w:noProof/>
              </w:rPr>
              <w:fldChar w:fldCharType="begin"/>
            </w:r>
            <w:r>
              <w:rPr>
                <w:noProof/>
              </w:rPr>
              <w:instrText xml:space="preserve"> PAGEREF _Toc232765316 \h </w:instrText>
            </w:r>
            <w:r>
              <w:rPr>
                <w:noProof/>
              </w:rPr>
            </w:r>
            <w:r>
              <w:rPr>
                <w:noProof/>
              </w:rPr>
              <w:fldChar w:fldCharType="separate"/>
            </w:r>
            <w:r>
              <w:rPr>
                <w:noProof/>
              </w:rPr>
              <w:t>1</w:t>
            </w:r>
            <w:r>
              <w:rPr>
                <w:noProof/>
              </w:rPr>
              <w:fldChar w:fldCharType="end"/>
            </w:r>
          </w:hyperlink>
        </w:p>
        <w:p w14:paraId="765CF4CB" w14:textId="77777777" w:rsidR="00104ABC" w:rsidRDefault="00104ABC">
          <w:pPr>
            <w:pStyle w:val="TOC3"/>
            <w:tabs>
              <w:tab w:val="right" w:leader="dot" w:pos="9350"/>
            </w:tabs>
            <w:rPr>
              <w:noProof/>
            </w:rPr>
          </w:pPr>
          <w:hyperlink w:anchor="_Toc232765317" w:history="1">
            <w:r w:rsidRPr="00E435F4">
              <w:rPr>
                <w:rStyle w:val="Hyperlink"/>
                <w:noProof/>
              </w:rPr>
              <w:t>6.3.c The Protestant Canon and the Rabbinic Jamnia Decision</w:t>
            </w:r>
            <w:r>
              <w:rPr>
                <w:noProof/>
              </w:rPr>
              <w:tab/>
            </w:r>
            <w:r>
              <w:rPr>
                <w:noProof/>
              </w:rPr>
              <w:fldChar w:fldCharType="begin"/>
            </w:r>
            <w:r>
              <w:rPr>
                <w:noProof/>
              </w:rPr>
              <w:instrText xml:space="preserve"> PAGEREF _Toc232765317 \h </w:instrText>
            </w:r>
            <w:r>
              <w:rPr>
                <w:noProof/>
              </w:rPr>
            </w:r>
            <w:r>
              <w:rPr>
                <w:noProof/>
              </w:rPr>
              <w:fldChar w:fldCharType="separate"/>
            </w:r>
            <w:r>
              <w:rPr>
                <w:noProof/>
              </w:rPr>
              <w:t>1</w:t>
            </w:r>
            <w:r>
              <w:rPr>
                <w:noProof/>
              </w:rPr>
              <w:fldChar w:fldCharType="end"/>
            </w:r>
          </w:hyperlink>
        </w:p>
        <w:p w14:paraId="6727F665" w14:textId="77777777" w:rsidR="00104ABC" w:rsidRDefault="00104ABC">
          <w:pPr>
            <w:pStyle w:val="TOC2"/>
            <w:tabs>
              <w:tab w:val="right" w:leader="dot" w:pos="9350"/>
            </w:tabs>
            <w:rPr>
              <w:noProof/>
            </w:rPr>
          </w:pPr>
          <w:hyperlink w:anchor="_Toc232765318" w:history="1">
            <w:r w:rsidRPr="00E435F4">
              <w:rPr>
                <w:rStyle w:val="Hyperlink"/>
                <w:noProof/>
              </w:rPr>
              <w:t>6.4 Iconography as Theology in Image</w:t>
            </w:r>
            <w:r>
              <w:rPr>
                <w:noProof/>
              </w:rPr>
              <w:tab/>
            </w:r>
            <w:r>
              <w:rPr>
                <w:noProof/>
              </w:rPr>
              <w:fldChar w:fldCharType="begin"/>
            </w:r>
            <w:r>
              <w:rPr>
                <w:noProof/>
              </w:rPr>
              <w:instrText xml:space="preserve"> PAGEREF _Toc232765318 \h </w:instrText>
            </w:r>
            <w:r>
              <w:rPr>
                <w:noProof/>
              </w:rPr>
            </w:r>
            <w:r>
              <w:rPr>
                <w:noProof/>
              </w:rPr>
              <w:fldChar w:fldCharType="separate"/>
            </w:r>
            <w:r>
              <w:rPr>
                <w:noProof/>
              </w:rPr>
              <w:t>1</w:t>
            </w:r>
            <w:r>
              <w:rPr>
                <w:noProof/>
              </w:rPr>
              <w:fldChar w:fldCharType="end"/>
            </w:r>
          </w:hyperlink>
        </w:p>
        <w:p w14:paraId="03247B34" w14:textId="77777777" w:rsidR="00104ABC" w:rsidRDefault="00104ABC">
          <w:pPr>
            <w:pStyle w:val="TOC3"/>
            <w:tabs>
              <w:tab w:val="right" w:leader="dot" w:pos="9350"/>
            </w:tabs>
            <w:rPr>
              <w:noProof/>
            </w:rPr>
          </w:pPr>
          <w:hyperlink w:anchor="_Toc232765319" w:history="1">
            <w:r w:rsidRPr="00E435F4">
              <w:rPr>
                <w:rStyle w:val="Hyperlink"/>
                <w:noProof/>
              </w:rPr>
              <w:t>6.4.a The Theological Basis: Incarnation and the Icon</w:t>
            </w:r>
            <w:r>
              <w:rPr>
                <w:noProof/>
              </w:rPr>
              <w:tab/>
            </w:r>
            <w:r>
              <w:rPr>
                <w:noProof/>
              </w:rPr>
              <w:fldChar w:fldCharType="begin"/>
            </w:r>
            <w:r>
              <w:rPr>
                <w:noProof/>
              </w:rPr>
              <w:instrText xml:space="preserve"> PAGEREF _Toc232765319 \h </w:instrText>
            </w:r>
            <w:r>
              <w:rPr>
                <w:noProof/>
              </w:rPr>
            </w:r>
            <w:r>
              <w:rPr>
                <w:noProof/>
              </w:rPr>
              <w:fldChar w:fldCharType="separate"/>
            </w:r>
            <w:r>
              <w:rPr>
                <w:noProof/>
              </w:rPr>
              <w:t>1</w:t>
            </w:r>
            <w:r>
              <w:rPr>
                <w:noProof/>
              </w:rPr>
              <w:fldChar w:fldCharType="end"/>
            </w:r>
          </w:hyperlink>
        </w:p>
        <w:p w14:paraId="29972CB2" w14:textId="77777777" w:rsidR="00104ABC" w:rsidRDefault="00104ABC">
          <w:pPr>
            <w:pStyle w:val="TOC3"/>
            <w:tabs>
              <w:tab w:val="right" w:leader="dot" w:pos="9350"/>
            </w:tabs>
            <w:rPr>
              <w:noProof/>
            </w:rPr>
          </w:pPr>
          <w:hyperlink w:anchor="_Toc232765320" w:history="1">
            <w:r w:rsidRPr="00E435F4">
              <w:rPr>
                <w:rStyle w:val="Hyperlink"/>
                <w:noProof/>
              </w:rPr>
              <w:t>6.4.b The Theology of the Prototype</w:t>
            </w:r>
            <w:r>
              <w:rPr>
                <w:noProof/>
              </w:rPr>
              <w:tab/>
            </w:r>
            <w:r>
              <w:rPr>
                <w:noProof/>
              </w:rPr>
              <w:fldChar w:fldCharType="begin"/>
            </w:r>
            <w:r>
              <w:rPr>
                <w:noProof/>
              </w:rPr>
              <w:instrText xml:space="preserve"> PAGEREF _Toc232765320 \h </w:instrText>
            </w:r>
            <w:r>
              <w:rPr>
                <w:noProof/>
              </w:rPr>
            </w:r>
            <w:r>
              <w:rPr>
                <w:noProof/>
              </w:rPr>
              <w:fldChar w:fldCharType="separate"/>
            </w:r>
            <w:r>
              <w:rPr>
                <w:noProof/>
              </w:rPr>
              <w:t>1</w:t>
            </w:r>
            <w:r>
              <w:rPr>
                <w:noProof/>
              </w:rPr>
              <w:fldChar w:fldCharType="end"/>
            </w:r>
          </w:hyperlink>
        </w:p>
        <w:p w14:paraId="279A61FD" w14:textId="77777777" w:rsidR="00104ABC" w:rsidRDefault="00104ABC">
          <w:pPr>
            <w:pStyle w:val="TOC3"/>
            <w:tabs>
              <w:tab w:val="right" w:leader="dot" w:pos="9350"/>
            </w:tabs>
            <w:rPr>
              <w:noProof/>
            </w:rPr>
          </w:pPr>
          <w:hyperlink w:anchor="_Toc232765321" w:history="1">
            <w:r w:rsidRPr="00E435F4">
              <w:rPr>
                <w:rStyle w:val="Hyperlink"/>
                <w:noProof/>
              </w:rPr>
              <w:t>6.4.c The Iconographic Tradition: Reverse Perspective and Uncreated Light</w:t>
            </w:r>
            <w:r>
              <w:rPr>
                <w:noProof/>
              </w:rPr>
              <w:tab/>
            </w:r>
            <w:r>
              <w:rPr>
                <w:noProof/>
              </w:rPr>
              <w:fldChar w:fldCharType="begin"/>
            </w:r>
            <w:r>
              <w:rPr>
                <w:noProof/>
              </w:rPr>
              <w:instrText xml:space="preserve"> PAGEREF _Toc232765321 \h </w:instrText>
            </w:r>
            <w:r>
              <w:rPr>
                <w:noProof/>
              </w:rPr>
            </w:r>
            <w:r>
              <w:rPr>
                <w:noProof/>
              </w:rPr>
              <w:fldChar w:fldCharType="separate"/>
            </w:r>
            <w:r>
              <w:rPr>
                <w:noProof/>
              </w:rPr>
              <w:t>1</w:t>
            </w:r>
            <w:r>
              <w:rPr>
                <w:noProof/>
              </w:rPr>
              <w:fldChar w:fldCharType="end"/>
            </w:r>
          </w:hyperlink>
        </w:p>
        <w:p w14:paraId="68ADEFAA" w14:textId="77777777" w:rsidR="00104ABC" w:rsidRDefault="00104ABC">
          <w:pPr>
            <w:pStyle w:val="TOC3"/>
            <w:tabs>
              <w:tab w:val="right" w:leader="dot" w:pos="9350"/>
            </w:tabs>
            <w:rPr>
              <w:noProof/>
            </w:rPr>
          </w:pPr>
          <w:hyperlink w:anchor="_Toc232765322" w:history="1">
            <w:r w:rsidRPr="00E435F4">
              <w:rPr>
                <w:rStyle w:val="Hyperlink"/>
                <w:noProof/>
              </w:rPr>
              <w:t>6.4.d The Iconostasis as the Boundary of Heaven and Earth</w:t>
            </w:r>
            <w:r>
              <w:rPr>
                <w:noProof/>
              </w:rPr>
              <w:tab/>
            </w:r>
            <w:r>
              <w:rPr>
                <w:noProof/>
              </w:rPr>
              <w:fldChar w:fldCharType="begin"/>
            </w:r>
            <w:r>
              <w:rPr>
                <w:noProof/>
              </w:rPr>
              <w:instrText xml:space="preserve"> PAGEREF _Toc232765322 \h </w:instrText>
            </w:r>
            <w:r>
              <w:rPr>
                <w:noProof/>
              </w:rPr>
            </w:r>
            <w:r>
              <w:rPr>
                <w:noProof/>
              </w:rPr>
              <w:fldChar w:fldCharType="separate"/>
            </w:r>
            <w:r>
              <w:rPr>
                <w:noProof/>
              </w:rPr>
              <w:t>1</w:t>
            </w:r>
            <w:r>
              <w:rPr>
                <w:noProof/>
              </w:rPr>
              <w:fldChar w:fldCharType="end"/>
            </w:r>
          </w:hyperlink>
        </w:p>
        <w:p w14:paraId="73D034E8" w14:textId="77777777" w:rsidR="00104ABC" w:rsidRDefault="00104ABC">
          <w:pPr>
            <w:pStyle w:val="TOC2"/>
            <w:tabs>
              <w:tab w:val="right" w:leader="dot" w:pos="9350"/>
            </w:tabs>
            <w:rPr>
              <w:noProof/>
            </w:rPr>
          </w:pPr>
          <w:hyperlink w:anchor="_Toc232765323" w:history="1">
            <w:r w:rsidRPr="00E435F4">
              <w:rPr>
                <w:rStyle w:val="Hyperlink"/>
                <w:noProof/>
              </w:rPr>
              <w:t>Concluding Theological Synthesis</w:t>
            </w:r>
            <w:r>
              <w:rPr>
                <w:noProof/>
              </w:rPr>
              <w:tab/>
            </w:r>
            <w:r>
              <w:rPr>
                <w:noProof/>
              </w:rPr>
              <w:fldChar w:fldCharType="begin"/>
            </w:r>
            <w:r>
              <w:rPr>
                <w:noProof/>
              </w:rPr>
              <w:instrText xml:space="preserve"> PAGEREF _Toc232765323 \h </w:instrText>
            </w:r>
            <w:r>
              <w:rPr>
                <w:noProof/>
              </w:rPr>
            </w:r>
            <w:r>
              <w:rPr>
                <w:noProof/>
              </w:rPr>
              <w:fldChar w:fldCharType="separate"/>
            </w:r>
            <w:r>
              <w:rPr>
                <w:noProof/>
              </w:rPr>
              <w:t>1</w:t>
            </w:r>
            <w:r>
              <w:rPr>
                <w:noProof/>
              </w:rPr>
              <w:fldChar w:fldCharType="end"/>
            </w:r>
          </w:hyperlink>
        </w:p>
        <w:p w14:paraId="158A948E" w14:textId="77777777" w:rsidR="00104ABC" w:rsidRDefault="00104ABC">
          <w:pPr>
            <w:pStyle w:val="TOC2"/>
            <w:tabs>
              <w:tab w:val="right" w:leader="dot" w:pos="9350"/>
            </w:tabs>
            <w:rPr>
              <w:noProof/>
            </w:rPr>
          </w:pPr>
          <w:hyperlink w:anchor="_Toc232765324" w:history="1">
            <w:r w:rsidRPr="00E435F4">
              <w:rPr>
                <w:rStyle w:val="Hyperlink"/>
                <w:noProof/>
              </w:rPr>
              <w:t>Sources and References</w:t>
            </w:r>
            <w:r>
              <w:rPr>
                <w:noProof/>
              </w:rPr>
              <w:tab/>
            </w:r>
            <w:r>
              <w:rPr>
                <w:noProof/>
              </w:rPr>
              <w:fldChar w:fldCharType="begin"/>
            </w:r>
            <w:r>
              <w:rPr>
                <w:noProof/>
              </w:rPr>
              <w:instrText xml:space="preserve"> PAGEREF _Toc232765324 \h </w:instrText>
            </w:r>
            <w:r>
              <w:rPr>
                <w:noProof/>
              </w:rPr>
            </w:r>
            <w:r>
              <w:rPr>
                <w:noProof/>
              </w:rPr>
              <w:fldChar w:fldCharType="separate"/>
            </w:r>
            <w:r>
              <w:rPr>
                <w:noProof/>
              </w:rPr>
              <w:t>1</w:t>
            </w:r>
            <w:r>
              <w:rPr>
                <w:noProof/>
              </w:rPr>
              <w:fldChar w:fldCharType="end"/>
            </w:r>
          </w:hyperlink>
        </w:p>
        <w:p w14:paraId="0071D133" w14:textId="77777777" w:rsidR="00104ABC" w:rsidRDefault="00104ABC">
          <w:pPr>
            <w:pStyle w:val="TOC1"/>
            <w:tabs>
              <w:tab w:val="right" w:leader="dot" w:pos="9350"/>
            </w:tabs>
            <w:rPr>
              <w:noProof/>
            </w:rPr>
          </w:pPr>
          <w:hyperlink w:anchor="_Toc232765325" w:history="1">
            <w:r w:rsidRPr="00E435F4">
              <w:rPr>
                <w:rStyle w:val="Hyperlink"/>
                <w:noProof/>
              </w:rPr>
              <w:t>Eastern Orthodoxy: A Seminary-Level Theological Treatise</w:t>
            </w:r>
            <w:r>
              <w:rPr>
                <w:noProof/>
              </w:rPr>
              <w:tab/>
            </w:r>
            <w:r>
              <w:rPr>
                <w:noProof/>
              </w:rPr>
              <w:fldChar w:fldCharType="begin"/>
            </w:r>
            <w:r>
              <w:rPr>
                <w:noProof/>
              </w:rPr>
              <w:instrText xml:space="preserve"> PAGEREF _Toc232765325 \h </w:instrText>
            </w:r>
            <w:r>
              <w:rPr>
                <w:noProof/>
              </w:rPr>
            </w:r>
            <w:r>
              <w:rPr>
                <w:noProof/>
              </w:rPr>
              <w:fldChar w:fldCharType="separate"/>
            </w:r>
            <w:r>
              <w:rPr>
                <w:noProof/>
              </w:rPr>
              <w:t>1</w:t>
            </w:r>
            <w:r>
              <w:rPr>
                <w:noProof/>
              </w:rPr>
              <w:fldChar w:fldCharType="end"/>
            </w:r>
          </w:hyperlink>
        </w:p>
        <w:p w14:paraId="29733B30" w14:textId="77777777" w:rsidR="00104ABC" w:rsidRDefault="00104ABC">
          <w:pPr>
            <w:pStyle w:val="TOC2"/>
            <w:tabs>
              <w:tab w:val="right" w:leader="dot" w:pos="9350"/>
            </w:tabs>
            <w:rPr>
              <w:noProof/>
            </w:rPr>
          </w:pPr>
          <w:hyperlink w:anchor="_Toc232765326" w:history="1">
            <w:r w:rsidRPr="00E435F4">
              <w:rPr>
                <w:rStyle w:val="Hyperlink"/>
                <w:noProof/>
              </w:rPr>
              <w:t>Part I, Chapters 7–10: Mariology, Icons, Ecumenism, and Key Thinkers</w:t>
            </w:r>
            <w:r>
              <w:rPr>
                <w:noProof/>
              </w:rPr>
              <w:tab/>
            </w:r>
            <w:r>
              <w:rPr>
                <w:noProof/>
              </w:rPr>
              <w:fldChar w:fldCharType="begin"/>
            </w:r>
            <w:r>
              <w:rPr>
                <w:noProof/>
              </w:rPr>
              <w:instrText xml:space="preserve"> PAGEREF _Toc232765326 \h </w:instrText>
            </w:r>
            <w:r>
              <w:rPr>
                <w:noProof/>
              </w:rPr>
            </w:r>
            <w:r>
              <w:rPr>
                <w:noProof/>
              </w:rPr>
              <w:fldChar w:fldCharType="separate"/>
            </w:r>
            <w:r>
              <w:rPr>
                <w:noProof/>
              </w:rPr>
              <w:t>1</w:t>
            </w:r>
            <w:r>
              <w:rPr>
                <w:noProof/>
              </w:rPr>
              <w:fldChar w:fldCharType="end"/>
            </w:r>
          </w:hyperlink>
        </w:p>
        <w:p w14:paraId="44B279FA" w14:textId="77777777" w:rsidR="00104ABC" w:rsidRDefault="00104ABC">
          <w:pPr>
            <w:pStyle w:val="TOC1"/>
            <w:tabs>
              <w:tab w:val="right" w:leader="dot" w:pos="9350"/>
            </w:tabs>
            <w:rPr>
              <w:noProof/>
            </w:rPr>
          </w:pPr>
          <w:hyperlink w:anchor="_Toc232765327" w:history="1">
            <w:r w:rsidRPr="00E435F4">
              <w:rPr>
                <w:rStyle w:val="Hyperlink"/>
                <w:noProof/>
              </w:rPr>
              <w:t>CHAPTER SEVEN</w:t>
            </w:r>
            <w:r>
              <w:rPr>
                <w:noProof/>
              </w:rPr>
              <w:tab/>
            </w:r>
            <w:r>
              <w:rPr>
                <w:noProof/>
              </w:rPr>
              <w:fldChar w:fldCharType="begin"/>
            </w:r>
            <w:r>
              <w:rPr>
                <w:noProof/>
              </w:rPr>
              <w:instrText xml:space="preserve"> PAGEREF _Toc232765327 \h </w:instrText>
            </w:r>
            <w:r>
              <w:rPr>
                <w:noProof/>
              </w:rPr>
            </w:r>
            <w:r>
              <w:rPr>
                <w:noProof/>
              </w:rPr>
              <w:fldChar w:fldCharType="separate"/>
            </w:r>
            <w:r>
              <w:rPr>
                <w:noProof/>
              </w:rPr>
              <w:t>1</w:t>
            </w:r>
            <w:r>
              <w:rPr>
                <w:noProof/>
              </w:rPr>
              <w:fldChar w:fldCharType="end"/>
            </w:r>
          </w:hyperlink>
        </w:p>
        <w:p w14:paraId="0DFE537D" w14:textId="77777777" w:rsidR="00104ABC" w:rsidRDefault="00104ABC">
          <w:pPr>
            <w:pStyle w:val="TOC2"/>
            <w:tabs>
              <w:tab w:val="right" w:leader="dot" w:pos="9350"/>
            </w:tabs>
            <w:rPr>
              <w:noProof/>
            </w:rPr>
          </w:pPr>
          <w:hyperlink w:anchor="_Toc232765328" w:history="1">
            <w:r w:rsidRPr="00E435F4">
              <w:rPr>
                <w:rStyle w:val="Hyperlink"/>
                <w:noProof/>
              </w:rPr>
              <w:t>ORTHODOX MARIOLOGY AND THE VENERATION OF SAINTS</w:t>
            </w:r>
            <w:r>
              <w:rPr>
                <w:noProof/>
              </w:rPr>
              <w:tab/>
            </w:r>
            <w:r>
              <w:rPr>
                <w:noProof/>
              </w:rPr>
              <w:fldChar w:fldCharType="begin"/>
            </w:r>
            <w:r>
              <w:rPr>
                <w:noProof/>
              </w:rPr>
              <w:instrText xml:space="preserve"> PAGEREF _Toc232765328 \h </w:instrText>
            </w:r>
            <w:r>
              <w:rPr>
                <w:noProof/>
              </w:rPr>
            </w:r>
            <w:r>
              <w:rPr>
                <w:noProof/>
              </w:rPr>
              <w:fldChar w:fldCharType="separate"/>
            </w:r>
            <w:r>
              <w:rPr>
                <w:noProof/>
              </w:rPr>
              <w:t>1</w:t>
            </w:r>
            <w:r>
              <w:rPr>
                <w:noProof/>
              </w:rPr>
              <w:fldChar w:fldCharType="end"/>
            </w:r>
          </w:hyperlink>
        </w:p>
        <w:p w14:paraId="70D58E2A" w14:textId="77777777" w:rsidR="00104ABC" w:rsidRDefault="00104ABC">
          <w:pPr>
            <w:pStyle w:val="TOC3"/>
            <w:tabs>
              <w:tab w:val="right" w:leader="dot" w:pos="9350"/>
            </w:tabs>
            <w:rPr>
              <w:noProof/>
            </w:rPr>
          </w:pPr>
          <w:hyperlink w:anchor="_Toc232765329" w:history="1">
            <w:r w:rsidRPr="00E435F4">
              <w:rPr>
                <w:rStyle w:val="Hyperlink"/>
                <w:noProof/>
              </w:rPr>
              <w:t>7.1 Theotokos: The Christological and Soteriological Significance</w:t>
            </w:r>
            <w:r>
              <w:rPr>
                <w:noProof/>
              </w:rPr>
              <w:tab/>
            </w:r>
            <w:r>
              <w:rPr>
                <w:noProof/>
              </w:rPr>
              <w:fldChar w:fldCharType="begin"/>
            </w:r>
            <w:r>
              <w:rPr>
                <w:noProof/>
              </w:rPr>
              <w:instrText xml:space="preserve"> PAGEREF _Toc232765329 \h </w:instrText>
            </w:r>
            <w:r>
              <w:rPr>
                <w:noProof/>
              </w:rPr>
            </w:r>
            <w:r>
              <w:rPr>
                <w:noProof/>
              </w:rPr>
              <w:fldChar w:fldCharType="separate"/>
            </w:r>
            <w:r>
              <w:rPr>
                <w:noProof/>
              </w:rPr>
              <w:t>1</w:t>
            </w:r>
            <w:r>
              <w:rPr>
                <w:noProof/>
              </w:rPr>
              <w:fldChar w:fldCharType="end"/>
            </w:r>
          </w:hyperlink>
        </w:p>
        <w:p w14:paraId="4BBBE475" w14:textId="77777777" w:rsidR="00104ABC" w:rsidRDefault="00104ABC">
          <w:pPr>
            <w:pStyle w:val="TOC3"/>
            <w:tabs>
              <w:tab w:val="right" w:leader="dot" w:pos="9350"/>
            </w:tabs>
            <w:rPr>
              <w:noProof/>
            </w:rPr>
          </w:pPr>
          <w:hyperlink w:anchor="_Toc232765330" w:history="1">
            <w:r w:rsidRPr="00E435F4">
              <w:rPr>
                <w:rStyle w:val="Hyperlink"/>
                <w:noProof/>
              </w:rPr>
              <w:t>7.2 The Dormition of the Theotokos (Koimesis)</w:t>
            </w:r>
            <w:r>
              <w:rPr>
                <w:noProof/>
              </w:rPr>
              <w:tab/>
            </w:r>
            <w:r>
              <w:rPr>
                <w:noProof/>
              </w:rPr>
              <w:fldChar w:fldCharType="begin"/>
            </w:r>
            <w:r>
              <w:rPr>
                <w:noProof/>
              </w:rPr>
              <w:instrText xml:space="preserve"> PAGEREF _Toc232765330 \h </w:instrText>
            </w:r>
            <w:r>
              <w:rPr>
                <w:noProof/>
              </w:rPr>
            </w:r>
            <w:r>
              <w:rPr>
                <w:noProof/>
              </w:rPr>
              <w:fldChar w:fldCharType="separate"/>
            </w:r>
            <w:r>
              <w:rPr>
                <w:noProof/>
              </w:rPr>
              <w:t>1</w:t>
            </w:r>
            <w:r>
              <w:rPr>
                <w:noProof/>
              </w:rPr>
              <w:fldChar w:fldCharType="end"/>
            </w:r>
          </w:hyperlink>
        </w:p>
        <w:p w14:paraId="02383872" w14:textId="77777777" w:rsidR="00104ABC" w:rsidRDefault="00104ABC">
          <w:pPr>
            <w:pStyle w:val="TOC3"/>
            <w:tabs>
              <w:tab w:val="right" w:leader="dot" w:pos="9350"/>
            </w:tabs>
            <w:rPr>
              <w:noProof/>
            </w:rPr>
          </w:pPr>
          <w:hyperlink w:anchor="_Toc232765331" w:history="1">
            <w:r w:rsidRPr="00E435F4">
              <w:rPr>
                <w:rStyle w:val="Hyperlink"/>
                <w:noProof/>
              </w:rPr>
              <w:t>7.3 The Perpetual Virginity of the Theotokos (Aeiparthenos)</w:t>
            </w:r>
            <w:r>
              <w:rPr>
                <w:noProof/>
              </w:rPr>
              <w:tab/>
            </w:r>
            <w:r>
              <w:rPr>
                <w:noProof/>
              </w:rPr>
              <w:fldChar w:fldCharType="begin"/>
            </w:r>
            <w:r>
              <w:rPr>
                <w:noProof/>
              </w:rPr>
              <w:instrText xml:space="preserve"> PAGEREF _Toc232765331 \h </w:instrText>
            </w:r>
            <w:r>
              <w:rPr>
                <w:noProof/>
              </w:rPr>
            </w:r>
            <w:r>
              <w:rPr>
                <w:noProof/>
              </w:rPr>
              <w:fldChar w:fldCharType="separate"/>
            </w:r>
            <w:r>
              <w:rPr>
                <w:noProof/>
              </w:rPr>
              <w:t>1</w:t>
            </w:r>
            <w:r>
              <w:rPr>
                <w:noProof/>
              </w:rPr>
              <w:fldChar w:fldCharType="end"/>
            </w:r>
          </w:hyperlink>
        </w:p>
        <w:p w14:paraId="41DA1C05" w14:textId="77777777" w:rsidR="00104ABC" w:rsidRDefault="00104ABC">
          <w:pPr>
            <w:pStyle w:val="TOC3"/>
            <w:tabs>
              <w:tab w:val="right" w:leader="dot" w:pos="9350"/>
            </w:tabs>
            <w:rPr>
              <w:noProof/>
            </w:rPr>
          </w:pPr>
          <w:hyperlink w:anchor="_Toc232765332" w:history="1">
            <w:r w:rsidRPr="00E435F4">
              <w:rPr>
                <w:rStyle w:val="Hyperlink"/>
                <w:noProof/>
              </w:rPr>
              <w:t>7.4 The Veneration of Saints and Their Intercession</w:t>
            </w:r>
            <w:r>
              <w:rPr>
                <w:noProof/>
              </w:rPr>
              <w:tab/>
            </w:r>
            <w:r>
              <w:rPr>
                <w:noProof/>
              </w:rPr>
              <w:fldChar w:fldCharType="begin"/>
            </w:r>
            <w:r>
              <w:rPr>
                <w:noProof/>
              </w:rPr>
              <w:instrText xml:space="preserve"> PAGEREF _Toc232765332 \h </w:instrText>
            </w:r>
            <w:r>
              <w:rPr>
                <w:noProof/>
              </w:rPr>
            </w:r>
            <w:r>
              <w:rPr>
                <w:noProof/>
              </w:rPr>
              <w:fldChar w:fldCharType="separate"/>
            </w:r>
            <w:r>
              <w:rPr>
                <w:noProof/>
              </w:rPr>
              <w:t>1</w:t>
            </w:r>
            <w:r>
              <w:rPr>
                <w:noProof/>
              </w:rPr>
              <w:fldChar w:fldCharType="end"/>
            </w:r>
          </w:hyperlink>
        </w:p>
        <w:p w14:paraId="6771C4E8" w14:textId="77777777" w:rsidR="00104ABC" w:rsidRDefault="00104ABC">
          <w:pPr>
            <w:pStyle w:val="TOC1"/>
            <w:tabs>
              <w:tab w:val="right" w:leader="dot" w:pos="9350"/>
            </w:tabs>
            <w:rPr>
              <w:noProof/>
            </w:rPr>
          </w:pPr>
          <w:hyperlink w:anchor="_Toc232765333" w:history="1">
            <w:r w:rsidRPr="00E435F4">
              <w:rPr>
                <w:rStyle w:val="Hyperlink"/>
                <w:noProof/>
              </w:rPr>
              <w:t>CHAPTER EIGHT</w:t>
            </w:r>
            <w:r>
              <w:rPr>
                <w:noProof/>
              </w:rPr>
              <w:tab/>
            </w:r>
            <w:r>
              <w:rPr>
                <w:noProof/>
              </w:rPr>
              <w:fldChar w:fldCharType="begin"/>
            </w:r>
            <w:r>
              <w:rPr>
                <w:noProof/>
              </w:rPr>
              <w:instrText xml:space="preserve"> PAGEREF _Toc232765333 \h </w:instrText>
            </w:r>
            <w:r>
              <w:rPr>
                <w:noProof/>
              </w:rPr>
            </w:r>
            <w:r>
              <w:rPr>
                <w:noProof/>
              </w:rPr>
              <w:fldChar w:fldCharType="separate"/>
            </w:r>
            <w:r>
              <w:rPr>
                <w:noProof/>
              </w:rPr>
              <w:t>1</w:t>
            </w:r>
            <w:r>
              <w:rPr>
                <w:noProof/>
              </w:rPr>
              <w:fldChar w:fldCharType="end"/>
            </w:r>
          </w:hyperlink>
        </w:p>
        <w:p w14:paraId="129BE801" w14:textId="77777777" w:rsidR="00104ABC" w:rsidRDefault="00104ABC">
          <w:pPr>
            <w:pStyle w:val="TOC2"/>
            <w:tabs>
              <w:tab w:val="right" w:leader="dot" w:pos="9350"/>
            </w:tabs>
            <w:rPr>
              <w:noProof/>
            </w:rPr>
          </w:pPr>
          <w:hyperlink w:anchor="_Toc232765334" w:history="1">
            <w:r w:rsidRPr="00E435F4">
              <w:rPr>
                <w:rStyle w:val="Hyperlink"/>
                <w:noProof/>
              </w:rPr>
              <w:t>ICONS, HESYCHASM, AND THE ORTHODOX SPIRITUAL LIFE</w:t>
            </w:r>
            <w:r>
              <w:rPr>
                <w:noProof/>
              </w:rPr>
              <w:tab/>
            </w:r>
            <w:r>
              <w:rPr>
                <w:noProof/>
              </w:rPr>
              <w:fldChar w:fldCharType="begin"/>
            </w:r>
            <w:r>
              <w:rPr>
                <w:noProof/>
              </w:rPr>
              <w:instrText xml:space="preserve"> PAGEREF _Toc232765334 \h </w:instrText>
            </w:r>
            <w:r>
              <w:rPr>
                <w:noProof/>
              </w:rPr>
            </w:r>
            <w:r>
              <w:rPr>
                <w:noProof/>
              </w:rPr>
              <w:fldChar w:fldCharType="separate"/>
            </w:r>
            <w:r>
              <w:rPr>
                <w:noProof/>
              </w:rPr>
              <w:t>1</w:t>
            </w:r>
            <w:r>
              <w:rPr>
                <w:noProof/>
              </w:rPr>
              <w:fldChar w:fldCharType="end"/>
            </w:r>
          </w:hyperlink>
        </w:p>
        <w:p w14:paraId="02201B2D" w14:textId="77777777" w:rsidR="00104ABC" w:rsidRDefault="00104ABC">
          <w:pPr>
            <w:pStyle w:val="TOC3"/>
            <w:tabs>
              <w:tab w:val="right" w:leader="dot" w:pos="9350"/>
            </w:tabs>
            <w:rPr>
              <w:noProof/>
            </w:rPr>
          </w:pPr>
          <w:hyperlink w:anchor="_Toc232765335" w:history="1">
            <w:r w:rsidRPr="00E435F4">
              <w:rPr>
                <w:rStyle w:val="Hyperlink"/>
                <w:noProof/>
              </w:rPr>
              <w:t>8.1 The Theology of Iconography: John of Damascus and the Incarnational Argument</w:t>
            </w:r>
            <w:r>
              <w:rPr>
                <w:noProof/>
              </w:rPr>
              <w:tab/>
            </w:r>
            <w:r>
              <w:rPr>
                <w:noProof/>
              </w:rPr>
              <w:fldChar w:fldCharType="begin"/>
            </w:r>
            <w:r>
              <w:rPr>
                <w:noProof/>
              </w:rPr>
              <w:instrText xml:space="preserve"> PAGEREF _Toc232765335 \h </w:instrText>
            </w:r>
            <w:r>
              <w:rPr>
                <w:noProof/>
              </w:rPr>
            </w:r>
            <w:r>
              <w:rPr>
                <w:noProof/>
              </w:rPr>
              <w:fldChar w:fldCharType="separate"/>
            </w:r>
            <w:r>
              <w:rPr>
                <w:noProof/>
              </w:rPr>
              <w:t>1</w:t>
            </w:r>
            <w:r>
              <w:rPr>
                <w:noProof/>
              </w:rPr>
              <w:fldChar w:fldCharType="end"/>
            </w:r>
          </w:hyperlink>
        </w:p>
        <w:p w14:paraId="24BF324A" w14:textId="77777777" w:rsidR="00104ABC" w:rsidRDefault="00104ABC">
          <w:pPr>
            <w:pStyle w:val="TOC3"/>
            <w:tabs>
              <w:tab w:val="right" w:leader="dot" w:pos="9350"/>
            </w:tabs>
            <w:rPr>
              <w:noProof/>
            </w:rPr>
          </w:pPr>
          <w:hyperlink w:anchor="_Toc232765336" w:history="1">
            <w:r w:rsidRPr="00E435F4">
              <w:rPr>
                <w:rStyle w:val="Hyperlink"/>
                <w:noProof/>
              </w:rPr>
              <w:t>8.2 The Seventh Ecumenical Council (Nicaea II, 787): The Iconoclast Controversy</w:t>
            </w:r>
            <w:r>
              <w:rPr>
                <w:noProof/>
              </w:rPr>
              <w:tab/>
            </w:r>
            <w:r>
              <w:rPr>
                <w:noProof/>
              </w:rPr>
              <w:fldChar w:fldCharType="begin"/>
            </w:r>
            <w:r>
              <w:rPr>
                <w:noProof/>
              </w:rPr>
              <w:instrText xml:space="preserve"> PAGEREF _Toc232765336 \h </w:instrText>
            </w:r>
            <w:r>
              <w:rPr>
                <w:noProof/>
              </w:rPr>
            </w:r>
            <w:r>
              <w:rPr>
                <w:noProof/>
              </w:rPr>
              <w:fldChar w:fldCharType="separate"/>
            </w:r>
            <w:r>
              <w:rPr>
                <w:noProof/>
              </w:rPr>
              <w:t>1</w:t>
            </w:r>
            <w:r>
              <w:rPr>
                <w:noProof/>
              </w:rPr>
              <w:fldChar w:fldCharType="end"/>
            </w:r>
          </w:hyperlink>
        </w:p>
        <w:p w14:paraId="55F9096A" w14:textId="77777777" w:rsidR="00104ABC" w:rsidRDefault="00104ABC">
          <w:pPr>
            <w:pStyle w:val="TOC3"/>
            <w:tabs>
              <w:tab w:val="right" w:leader="dot" w:pos="9350"/>
            </w:tabs>
            <w:rPr>
              <w:noProof/>
            </w:rPr>
          </w:pPr>
          <w:hyperlink w:anchor="_Toc232765337" w:history="1">
            <w:r w:rsidRPr="00E435F4">
              <w:rPr>
                <w:rStyle w:val="Hyperlink"/>
                <w:noProof/>
              </w:rPr>
              <w:t>8.3 Hesychasm: The Desert Tradition and the Jesus Prayer</w:t>
            </w:r>
            <w:r>
              <w:rPr>
                <w:noProof/>
              </w:rPr>
              <w:tab/>
            </w:r>
            <w:r>
              <w:rPr>
                <w:noProof/>
              </w:rPr>
              <w:fldChar w:fldCharType="begin"/>
            </w:r>
            <w:r>
              <w:rPr>
                <w:noProof/>
              </w:rPr>
              <w:instrText xml:space="preserve"> PAGEREF _Toc232765337 \h </w:instrText>
            </w:r>
            <w:r>
              <w:rPr>
                <w:noProof/>
              </w:rPr>
            </w:r>
            <w:r>
              <w:rPr>
                <w:noProof/>
              </w:rPr>
              <w:fldChar w:fldCharType="separate"/>
            </w:r>
            <w:r>
              <w:rPr>
                <w:noProof/>
              </w:rPr>
              <w:t>1</w:t>
            </w:r>
            <w:r>
              <w:rPr>
                <w:noProof/>
              </w:rPr>
              <w:fldChar w:fldCharType="end"/>
            </w:r>
          </w:hyperlink>
        </w:p>
        <w:p w14:paraId="4DEB11C1" w14:textId="77777777" w:rsidR="00104ABC" w:rsidRDefault="00104ABC">
          <w:pPr>
            <w:pStyle w:val="TOC3"/>
            <w:tabs>
              <w:tab w:val="right" w:leader="dot" w:pos="9350"/>
            </w:tabs>
            <w:rPr>
              <w:noProof/>
            </w:rPr>
          </w:pPr>
          <w:hyperlink w:anchor="_Toc232765338" w:history="1">
            <w:r w:rsidRPr="00E435F4">
              <w:rPr>
                <w:rStyle w:val="Hyperlink"/>
                <w:noProof/>
              </w:rPr>
              <w:t>8.4 Gregory Palamas and the Hesychast Controversy: A Full Theological Account</w:t>
            </w:r>
            <w:r>
              <w:rPr>
                <w:noProof/>
              </w:rPr>
              <w:tab/>
            </w:r>
            <w:r>
              <w:rPr>
                <w:noProof/>
              </w:rPr>
              <w:fldChar w:fldCharType="begin"/>
            </w:r>
            <w:r>
              <w:rPr>
                <w:noProof/>
              </w:rPr>
              <w:instrText xml:space="preserve"> PAGEREF _Toc232765338 \h </w:instrText>
            </w:r>
            <w:r>
              <w:rPr>
                <w:noProof/>
              </w:rPr>
            </w:r>
            <w:r>
              <w:rPr>
                <w:noProof/>
              </w:rPr>
              <w:fldChar w:fldCharType="separate"/>
            </w:r>
            <w:r>
              <w:rPr>
                <w:noProof/>
              </w:rPr>
              <w:t>1</w:t>
            </w:r>
            <w:r>
              <w:rPr>
                <w:noProof/>
              </w:rPr>
              <w:fldChar w:fldCharType="end"/>
            </w:r>
          </w:hyperlink>
        </w:p>
        <w:p w14:paraId="4E1508AE" w14:textId="77777777" w:rsidR="00104ABC" w:rsidRDefault="00104ABC">
          <w:pPr>
            <w:pStyle w:val="TOC1"/>
            <w:tabs>
              <w:tab w:val="right" w:leader="dot" w:pos="9350"/>
            </w:tabs>
            <w:rPr>
              <w:noProof/>
            </w:rPr>
          </w:pPr>
          <w:hyperlink w:anchor="_Toc232765339" w:history="1">
            <w:r w:rsidRPr="00E435F4">
              <w:rPr>
                <w:rStyle w:val="Hyperlink"/>
                <w:noProof/>
              </w:rPr>
              <w:t>CHAPTER NINE</w:t>
            </w:r>
            <w:r>
              <w:rPr>
                <w:noProof/>
              </w:rPr>
              <w:tab/>
            </w:r>
            <w:r>
              <w:rPr>
                <w:noProof/>
              </w:rPr>
              <w:fldChar w:fldCharType="begin"/>
            </w:r>
            <w:r>
              <w:rPr>
                <w:noProof/>
              </w:rPr>
              <w:instrText xml:space="preserve"> PAGEREF _Toc232765339 \h </w:instrText>
            </w:r>
            <w:r>
              <w:rPr>
                <w:noProof/>
              </w:rPr>
            </w:r>
            <w:r>
              <w:rPr>
                <w:noProof/>
              </w:rPr>
              <w:fldChar w:fldCharType="separate"/>
            </w:r>
            <w:r>
              <w:rPr>
                <w:noProof/>
              </w:rPr>
              <w:t>1</w:t>
            </w:r>
            <w:r>
              <w:rPr>
                <w:noProof/>
              </w:rPr>
              <w:fldChar w:fldCharType="end"/>
            </w:r>
          </w:hyperlink>
        </w:p>
        <w:p w14:paraId="17FAE6D0" w14:textId="77777777" w:rsidR="00104ABC" w:rsidRDefault="00104ABC">
          <w:pPr>
            <w:pStyle w:val="TOC2"/>
            <w:tabs>
              <w:tab w:val="right" w:leader="dot" w:pos="9350"/>
            </w:tabs>
            <w:rPr>
              <w:noProof/>
            </w:rPr>
          </w:pPr>
          <w:hyperlink w:anchor="_Toc232765340" w:history="1">
            <w:r w:rsidRPr="00E435F4">
              <w:rPr>
                <w:rStyle w:val="Hyperlink"/>
                <w:noProof/>
              </w:rPr>
              <w:t>EASTERN ORTHODOXY IN ECUMENICAL DIALOGUE</w:t>
            </w:r>
            <w:r>
              <w:rPr>
                <w:noProof/>
              </w:rPr>
              <w:tab/>
            </w:r>
            <w:r>
              <w:rPr>
                <w:noProof/>
              </w:rPr>
              <w:fldChar w:fldCharType="begin"/>
            </w:r>
            <w:r>
              <w:rPr>
                <w:noProof/>
              </w:rPr>
              <w:instrText xml:space="preserve"> PAGEREF _Toc232765340 \h </w:instrText>
            </w:r>
            <w:r>
              <w:rPr>
                <w:noProof/>
              </w:rPr>
            </w:r>
            <w:r>
              <w:rPr>
                <w:noProof/>
              </w:rPr>
              <w:fldChar w:fldCharType="separate"/>
            </w:r>
            <w:r>
              <w:rPr>
                <w:noProof/>
              </w:rPr>
              <w:t>1</w:t>
            </w:r>
            <w:r>
              <w:rPr>
                <w:noProof/>
              </w:rPr>
              <w:fldChar w:fldCharType="end"/>
            </w:r>
          </w:hyperlink>
        </w:p>
        <w:p w14:paraId="0F7566BF" w14:textId="77777777" w:rsidR="00104ABC" w:rsidRDefault="00104ABC">
          <w:pPr>
            <w:pStyle w:val="TOC3"/>
            <w:tabs>
              <w:tab w:val="right" w:leader="dot" w:pos="9350"/>
            </w:tabs>
            <w:rPr>
              <w:noProof/>
            </w:rPr>
          </w:pPr>
          <w:hyperlink w:anchor="_Toc232765341" w:history="1">
            <w:r w:rsidRPr="00E435F4">
              <w:rPr>
                <w:rStyle w:val="Hyperlink"/>
                <w:noProof/>
              </w:rPr>
              <w:t>9.1 Orthodox-Catholic Dialogue: From Schism to Balamand</w:t>
            </w:r>
            <w:r>
              <w:rPr>
                <w:noProof/>
              </w:rPr>
              <w:tab/>
            </w:r>
            <w:r>
              <w:rPr>
                <w:noProof/>
              </w:rPr>
              <w:fldChar w:fldCharType="begin"/>
            </w:r>
            <w:r>
              <w:rPr>
                <w:noProof/>
              </w:rPr>
              <w:instrText xml:space="preserve"> PAGEREF _Toc232765341 \h </w:instrText>
            </w:r>
            <w:r>
              <w:rPr>
                <w:noProof/>
              </w:rPr>
            </w:r>
            <w:r>
              <w:rPr>
                <w:noProof/>
              </w:rPr>
              <w:fldChar w:fldCharType="separate"/>
            </w:r>
            <w:r>
              <w:rPr>
                <w:noProof/>
              </w:rPr>
              <w:t>1</w:t>
            </w:r>
            <w:r>
              <w:rPr>
                <w:noProof/>
              </w:rPr>
              <w:fldChar w:fldCharType="end"/>
            </w:r>
          </w:hyperlink>
        </w:p>
        <w:p w14:paraId="25F3752C" w14:textId="77777777" w:rsidR="00104ABC" w:rsidRDefault="00104ABC">
          <w:pPr>
            <w:pStyle w:val="TOC3"/>
            <w:tabs>
              <w:tab w:val="right" w:leader="dot" w:pos="9350"/>
            </w:tabs>
            <w:rPr>
              <w:noProof/>
            </w:rPr>
          </w:pPr>
          <w:hyperlink w:anchor="_Toc232765342" w:history="1">
            <w:r w:rsidRPr="00E435F4">
              <w:rPr>
                <w:rStyle w:val="Hyperlink"/>
                <w:noProof/>
              </w:rPr>
              <w:t>9.2 Orthodox-Protestant Dialogue and the WCC</w:t>
            </w:r>
            <w:r>
              <w:rPr>
                <w:noProof/>
              </w:rPr>
              <w:tab/>
            </w:r>
            <w:r>
              <w:rPr>
                <w:noProof/>
              </w:rPr>
              <w:fldChar w:fldCharType="begin"/>
            </w:r>
            <w:r>
              <w:rPr>
                <w:noProof/>
              </w:rPr>
              <w:instrText xml:space="preserve"> PAGEREF _Toc232765342 \h </w:instrText>
            </w:r>
            <w:r>
              <w:rPr>
                <w:noProof/>
              </w:rPr>
            </w:r>
            <w:r>
              <w:rPr>
                <w:noProof/>
              </w:rPr>
              <w:fldChar w:fldCharType="separate"/>
            </w:r>
            <w:r>
              <w:rPr>
                <w:noProof/>
              </w:rPr>
              <w:t>1</w:t>
            </w:r>
            <w:r>
              <w:rPr>
                <w:noProof/>
              </w:rPr>
              <w:fldChar w:fldCharType="end"/>
            </w:r>
          </w:hyperlink>
        </w:p>
        <w:p w14:paraId="07E2CCEA" w14:textId="77777777" w:rsidR="00104ABC" w:rsidRDefault="00104ABC">
          <w:pPr>
            <w:pStyle w:val="TOC3"/>
            <w:tabs>
              <w:tab w:val="right" w:leader="dot" w:pos="9350"/>
            </w:tabs>
            <w:rPr>
              <w:noProof/>
            </w:rPr>
          </w:pPr>
          <w:hyperlink w:anchor="_Toc232765343" w:history="1">
            <w:r w:rsidRPr="00E435F4">
              <w:rPr>
                <w:rStyle w:val="Hyperlink"/>
                <w:noProof/>
              </w:rPr>
              <w:t>9.3 The Neo-Patristic Synthesis: Florovsky's Program for Orthodox Self-Definition</w:t>
            </w:r>
            <w:r>
              <w:rPr>
                <w:noProof/>
              </w:rPr>
              <w:tab/>
            </w:r>
            <w:r>
              <w:rPr>
                <w:noProof/>
              </w:rPr>
              <w:fldChar w:fldCharType="begin"/>
            </w:r>
            <w:r>
              <w:rPr>
                <w:noProof/>
              </w:rPr>
              <w:instrText xml:space="preserve"> PAGEREF _Toc232765343 \h </w:instrText>
            </w:r>
            <w:r>
              <w:rPr>
                <w:noProof/>
              </w:rPr>
            </w:r>
            <w:r>
              <w:rPr>
                <w:noProof/>
              </w:rPr>
              <w:fldChar w:fldCharType="separate"/>
            </w:r>
            <w:r>
              <w:rPr>
                <w:noProof/>
              </w:rPr>
              <w:t>1</w:t>
            </w:r>
            <w:r>
              <w:rPr>
                <w:noProof/>
              </w:rPr>
              <w:fldChar w:fldCharType="end"/>
            </w:r>
          </w:hyperlink>
        </w:p>
        <w:p w14:paraId="22DBDBC4" w14:textId="77777777" w:rsidR="00104ABC" w:rsidRDefault="00104ABC">
          <w:pPr>
            <w:pStyle w:val="TOC1"/>
            <w:tabs>
              <w:tab w:val="right" w:leader="dot" w:pos="9350"/>
            </w:tabs>
            <w:rPr>
              <w:noProof/>
            </w:rPr>
          </w:pPr>
          <w:hyperlink w:anchor="_Toc232765344" w:history="1">
            <w:r w:rsidRPr="00E435F4">
              <w:rPr>
                <w:rStyle w:val="Hyperlink"/>
                <w:noProof/>
              </w:rPr>
              <w:t>CHAPTER TEN</w:t>
            </w:r>
            <w:r>
              <w:rPr>
                <w:noProof/>
              </w:rPr>
              <w:tab/>
            </w:r>
            <w:r>
              <w:rPr>
                <w:noProof/>
              </w:rPr>
              <w:fldChar w:fldCharType="begin"/>
            </w:r>
            <w:r>
              <w:rPr>
                <w:noProof/>
              </w:rPr>
              <w:instrText xml:space="preserve"> PAGEREF _Toc232765344 \h </w:instrText>
            </w:r>
            <w:r>
              <w:rPr>
                <w:noProof/>
              </w:rPr>
            </w:r>
            <w:r>
              <w:rPr>
                <w:noProof/>
              </w:rPr>
              <w:fldChar w:fldCharType="separate"/>
            </w:r>
            <w:r>
              <w:rPr>
                <w:noProof/>
              </w:rPr>
              <w:t>1</w:t>
            </w:r>
            <w:r>
              <w:rPr>
                <w:noProof/>
              </w:rPr>
              <w:fldChar w:fldCharType="end"/>
            </w:r>
          </w:hyperlink>
        </w:p>
        <w:p w14:paraId="678AAEDD" w14:textId="77777777" w:rsidR="00104ABC" w:rsidRDefault="00104ABC">
          <w:pPr>
            <w:pStyle w:val="TOC2"/>
            <w:tabs>
              <w:tab w:val="right" w:leader="dot" w:pos="9350"/>
            </w:tabs>
            <w:rPr>
              <w:noProof/>
            </w:rPr>
          </w:pPr>
          <w:hyperlink w:anchor="_Toc232765345" w:history="1">
            <w:r w:rsidRPr="00E435F4">
              <w:rPr>
                <w:rStyle w:val="Hyperlink"/>
                <w:noProof/>
              </w:rPr>
              <w:t>KEY ORTHODOX THEOLOGIANS: THOUGHT AND LEGACY</w:t>
            </w:r>
            <w:r>
              <w:rPr>
                <w:noProof/>
              </w:rPr>
              <w:tab/>
            </w:r>
            <w:r>
              <w:rPr>
                <w:noProof/>
              </w:rPr>
              <w:fldChar w:fldCharType="begin"/>
            </w:r>
            <w:r>
              <w:rPr>
                <w:noProof/>
              </w:rPr>
              <w:instrText xml:space="preserve"> PAGEREF _Toc232765345 \h </w:instrText>
            </w:r>
            <w:r>
              <w:rPr>
                <w:noProof/>
              </w:rPr>
            </w:r>
            <w:r>
              <w:rPr>
                <w:noProof/>
              </w:rPr>
              <w:fldChar w:fldCharType="separate"/>
            </w:r>
            <w:r>
              <w:rPr>
                <w:noProof/>
              </w:rPr>
              <w:t>1</w:t>
            </w:r>
            <w:r>
              <w:rPr>
                <w:noProof/>
              </w:rPr>
              <w:fldChar w:fldCharType="end"/>
            </w:r>
          </w:hyperlink>
        </w:p>
        <w:p w14:paraId="4E634B1F" w14:textId="77777777" w:rsidR="00104ABC" w:rsidRDefault="00104ABC">
          <w:pPr>
            <w:pStyle w:val="TOC3"/>
            <w:tabs>
              <w:tab w:val="right" w:leader="dot" w:pos="9350"/>
            </w:tabs>
            <w:rPr>
              <w:noProof/>
            </w:rPr>
          </w:pPr>
          <w:hyperlink w:anchor="_Toc232765346" w:history="1">
            <w:r w:rsidRPr="00E435F4">
              <w:rPr>
                <w:rStyle w:val="Hyperlink"/>
                <w:noProof/>
              </w:rPr>
              <w:t>10.1 John of Damascus (c. 675–749)</w:t>
            </w:r>
            <w:r>
              <w:rPr>
                <w:noProof/>
              </w:rPr>
              <w:tab/>
            </w:r>
            <w:r>
              <w:rPr>
                <w:noProof/>
              </w:rPr>
              <w:fldChar w:fldCharType="begin"/>
            </w:r>
            <w:r>
              <w:rPr>
                <w:noProof/>
              </w:rPr>
              <w:instrText xml:space="preserve"> PAGEREF _Toc232765346 \h </w:instrText>
            </w:r>
            <w:r>
              <w:rPr>
                <w:noProof/>
              </w:rPr>
            </w:r>
            <w:r>
              <w:rPr>
                <w:noProof/>
              </w:rPr>
              <w:fldChar w:fldCharType="separate"/>
            </w:r>
            <w:r>
              <w:rPr>
                <w:noProof/>
              </w:rPr>
              <w:t>1</w:t>
            </w:r>
            <w:r>
              <w:rPr>
                <w:noProof/>
              </w:rPr>
              <w:fldChar w:fldCharType="end"/>
            </w:r>
          </w:hyperlink>
        </w:p>
        <w:p w14:paraId="5245C13F" w14:textId="77777777" w:rsidR="00104ABC" w:rsidRDefault="00104ABC">
          <w:pPr>
            <w:pStyle w:val="TOC3"/>
            <w:tabs>
              <w:tab w:val="right" w:leader="dot" w:pos="9350"/>
            </w:tabs>
            <w:rPr>
              <w:noProof/>
            </w:rPr>
          </w:pPr>
          <w:hyperlink w:anchor="_Toc232765347" w:history="1">
            <w:r w:rsidRPr="00E435F4">
              <w:rPr>
                <w:rStyle w:val="Hyperlink"/>
                <w:noProof/>
              </w:rPr>
              <w:t>10.2 Maximus the Confessor (580–662)</w:t>
            </w:r>
            <w:r>
              <w:rPr>
                <w:noProof/>
              </w:rPr>
              <w:tab/>
            </w:r>
            <w:r>
              <w:rPr>
                <w:noProof/>
              </w:rPr>
              <w:fldChar w:fldCharType="begin"/>
            </w:r>
            <w:r>
              <w:rPr>
                <w:noProof/>
              </w:rPr>
              <w:instrText xml:space="preserve"> PAGEREF _Toc232765347 \h </w:instrText>
            </w:r>
            <w:r>
              <w:rPr>
                <w:noProof/>
              </w:rPr>
            </w:r>
            <w:r>
              <w:rPr>
                <w:noProof/>
              </w:rPr>
              <w:fldChar w:fldCharType="separate"/>
            </w:r>
            <w:r>
              <w:rPr>
                <w:noProof/>
              </w:rPr>
              <w:t>1</w:t>
            </w:r>
            <w:r>
              <w:rPr>
                <w:noProof/>
              </w:rPr>
              <w:fldChar w:fldCharType="end"/>
            </w:r>
          </w:hyperlink>
        </w:p>
        <w:p w14:paraId="591377AF" w14:textId="77777777" w:rsidR="00104ABC" w:rsidRDefault="00104ABC">
          <w:pPr>
            <w:pStyle w:val="TOC3"/>
            <w:tabs>
              <w:tab w:val="right" w:leader="dot" w:pos="9350"/>
            </w:tabs>
            <w:rPr>
              <w:noProof/>
            </w:rPr>
          </w:pPr>
          <w:hyperlink w:anchor="_Toc232765348" w:history="1">
            <w:r w:rsidRPr="00E435F4">
              <w:rPr>
                <w:rStyle w:val="Hyperlink"/>
                <w:noProof/>
              </w:rPr>
              <w:t>10.3 Symeon the New Theologian (949–1022)</w:t>
            </w:r>
            <w:r>
              <w:rPr>
                <w:noProof/>
              </w:rPr>
              <w:tab/>
            </w:r>
            <w:r>
              <w:rPr>
                <w:noProof/>
              </w:rPr>
              <w:fldChar w:fldCharType="begin"/>
            </w:r>
            <w:r>
              <w:rPr>
                <w:noProof/>
              </w:rPr>
              <w:instrText xml:space="preserve"> PAGEREF _Toc232765348 \h </w:instrText>
            </w:r>
            <w:r>
              <w:rPr>
                <w:noProof/>
              </w:rPr>
            </w:r>
            <w:r>
              <w:rPr>
                <w:noProof/>
              </w:rPr>
              <w:fldChar w:fldCharType="separate"/>
            </w:r>
            <w:r>
              <w:rPr>
                <w:noProof/>
              </w:rPr>
              <w:t>1</w:t>
            </w:r>
            <w:r>
              <w:rPr>
                <w:noProof/>
              </w:rPr>
              <w:fldChar w:fldCharType="end"/>
            </w:r>
          </w:hyperlink>
        </w:p>
        <w:p w14:paraId="5AE360B2" w14:textId="77777777" w:rsidR="00104ABC" w:rsidRDefault="00104ABC">
          <w:pPr>
            <w:pStyle w:val="TOC3"/>
            <w:tabs>
              <w:tab w:val="right" w:leader="dot" w:pos="9350"/>
            </w:tabs>
            <w:rPr>
              <w:noProof/>
            </w:rPr>
          </w:pPr>
          <w:hyperlink w:anchor="_Toc232765349" w:history="1">
            <w:r w:rsidRPr="00E435F4">
              <w:rPr>
                <w:rStyle w:val="Hyperlink"/>
                <w:noProof/>
              </w:rPr>
              <w:t>10.4 Gregory Palamas (1296–1359)</w:t>
            </w:r>
            <w:r>
              <w:rPr>
                <w:noProof/>
              </w:rPr>
              <w:tab/>
            </w:r>
            <w:r>
              <w:rPr>
                <w:noProof/>
              </w:rPr>
              <w:fldChar w:fldCharType="begin"/>
            </w:r>
            <w:r>
              <w:rPr>
                <w:noProof/>
              </w:rPr>
              <w:instrText xml:space="preserve"> PAGEREF _Toc232765349 \h </w:instrText>
            </w:r>
            <w:r>
              <w:rPr>
                <w:noProof/>
              </w:rPr>
            </w:r>
            <w:r>
              <w:rPr>
                <w:noProof/>
              </w:rPr>
              <w:fldChar w:fldCharType="separate"/>
            </w:r>
            <w:r>
              <w:rPr>
                <w:noProof/>
              </w:rPr>
              <w:t>1</w:t>
            </w:r>
            <w:r>
              <w:rPr>
                <w:noProof/>
              </w:rPr>
              <w:fldChar w:fldCharType="end"/>
            </w:r>
          </w:hyperlink>
        </w:p>
        <w:p w14:paraId="60016A9F" w14:textId="77777777" w:rsidR="00104ABC" w:rsidRDefault="00104ABC">
          <w:pPr>
            <w:pStyle w:val="TOC3"/>
            <w:tabs>
              <w:tab w:val="right" w:leader="dot" w:pos="9350"/>
            </w:tabs>
            <w:rPr>
              <w:noProof/>
            </w:rPr>
          </w:pPr>
          <w:hyperlink w:anchor="_Toc232765350" w:history="1">
            <w:r w:rsidRPr="00E435F4">
              <w:rPr>
                <w:rStyle w:val="Hyperlink"/>
                <w:noProof/>
              </w:rPr>
              <w:t>10.5 Georges Florovsky (1893–1979)</w:t>
            </w:r>
            <w:r>
              <w:rPr>
                <w:noProof/>
              </w:rPr>
              <w:tab/>
            </w:r>
            <w:r>
              <w:rPr>
                <w:noProof/>
              </w:rPr>
              <w:fldChar w:fldCharType="begin"/>
            </w:r>
            <w:r>
              <w:rPr>
                <w:noProof/>
              </w:rPr>
              <w:instrText xml:space="preserve"> PAGEREF _Toc232765350 \h </w:instrText>
            </w:r>
            <w:r>
              <w:rPr>
                <w:noProof/>
              </w:rPr>
            </w:r>
            <w:r>
              <w:rPr>
                <w:noProof/>
              </w:rPr>
              <w:fldChar w:fldCharType="separate"/>
            </w:r>
            <w:r>
              <w:rPr>
                <w:noProof/>
              </w:rPr>
              <w:t>1</w:t>
            </w:r>
            <w:r>
              <w:rPr>
                <w:noProof/>
              </w:rPr>
              <w:fldChar w:fldCharType="end"/>
            </w:r>
          </w:hyperlink>
        </w:p>
        <w:p w14:paraId="31644D6C" w14:textId="77777777" w:rsidR="00104ABC" w:rsidRDefault="00104ABC">
          <w:pPr>
            <w:pStyle w:val="TOC3"/>
            <w:tabs>
              <w:tab w:val="right" w:leader="dot" w:pos="9350"/>
            </w:tabs>
            <w:rPr>
              <w:noProof/>
            </w:rPr>
          </w:pPr>
          <w:hyperlink w:anchor="_Toc232765351" w:history="1">
            <w:r w:rsidRPr="00E435F4">
              <w:rPr>
                <w:rStyle w:val="Hyperlink"/>
                <w:noProof/>
              </w:rPr>
              <w:t>10.6 Alexander Schmemann (1921–1983)</w:t>
            </w:r>
            <w:r>
              <w:rPr>
                <w:noProof/>
              </w:rPr>
              <w:tab/>
            </w:r>
            <w:r>
              <w:rPr>
                <w:noProof/>
              </w:rPr>
              <w:fldChar w:fldCharType="begin"/>
            </w:r>
            <w:r>
              <w:rPr>
                <w:noProof/>
              </w:rPr>
              <w:instrText xml:space="preserve"> PAGEREF _Toc232765351 \h </w:instrText>
            </w:r>
            <w:r>
              <w:rPr>
                <w:noProof/>
              </w:rPr>
            </w:r>
            <w:r>
              <w:rPr>
                <w:noProof/>
              </w:rPr>
              <w:fldChar w:fldCharType="separate"/>
            </w:r>
            <w:r>
              <w:rPr>
                <w:noProof/>
              </w:rPr>
              <w:t>1</w:t>
            </w:r>
            <w:r>
              <w:rPr>
                <w:noProof/>
              </w:rPr>
              <w:fldChar w:fldCharType="end"/>
            </w:r>
          </w:hyperlink>
        </w:p>
        <w:p w14:paraId="6FFB0525" w14:textId="77777777" w:rsidR="00104ABC" w:rsidRDefault="00104ABC">
          <w:pPr>
            <w:pStyle w:val="TOC3"/>
            <w:tabs>
              <w:tab w:val="right" w:leader="dot" w:pos="9350"/>
            </w:tabs>
            <w:rPr>
              <w:noProof/>
            </w:rPr>
          </w:pPr>
          <w:hyperlink w:anchor="_Toc232765352" w:history="1">
            <w:r w:rsidRPr="00E435F4">
              <w:rPr>
                <w:rStyle w:val="Hyperlink"/>
                <w:noProof/>
              </w:rPr>
              <w:t>10.7 Vladimir Lossky (1903–1958)</w:t>
            </w:r>
            <w:r>
              <w:rPr>
                <w:noProof/>
              </w:rPr>
              <w:tab/>
            </w:r>
            <w:r>
              <w:rPr>
                <w:noProof/>
              </w:rPr>
              <w:fldChar w:fldCharType="begin"/>
            </w:r>
            <w:r>
              <w:rPr>
                <w:noProof/>
              </w:rPr>
              <w:instrText xml:space="preserve"> PAGEREF _Toc232765352 \h </w:instrText>
            </w:r>
            <w:r>
              <w:rPr>
                <w:noProof/>
              </w:rPr>
            </w:r>
            <w:r>
              <w:rPr>
                <w:noProof/>
              </w:rPr>
              <w:fldChar w:fldCharType="separate"/>
            </w:r>
            <w:r>
              <w:rPr>
                <w:noProof/>
              </w:rPr>
              <w:t>1</w:t>
            </w:r>
            <w:r>
              <w:rPr>
                <w:noProof/>
              </w:rPr>
              <w:fldChar w:fldCharType="end"/>
            </w:r>
          </w:hyperlink>
        </w:p>
        <w:p w14:paraId="0C013F46" w14:textId="77777777" w:rsidR="00104ABC" w:rsidRDefault="00104ABC">
          <w:pPr>
            <w:pStyle w:val="TOC3"/>
            <w:tabs>
              <w:tab w:val="right" w:leader="dot" w:pos="9350"/>
            </w:tabs>
            <w:rPr>
              <w:noProof/>
            </w:rPr>
          </w:pPr>
          <w:hyperlink w:anchor="_Toc232765353" w:history="1">
            <w:r w:rsidRPr="00E435F4">
              <w:rPr>
                <w:rStyle w:val="Hyperlink"/>
                <w:noProof/>
              </w:rPr>
              <w:t>10.8 Kallistos Ware (1934–2022)</w:t>
            </w:r>
            <w:r>
              <w:rPr>
                <w:noProof/>
              </w:rPr>
              <w:tab/>
            </w:r>
            <w:r>
              <w:rPr>
                <w:noProof/>
              </w:rPr>
              <w:fldChar w:fldCharType="begin"/>
            </w:r>
            <w:r>
              <w:rPr>
                <w:noProof/>
              </w:rPr>
              <w:instrText xml:space="preserve"> PAGEREF _Toc232765353 \h </w:instrText>
            </w:r>
            <w:r>
              <w:rPr>
                <w:noProof/>
              </w:rPr>
            </w:r>
            <w:r>
              <w:rPr>
                <w:noProof/>
              </w:rPr>
              <w:fldChar w:fldCharType="separate"/>
            </w:r>
            <w:r>
              <w:rPr>
                <w:noProof/>
              </w:rPr>
              <w:t>1</w:t>
            </w:r>
            <w:r>
              <w:rPr>
                <w:noProof/>
              </w:rPr>
              <w:fldChar w:fldCharType="end"/>
            </w:r>
          </w:hyperlink>
        </w:p>
        <w:p w14:paraId="26E52A63" w14:textId="77777777" w:rsidR="00104ABC" w:rsidRDefault="00104ABC">
          <w:pPr>
            <w:pStyle w:val="TOC2"/>
            <w:tabs>
              <w:tab w:val="right" w:leader="dot" w:pos="9350"/>
            </w:tabs>
            <w:rPr>
              <w:noProof/>
            </w:rPr>
          </w:pPr>
          <w:hyperlink w:anchor="_Toc232765354" w:history="1">
            <w:r w:rsidRPr="00E435F4">
              <w:rPr>
                <w:rStyle w:val="Hyperlink"/>
                <w:noProof/>
              </w:rPr>
              <w:t>CONCLUSION</w:t>
            </w:r>
            <w:r>
              <w:rPr>
                <w:noProof/>
              </w:rPr>
              <w:tab/>
            </w:r>
            <w:r>
              <w:rPr>
                <w:noProof/>
              </w:rPr>
              <w:fldChar w:fldCharType="begin"/>
            </w:r>
            <w:r>
              <w:rPr>
                <w:noProof/>
              </w:rPr>
              <w:instrText xml:space="preserve"> PAGEREF _Toc232765354 \h </w:instrText>
            </w:r>
            <w:r>
              <w:rPr>
                <w:noProof/>
              </w:rPr>
            </w:r>
            <w:r>
              <w:rPr>
                <w:noProof/>
              </w:rPr>
              <w:fldChar w:fldCharType="separate"/>
            </w:r>
            <w:r>
              <w:rPr>
                <w:noProof/>
              </w:rPr>
              <w:t>1</w:t>
            </w:r>
            <w:r>
              <w:rPr>
                <w:noProof/>
              </w:rPr>
              <w:fldChar w:fldCharType="end"/>
            </w:r>
          </w:hyperlink>
        </w:p>
        <w:p w14:paraId="4097D628" w14:textId="77777777" w:rsidR="00104ABC" w:rsidRDefault="00104ABC">
          <w:pPr>
            <w:pStyle w:val="TOC1"/>
            <w:tabs>
              <w:tab w:val="right" w:leader="dot" w:pos="9350"/>
            </w:tabs>
            <w:rPr>
              <w:noProof/>
            </w:rPr>
          </w:pPr>
          <w:hyperlink w:anchor="_Toc232765355" w:history="1">
            <w:r w:rsidRPr="00E435F4">
              <w:rPr>
                <w:rStyle w:val="Hyperlink"/>
                <w:noProof/>
              </w:rPr>
              <w:t>PART TWO: THE FORMAL AND MATERIAL PRINCIPLES AT WAR</w:t>
            </w:r>
            <w:r>
              <w:rPr>
                <w:noProof/>
              </w:rPr>
              <w:tab/>
            </w:r>
            <w:r>
              <w:rPr>
                <w:noProof/>
              </w:rPr>
              <w:fldChar w:fldCharType="begin"/>
            </w:r>
            <w:r>
              <w:rPr>
                <w:noProof/>
              </w:rPr>
              <w:instrText xml:space="preserve"> PAGEREF _Toc232765355 \h </w:instrText>
            </w:r>
            <w:r>
              <w:rPr>
                <w:noProof/>
              </w:rPr>
            </w:r>
            <w:r>
              <w:rPr>
                <w:noProof/>
              </w:rPr>
              <w:fldChar w:fldCharType="separate"/>
            </w:r>
            <w:r>
              <w:rPr>
                <w:noProof/>
              </w:rPr>
              <w:t>1</w:t>
            </w:r>
            <w:r>
              <w:rPr>
                <w:noProof/>
              </w:rPr>
              <w:fldChar w:fldCharType="end"/>
            </w:r>
          </w:hyperlink>
        </w:p>
        <w:p w14:paraId="1BFF8D3B" w14:textId="77777777" w:rsidR="00104ABC" w:rsidRDefault="00104ABC">
          <w:pPr>
            <w:pStyle w:val="TOC2"/>
            <w:tabs>
              <w:tab w:val="right" w:leader="dot" w:pos="9350"/>
            </w:tabs>
            <w:rPr>
              <w:noProof/>
            </w:rPr>
          </w:pPr>
          <w:hyperlink w:anchor="_Toc232765356" w:history="1">
            <w:r w:rsidRPr="00E435F4">
              <w:rPr>
                <w:rStyle w:val="Hyperlink"/>
                <w:noProof/>
              </w:rPr>
              <w:t>Chapters 11–13: Scripture, Justification, and Sin</w:t>
            </w:r>
            <w:r>
              <w:rPr>
                <w:noProof/>
              </w:rPr>
              <w:tab/>
            </w:r>
            <w:r>
              <w:rPr>
                <w:noProof/>
              </w:rPr>
              <w:fldChar w:fldCharType="begin"/>
            </w:r>
            <w:r>
              <w:rPr>
                <w:noProof/>
              </w:rPr>
              <w:instrText xml:space="preserve"> PAGEREF _Toc232765356 \h </w:instrText>
            </w:r>
            <w:r>
              <w:rPr>
                <w:noProof/>
              </w:rPr>
            </w:r>
            <w:r>
              <w:rPr>
                <w:noProof/>
              </w:rPr>
              <w:fldChar w:fldCharType="separate"/>
            </w:r>
            <w:r>
              <w:rPr>
                <w:noProof/>
              </w:rPr>
              <w:t>1</w:t>
            </w:r>
            <w:r>
              <w:rPr>
                <w:noProof/>
              </w:rPr>
              <w:fldChar w:fldCharType="end"/>
            </w:r>
          </w:hyperlink>
        </w:p>
        <w:p w14:paraId="35D9DBF6" w14:textId="77777777" w:rsidR="00104ABC" w:rsidRDefault="00104ABC">
          <w:pPr>
            <w:pStyle w:val="TOC1"/>
            <w:tabs>
              <w:tab w:val="right" w:leader="dot" w:pos="9350"/>
            </w:tabs>
            <w:rPr>
              <w:noProof/>
            </w:rPr>
          </w:pPr>
          <w:hyperlink w:anchor="_Toc232765357" w:history="1">
            <w:r w:rsidRPr="00E435F4">
              <w:rPr>
                <w:rStyle w:val="Hyperlink"/>
                <w:noProof/>
              </w:rPr>
              <w:t>CHAPTER 11: THE GOVERNING EPISTEMOLOGICAL DIVIDE — SOLA SCRIPTURA VS. HOLY TRADITION</w:t>
            </w:r>
            <w:r>
              <w:rPr>
                <w:noProof/>
              </w:rPr>
              <w:tab/>
            </w:r>
            <w:r>
              <w:rPr>
                <w:noProof/>
              </w:rPr>
              <w:fldChar w:fldCharType="begin"/>
            </w:r>
            <w:r>
              <w:rPr>
                <w:noProof/>
              </w:rPr>
              <w:instrText xml:space="preserve"> PAGEREF _Toc232765357 \h </w:instrText>
            </w:r>
            <w:r>
              <w:rPr>
                <w:noProof/>
              </w:rPr>
            </w:r>
            <w:r>
              <w:rPr>
                <w:noProof/>
              </w:rPr>
              <w:fldChar w:fldCharType="separate"/>
            </w:r>
            <w:r>
              <w:rPr>
                <w:noProof/>
              </w:rPr>
              <w:t>1</w:t>
            </w:r>
            <w:r>
              <w:rPr>
                <w:noProof/>
              </w:rPr>
              <w:fldChar w:fldCharType="end"/>
            </w:r>
          </w:hyperlink>
        </w:p>
        <w:p w14:paraId="01D849CF" w14:textId="77777777" w:rsidR="00104ABC" w:rsidRDefault="00104ABC">
          <w:pPr>
            <w:pStyle w:val="TOC2"/>
            <w:tabs>
              <w:tab w:val="right" w:leader="dot" w:pos="9350"/>
            </w:tabs>
            <w:rPr>
              <w:noProof/>
            </w:rPr>
          </w:pPr>
          <w:hyperlink w:anchor="_Toc232765358" w:history="1">
            <w:r w:rsidRPr="00E435F4">
              <w:rPr>
                <w:rStyle w:val="Hyperlink"/>
                <w:noProof/>
              </w:rPr>
              <w:t>11.1 — The Question Behind All Questions</w:t>
            </w:r>
            <w:r>
              <w:rPr>
                <w:noProof/>
              </w:rPr>
              <w:tab/>
            </w:r>
            <w:r>
              <w:rPr>
                <w:noProof/>
              </w:rPr>
              <w:fldChar w:fldCharType="begin"/>
            </w:r>
            <w:r>
              <w:rPr>
                <w:noProof/>
              </w:rPr>
              <w:instrText xml:space="preserve"> PAGEREF _Toc232765358 \h </w:instrText>
            </w:r>
            <w:r>
              <w:rPr>
                <w:noProof/>
              </w:rPr>
            </w:r>
            <w:r>
              <w:rPr>
                <w:noProof/>
              </w:rPr>
              <w:fldChar w:fldCharType="separate"/>
            </w:r>
            <w:r>
              <w:rPr>
                <w:noProof/>
              </w:rPr>
              <w:t>1</w:t>
            </w:r>
            <w:r>
              <w:rPr>
                <w:noProof/>
              </w:rPr>
              <w:fldChar w:fldCharType="end"/>
            </w:r>
          </w:hyperlink>
        </w:p>
        <w:p w14:paraId="61942AB7" w14:textId="77777777" w:rsidR="00104ABC" w:rsidRDefault="00104ABC">
          <w:pPr>
            <w:pStyle w:val="TOC2"/>
            <w:tabs>
              <w:tab w:val="right" w:leader="dot" w:pos="9350"/>
            </w:tabs>
            <w:rPr>
              <w:noProof/>
            </w:rPr>
          </w:pPr>
          <w:hyperlink w:anchor="_Toc232765359" w:history="1">
            <w:r w:rsidRPr="00E435F4">
              <w:rPr>
                <w:rStyle w:val="Hyperlink"/>
                <w:noProof/>
              </w:rPr>
              <w:t>11.2 — The Reformed Doctrine of Scripture: 2LBC Chapter 1 in Full</w:t>
            </w:r>
            <w:r>
              <w:rPr>
                <w:noProof/>
              </w:rPr>
              <w:tab/>
            </w:r>
            <w:r>
              <w:rPr>
                <w:noProof/>
              </w:rPr>
              <w:fldChar w:fldCharType="begin"/>
            </w:r>
            <w:r>
              <w:rPr>
                <w:noProof/>
              </w:rPr>
              <w:instrText xml:space="preserve"> PAGEREF _Toc232765359 \h </w:instrText>
            </w:r>
            <w:r>
              <w:rPr>
                <w:noProof/>
              </w:rPr>
            </w:r>
            <w:r>
              <w:rPr>
                <w:noProof/>
              </w:rPr>
              <w:fldChar w:fldCharType="separate"/>
            </w:r>
            <w:r>
              <w:rPr>
                <w:noProof/>
              </w:rPr>
              <w:t>1</w:t>
            </w:r>
            <w:r>
              <w:rPr>
                <w:noProof/>
              </w:rPr>
              <w:fldChar w:fldCharType="end"/>
            </w:r>
          </w:hyperlink>
        </w:p>
        <w:p w14:paraId="0C37A83F" w14:textId="77777777" w:rsidR="00104ABC" w:rsidRDefault="00104ABC">
          <w:pPr>
            <w:pStyle w:val="TOC2"/>
            <w:tabs>
              <w:tab w:val="right" w:leader="dot" w:pos="9350"/>
            </w:tabs>
            <w:rPr>
              <w:noProof/>
            </w:rPr>
          </w:pPr>
          <w:hyperlink w:anchor="_Toc232765360" w:history="1">
            <w:r w:rsidRPr="00E435F4">
              <w:rPr>
                <w:rStyle w:val="Hyperlink"/>
                <w:noProof/>
              </w:rPr>
              <w:t>11.3 — The Self-Authenticating Scripture (Autopistia)</w:t>
            </w:r>
            <w:r>
              <w:rPr>
                <w:noProof/>
              </w:rPr>
              <w:tab/>
            </w:r>
            <w:r>
              <w:rPr>
                <w:noProof/>
              </w:rPr>
              <w:fldChar w:fldCharType="begin"/>
            </w:r>
            <w:r>
              <w:rPr>
                <w:noProof/>
              </w:rPr>
              <w:instrText xml:space="preserve"> PAGEREF _Toc232765360 \h </w:instrText>
            </w:r>
            <w:r>
              <w:rPr>
                <w:noProof/>
              </w:rPr>
            </w:r>
            <w:r>
              <w:rPr>
                <w:noProof/>
              </w:rPr>
              <w:fldChar w:fldCharType="separate"/>
            </w:r>
            <w:r>
              <w:rPr>
                <w:noProof/>
              </w:rPr>
              <w:t>1</w:t>
            </w:r>
            <w:r>
              <w:rPr>
                <w:noProof/>
              </w:rPr>
              <w:fldChar w:fldCharType="end"/>
            </w:r>
          </w:hyperlink>
        </w:p>
        <w:p w14:paraId="4E3E235F" w14:textId="77777777" w:rsidR="00104ABC" w:rsidRDefault="00104ABC">
          <w:pPr>
            <w:pStyle w:val="TOC2"/>
            <w:tabs>
              <w:tab w:val="right" w:leader="dot" w:pos="9350"/>
            </w:tabs>
            <w:rPr>
              <w:noProof/>
            </w:rPr>
          </w:pPr>
          <w:hyperlink w:anchor="_Toc232765361" w:history="1">
            <w:r w:rsidRPr="00E435F4">
              <w:rPr>
                <w:rStyle w:val="Hyperlink"/>
                <w:noProof/>
              </w:rPr>
              <w:t>11.4 — The Patristic Evidence: Did the Fathers Teach Sola Scriptura?</w:t>
            </w:r>
            <w:r>
              <w:rPr>
                <w:noProof/>
              </w:rPr>
              <w:tab/>
            </w:r>
            <w:r>
              <w:rPr>
                <w:noProof/>
              </w:rPr>
              <w:fldChar w:fldCharType="begin"/>
            </w:r>
            <w:r>
              <w:rPr>
                <w:noProof/>
              </w:rPr>
              <w:instrText xml:space="preserve"> PAGEREF _Toc232765361 \h </w:instrText>
            </w:r>
            <w:r>
              <w:rPr>
                <w:noProof/>
              </w:rPr>
            </w:r>
            <w:r>
              <w:rPr>
                <w:noProof/>
              </w:rPr>
              <w:fldChar w:fldCharType="separate"/>
            </w:r>
            <w:r>
              <w:rPr>
                <w:noProof/>
              </w:rPr>
              <w:t>1</w:t>
            </w:r>
            <w:r>
              <w:rPr>
                <w:noProof/>
              </w:rPr>
              <w:fldChar w:fldCharType="end"/>
            </w:r>
          </w:hyperlink>
        </w:p>
        <w:p w14:paraId="40DFCCFA" w14:textId="77777777" w:rsidR="00104ABC" w:rsidRDefault="00104ABC">
          <w:pPr>
            <w:pStyle w:val="TOC2"/>
            <w:tabs>
              <w:tab w:val="right" w:leader="dot" w:pos="9350"/>
            </w:tabs>
            <w:rPr>
              <w:noProof/>
            </w:rPr>
          </w:pPr>
          <w:hyperlink w:anchor="_Toc232765362" w:history="1">
            <w:r w:rsidRPr="00E435F4">
              <w:rPr>
                <w:rStyle w:val="Hyperlink"/>
                <w:noProof/>
              </w:rPr>
              <w:t>11.5 — The Self-Refuting Circle of Tradition</w:t>
            </w:r>
            <w:r>
              <w:rPr>
                <w:noProof/>
              </w:rPr>
              <w:tab/>
            </w:r>
            <w:r>
              <w:rPr>
                <w:noProof/>
              </w:rPr>
              <w:fldChar w:fldCharType="begin"/>
            </w:r>
            <w:r>
              <w:rPr>
                <w:noProof/>
              </w:rPr>
              <w:instrText xml:space="preserve"> PAGEREF _Toc232765362 \h </w:instrText>
            </w:r>
            <w:r>
              <w:rPr>
                <w:noProof/>
              </w:rPr>
            </w:r>
            <w:r>
              <w:rPr>
                <w:noProof/>
              </w:rPr>
              <w:fldChar w:fldCharType="separate"/>
            </w:r>
            <w:r>
              <w:rPr>
                <w:noProof/>
              </w:rPr>
              <w:t>1</w:t>
            </w:r>
            <w:r>
              <w:rPr>
                <w:noProof/>
              </w:rPr>
              <w:fldChar w:fldCharType="end"/>
            </w:r>
          </w:hyperlink>
        </w:p>
        <w:p w14:paraId="64C76803" w14:textId="77777777" w:rsidR="00104ABC" w:rsidRDefault="00104ABC">
          <w:pPr>
            <w:pStyle w:val="TOC2"/>
            <w:tabs>
              <w:tab w:val="right" w:leader="dot" w:pos="9350"/>
            </w:tabs>
            <w:rPr>
              <w:noProof/>
            </w:rPr>
          </w:pPr>
          <w:hyperlink w:anchor="_Toc232765363" w:history="1">
            <w:r w:rsidRPr="00E435F4">
              <w:rPr>
                <w:rStyle w:val="Hyperlink"/>
                <w:noProof/>
              </w:rPr>
              <w:t>11.6 — The Canon Question: The Hebrew Canon vs. the LXX Deuterocanon</w:t>
            </w:r>
            <w:r>
              <w:rPr>
                <w:noProof/>
              </w:rPr>
              <w:tab/>
            </w:r>
            <w:r>
              <w:rPr>
                <w:noProof/>
              </w:rPr>
              <w:fldChar w:fldCharType="begin"/>
            </w:r>
            <w:r>
              <w:rPr>
                <w:noProof/>
              </w:rPr>
              <w:instrText xml:space="preserve"> PAGEREF _Toc232765363 \h </w:instrText>
            </w:r>
            <w:r>
              <w:rPr>
                <w:noProof/>
              </w:rPr>
            </w:r>
            <w:r>
              <w:rPr>
                <w:noProof/>
              </w:rPr>
              <w:fldChar w:fldCharType="separate"/>
            </w:r>
            <w:r>
              <w:rPr>
                <w:noProof/>
              </w:rPr>
              <w:t>1</w:t>
            </w:r>
            <w:r>
              <w:rPr>
                <w:noProof/>
              </w:rPr>
              <w:fldChar w:fldCharType="end"/>
            </w:r>
          </w:hyperlink>
        </w:p>
        <w:p w14:paraId="50EE2915" w14:textId="77777777" w:rsidR="00104ABC" w:rsidRDefault="00104ABC">
          <w:pPr>
            <w:pStyle w:val="TOC2"/>
            <w:tabs>
              <w:tab w:val="right" w:leader="dot" w:pos="9350"/>
            </w:tabs>
            <w:rPr>
              <w:noProof/>
            </w:rPr>
          </w:pPr>
          <w:hyperlink w:anchor="_Toc232765364" w:history="1">
            <w:r w:rsidRPr="00E435F4">
              <w:rPr>
                <w:rStyle w:val="Hyperlink"/>
                <w:noProof/>
              </w:rPr>
              <w:t>11.7 — The Regulative Principle of Worship vs. Orthodox Liturgy</w:t>
            </w:r>
            <w:r>
              <w:rPr>
                <w:noProof/>
              </w:rPr>
              <w:tab/>
            </w:r>
            <w:r>
              <w:rPr>
                <w:noProof/>
              </w:rPr>
              <w:fldChar w:fldCharType="begin"/>
            </w:r>
            <w:r>
              <w:rPr>
                <w:noProof/>
              </w:rPr>
              <w:instrText xml:space="preserve"> PAGEREF _Toc232765364 \h </w:instrText>
            </w:r>
            <w:r>
              <w:rPr>
                <w:noProof/>
              </w:rPr>
            </w:r>
            <w:r>
              <w:rPr>
                <w:noProof/>
              </w:rPr>
              <w:fldChar w:fldCharType="separate"/>
            </w:r>
            <w:r>
              <w:rPr>
                <w:noProof/>
              </w:rPr>
              <w:t>1</w:t>
            </w:r>
            <w:r>
              <w:rPr>
                <w:noProof/>
              </w:rPr>
              <w:fldChar w:fldCharType="end"/>
            </w:r>
          </w:hyperlink>
        </w:p>
        <w:p w14:paraId="5BAAFD58" w14:textId="77777777" w:rsidR="00104ABC" w:rsidRDefault="00104ABC">
          <w:pPr>
            <w:pStyle w:val="TOC1"/>
            <w:tabs>
              <w:tab w:val="right" w:leader="dot" w:pos="9350"/>
            </w:tabs>
            <w:rPr>
              <w:noProof/>
            </w:rPr>
          </w:pPr>
          <w:hyperlink w:anchor="_Toc232765365" w:history="1">
            <w:r w:rsidRPr="00E435F4">
              <w:rPr>
                <w:rStyle w:val="Hyperlink"/>
                <w:noProof/>
              </w:rPr>
              <w:t>CHAPTER 12: JUSTIFICATION BY FAITH ALONE VS. THEOSIS — THE HEART OF THE GOSPEL DIVIDE</w:t>
            </w:r>
            <w:r>
              <w:rPr>
                <w:noProof/>
              </w:rPr>
              <w:tab/>
            </w:r>
            <w:r>
              <w:rPr>
                <w:noProof/>
              </w:rPr>
              <w:fldChar w:fldCharType="begin"/>
            </w:r>
            <w:r>
              <w:rPr>
                <w:noProof/>
              </w:rPr>
              <w:instrText xml:space="preserve"> PAGEREF _Toc232765365 \h </w:instrText>
            </w:r>
            <w:r>
              <w:rPr>
                <w:noProof/>
              </w:rPr>
            </w:r>
            <w:r>
              <w:rPr>
                <w:noProof/>
              </w:rPr>
              <w:fldChar w:fldCharType="separate"/>
            </w:r>
            <w:r>
              <w:rPr>
                <w:noProof/>
              </w:rPr>
              <w:t>1</w:t>
            </w:r>
            <w:r>
              <w:rPr>
                <w:noProof/>
              </w:rPr>
              <w:fldChar w:fldCharType="end"/>
            </w:r>
          </w:hyperlink>
        </w:p>
        <w:p w14:paraId="49C5F654" w14:textId="77777777" w:rsidR="00104ABC" w:rsidRDefault="00104ABC">
          <w:pPr>
            <w:pStyle w:val="TOC2"/>
            <w:tabs>
              <w:tab w:val="right" w:leader="dot" w:pos="9350"/>
            </w:tabs>
            <w:rPr>
              <w:noProof/>
            </w:rPr>
          </w:pPr>
          <w:hyperlink w:anchor="_Toc232765366" w:history="1">
            <w:r w:rsidRPr="00E435F4">
              <w:rPr>
                <w:rStyle w:val="Hyperlink"/>
                <w:noProof/>
              </w:rPr>
              <w:t>12.1 — The Centrality of Justification in Reformed Theology</w:t>
            </w:r>
            <w:r>
              <w:rPr>
                <w:noProof/>
              </w:rPr>
              <w:tab/>
            </w:r>
            <w:r>
              <w:rPr>
                <w:noProof/>
              </w:rPr>
              <w:fldChar w:fldCharType="begin"/>
            </w:r>
            <w:r>
              <w:rPr>
                <w:noProof/>
              </w:rPr>
              <w:instrText xml:space="preserve"> PAGEREF _Toc232765366 \h </w:instrText>
            </w:r>
            <w:r>
              <w:rPr>
                <w:noProof/>
              </w:rPr>
            </w:r>
            <w:r>
              <w:rPr>
                <w:noProof/>
              </w:rPr>
              <w:fldChar w:fldCharType="separate"/>
            </w:r>
            <w:r>
              <w:rPr>
                <w:noProof/>
              </w:rPr>
              <w:t>1</w:t>
            </w:r>
            <w:r>
              <w:rPr>
                <w:noProof/>
              </w:rPr>
              <w:fldChar w:fldCharType="end"/>
            </w:r>
          </w:hyperlink>
        </w:p>
        <w:p w14:paraId="4A87DACB" w14:textId="77777777" w:rsidR="00104ABC" w:rsidRDefault="00104ABC">
          <w:pPr>
            <w:pStyle w:val="TOC2"/>
            <w:tabs>
              <w:tab w:val="right" w:leader="dot" w:pos="9350"/>
            </w:tabs>
            <w:rPr>
              <w:noProof/>
            </w:rPr>
          </w:pPr>
          <w:hyperlink w:anchor="_Toc232765367" w:history="1">
            <w:r w:rsidRPr="00E435F4">
              <w:rPr>
                <w:rStyle w:val="Hyperlink"/>
                <w:noProof/>
              </w:rPr>
              <w:t>12.2 — The Biblical Doctrine of Forensic Justification</w:t>
            </w:r>
            <w:r>
              <w:rPr>
                <w:noProof/>
              </w:rPr>
              <w:tab/>
            </w:r>
            <w:r>
              <w:rPr>
                <w:noProof/>
              </w:rPr>
              <w:fldChar w:fldCharType="begin"/>
            </w:r>
            <w:r>
              <w:rPr>
                <w:noProof/>
              </w:rPr>
              <w:instrText xml:space="preserve"> PAGEREF _Toc232765367 \h </w:instrText>
            </w:r>
            <w:r>
              <w:rPr>
                <w:noProof/>
              </w:rPr>
            </w:r>
            <w:r>
              <w:rPr>
                <w:noProof/>
              </w:rPr>
              <w:fldChar w:fldCharType="separate"/>
            </w:r>
            <w:r>
              <w:rPr>
                <w:noProof/>
              </w:rPr>
              <w:t>1</w:t>
            </w:r>
            <w:r>
              <w:rPr>
                <w:noProof/>
              </w:rPr>
              <w:fldChar w:fldCharType="end"/>
            </w:r>
          </w:hyperlink>
        </w:p>
        <w:p w14:paraId="58E17543" w14:textId="77777777" w:rsidR="00104ABC" w:rsidRDefault="00104ABC">
          <w:pPr>
            <w:pStyle w:val="TOC2"/>
            <w:tabs>
              <w:tab w:val="right" w:leader="dot" w:pos="9350"/>
            </w:tabs>
            <w:rPr>
              <w:noProof/>
            </w:rPr>
          </w:pPr>
          <w:hyperlink w:anchor="_Toc232765368" w:history="1">
            <w:r w:rsidRPr="00E435F4">
              <w:rPr>
                <w:rStyle w:val="Hyperlink"/>
                <w:noProof/>
              </w:rPr>
              <w:t>12.3 — The 2LBC on Justification: Chapter 11 in Full</w:t>
            </w:r>
            <w:r>
              <w:rPr>
                <w:noProof/>
              </w:rPr>
              <w:tab/>
            </w:r>
            <w:r>
              <w:rPr>
                <w:noProof/>
              </w:rPr>
              <w:fldChar w:fldCharType="begin"/>
            </w:r>
            <w:r>
              <w:rPr>
                <w:noProof/>
              </w:rPr>
              <w:instrText xml:space="preserve"> PAGEREF _Toc232765368 \h </w:instrText>
            </w:r>
            <w:r>
              <w:rPr>
                <w:noProof/>
              </w:rPr>
            </w:r>
            <w:r>
              <w:rPr>
                <w:noProof/>
              </w:rPr>
              <w:fldChar w:fldCharType="separate"/>
            </w:r>
            <w:r>
              <w:rPr>
                <w:noProof/>
              </w:rPr>
              <w:t>1</w:t>
            </w:r>
            <w:r>
              <w:rPr>
                <w:noProof/>
              </w:rPr>
              <w:fldChar w:fldCharType="end"/>
            </w:r>
          </w:hyperlink>
        </w:p>
        <w:p w14:paraId="5C5C6B2C" w14:textId="77777777" w:rsidR="00104ABC" w:rsidRDefault="00104ABC">
          <w:pPr>
            <w:pStyle w:val="TOC2"/>
            <w:tabs>
              <w:tab w:val="right" w:leader="dot" w:pos="9350"/>
            </w:tabs>
            <w:rPr>
              <w:noProof/>
            </w:rPr>
          </w:pPr>
          <w:hyperlink w:anchor="_Toc232765369" w:history="1">
            <w:r w:rsidRPr="00E435F4">
              <w:rPr>
                <w:rStyle w:val="Hyperlink"/>
                <w:noProof/>
              </w:rPr>
              <w:t>12.4 — Luther, Calvin, and Turretin on Justification</w:t>
            </w:r>
            <w:r>
              <w:rPr>
                <w:noProof/>
              </w:rPr>
              <w:tab/>
            </w:r>
            <w:r>
              <w:rPr>
                <w:noProof/>
              </w:rPr>
              <w:fldChar w:fldCharType="begin"/>
            </w:r>
            <w:r>
              <w:rPr>
                <w:noProof/>
              </w:rPr>
              <w:instrText xml:space="preserve"> PAGEREF _Toc232765369 \h </w:instrText>
            </w:r>
            <w:r>
              <w:rPr>
                <w:noProof/>
              </w:rPr>
            </w:r>
            <w:r>
              <w:rPr>
                <w:noProof/>
              </w:rPr>
              <w:fldChar w:fldCharType="separate"/>
            </w:r>
            <w:r>
              <w:rPr>
                <w:noProof/>
              </w:rPr>
              <w:t>1</w:t>
            </w:r>
            <w:r>
              <w:rPr>
                <w:noProof/>
              </w:rPr>
              <w:fldChar w:fldCharType="end"/>
            </w:r>
          </w:hyperlink>
        </w:p>
        <w:p w14:paraId="60885D09" w14:textId="77777777" w:rsidR="00104ABC" w:rsidRDefault="00104ABC">
          <w:pPr>
            <w:pStyle w:val="TOC2"/>
            <w:tabs>
              <w:tab w:val="right" w:leader="dot" w:pos="9350"/>
            </w:tabs>
            <w:rPr>
              <w:noProof/>
            </w:rPr>
          </w:pPr>
          <w:hyperlink w:anchor="_Toc232765370" w:history="1">
            <w:r w:rsidRPr="00E435F4">
              <w:rPr>
                <w:rStyle w:val="Hyperlink"/>
                <w:noProof/>
              </w:rPr>
              <w:t>12.5 — The Orthodox Doctrine of Theosis as an Alternative Soteriology — A Reformed Critique</w:t>
            </w:r>
            <w:r>
              <w:rPr>
                <w:noProof/>
              </w:rPr>
              <w:tab/>
            </w:r>
            <w:r>
              <w:rPr>
                <w:noProof/>
              </w:rPr>
              <w:fldChar w:fldCharType="begin"/>
            </w:r>
            <w:r>
              <w:rPr>
                <w:noProof/>
              </w:rPr>
              <w:instrText xml:space="preserve"> PAGEREF _Toc232765370 \h </w:instrText>
            </w:r>
            <w:r>
              <w:rPr>
                <w:noProof/>
              </w:rPr>
            </w:r>
            <w:r>
              <w:rPr>
                <w:noProof/>
              </w:rPr>
              <w:fldChar w:fldCharType="separate"/>
            </w:r>
            <w:r>
              <w:rPr>
                <w:noProof/>
              </w:rPr>
              <w:t>1</w:t>
            </w:r>
            <w:r>
              <w:rPr>
                <w:noProof/>
              </w:rPr>
              <w:fldChar w:fldCharType="end"/>
            </w:r>
          </w:hyperlink>
        </w:p>
        <w:p w14:paraId="6A660B3E" w14:textId="77777777" w:rsidR="00104ABC" w:rsidRDefault="00104ABC">
          <w:pPr>
            <w:pStyle w:val="TOC1"/>
            <w:tabs>
              <w:tab w:val="right" w:leader="dot" w:pos="9350"/>
            </w:tabs>
            <w:rPr>
              <w:noProof/>
            </w:rPr>
          </w:pPr>
          <w:hyperlink w:anchor="_Toc232765371" w:history="1">
            <w:r w:rsidRPr="00E435F4">
              <w:rPr>
                <w:rStyle w:val="Hyperlink"/>
                <w:noProof/>
              </w:rPr>
              <w:t>CHAPTER 13: ORIGINAL SIN VS. ANCESTRAL SIN — THE ANTHROPOLOGICAL FOUNDATION</w:t>
            </w:r>
            <w:r>
              <w:rPr>
                <w:noProof/>
              </w:rPr>
              <w:tab/>
            </w:r>
            <w:r>
              <w:rPr>
                <w:noProof/>
              </w:rPr>
              <w:fldChar w:fldCharType="begin"/>
            </w:r>
            <w:r>
              <w:rPr>
                <w:noProof/>
              </w:rPr>
              <w:instrText xml:space="preserve"> PAGEREF _Toc232765371 \h </w:instrText>
            </w:r>
            <w:r>
              <w:rPr>
                <w:noProof/>
              </w:rPr>
            </w:r>
            <w:r>
              <w:rPr>
                <w:noProof/>
              </w:rPr>
              <w:fldChar w:fldCharType="separate"/>
            </w:r>
            <w:r>
              <w:rPr>
                <w:noProof/>
              </w:rPr>
              <w:t>1</w:t>
            </w:r>
            <w:r>
              <w:rPr>
                <w:noProof/>
              </w:rPr>
              <w:fldChar w:fldCharType="end"/>
            </w:r>
          </w:hyperlink>
        </w:p>
        <w:p w14:paraId="67CA35B8" w14:textId="77777777" w:rsidR="00104ABC" w:rsidRDefault="00104ABC">
          <w:pPr>
            <w:pStyle w:val="TOC2"/>
            <w:tabs>
              <w:tab w:val="right" w:leader="dot" w:pos="9350"/>
            </w:tabs>
            <w:rPr>
              <w:noProof/>
            </w:rPr>
          </w:pPr>
          <w:hyperlink w:anchor="_Toc232765372" w:history="1">
            <w:r w:rsidRPr="00E435F4">
              <w:rPr>
                <w:rStyle w:val="Hyperlink"/>
                <w:noProof/>
              </w:rPr>
              <w:t>13.1 — The Reformed Doctrine of Original Sin: 2LBC Chapter 6 in Full</w:t>
            </w:r>
            <w:r>
              <w:rPr>
                <w:noProof/>
              </w:rPr>
              <w:tab/>
            </w:r>
            <w:r>
              <w:rPr>
                <w:noProof/>
              </w:rPr>
              <w:fldChar w:fldCharType="begin"/>
            </w:r>
            <w:r>
              <w:rPr>
                <w:noProof/>
              </w:rPr>
              <w:instrText xml:space="preserve"> PAGEREF _Toc232765372 \h </w:instrText>
            </w:r>
            <w:r>
              <w:rPr>
                <w:noProof/>
              </w:rPr>
            </w:r>
            <w:r>
              <w:rPr>
                <w:noProof/>
              </w:rPr>
              <w:fldChar w:fldCharType="separate"/>
            </w:r>
            <w:r>
              <w:rPr>
                <w:noProof/>
              </w:rPr>
              <w:t>1</w:t>
            </w:r>
            <w:r>
              <w:rPr>
                <w:noProof/>
              </w:rPr>
              <w:fldChar w:fldCharType="end"/>
            </w:r>
          </w:hyperlink>
        </w:p>
        <w:p w14:paraId="537BB8C5" w14:textId="77777777" w:rsidR="00104ABC" w:rsidRDefault="00104ABC">
          <w:pPr>
            <w:pStyle w:val="TOC2"/>
            <w:tabs>
              <w:tab w:val="right" w:leader="dot" w:pos="9350"/>
            </w:tabs>
            <w:rPr>
              <w:noProof/>
            </w:rPr>
          </w:pPr>
          <w:hyperlink w:anchor="_Toc232765373" w:history="1">
            <w:r w:rsidRPr="00E435F4">
              <w:rPr>
                <w:rStyle w:val="Hyperlink"/>
                <w:noProof/>
              </w:rPr>
              <w:t>13.2 — The Biblical Foundation: Romans 5:12–19 in Full Exegesis</w:t>
            </w:r>
            <w:r>
              <w:rPr>
                <w:noProof/>
              </w:rPr>
              <w:tab/>
            </w:r>
            <w:r>
              <w:rPr>
                <w:noProof/>
              </w:rPr>
              <w:fldChar w:fldCharType="begin"/>
            </w:r>
            <w:r>
              <w:rPr>
                <w:noProof/>
              </w:rPr>
              <w:instrText xml:space="preserve"> PAGEREF _Toc232765373 \h </w:instrText>
            </w:r>
            <w:r>
              <w:rPr>
                <w:noProof/>
              </w:rPr>
            </w:r>
            <w:r>
              <w:rPr>
                <w:noProof/>
              </w:rPr>
              <w:fldChar w:fldCharType="separate"/>
            </w:r>
            <w:r>
              <w:rPr>
                <w:noProof/>
              </w:rPr>
              <w:t>1</w:t>
            </w:r>
            <w:r>
              <w:rPr>
                <w:noProof/>
              </w:rPr>
              <w:fldChar w:fldCharType="end"/>
            </w:r>
          </w:hyperlink>
        </w:p>
        <w:p w14:paraId="4C6C511B" w14:textId="77777777" w:rsidR="00104ABC" w:rsidRDefault="00104ABC">
          <w:pPr>
            <w:pStyle w:val="TOC2"/>
            <w:tabs>
              <w:tab w:val="right" w:leader="dot" w:pos="9350"/>
            </w:tabs>
            <w:rPr>
              <w:noProof/>
            </w:rPr>
          </w:pPr>
          <w:hyperlink w:anchor="_Toc232765374" w:history="1">
            <w:r w:rsidRPr="00E435F4">
              <w:rPr>
                <w:rStyle w:val="Hyperlink"/>
                <w:noProof/>
              </w:rPr>
              <w:t>13.3 — The Orthodox Doctrine of Ancestral Sin: Its Exegetical Basis</w:t>
            </w:r>
            <w:r>
              <w:rPr>
                <w:noProof/>
              </w:rPr>
              <w:tab/>
            </w:r>
            <w:r>
              <w:rPr>
                <w:noProof/>
              </w:rPr>
              <w:fldChar w:fldCharType="begin"/>
            </w:r>
            <w:r>
              <w:rPr>
                <w:noProof/>
              </w:rPr>
              <w:instrText xml:space="preserve"> PAGEREF _Toc232765374 \h </w:instrText>
            </w:r>
            <w:r>
              <w:rPr>
                <w:noProof/>
              </w:rPr>
            </w:r>
            <w:r>
              <w:rPr>
                <w:noProof/>
              </w:rPr>
              <w:fldChar w:fldCharType="separate"/>
            </w:r>
            <w:r>
              <w:rPr>
                <w:noProof/>
              </w:rPr>
              <w:t>1</w:t>
            </w:r>
            <w:r>
              <w:rPr>
                <w:noProof/>
              </w:rPr>
              <w:fldChar w:fldCharType="end"/>
            </w:r>
          </w:hyperlink>
        </w:p>
        <w:p w14:paraId="72705617" w14:textId="77777777" w:rsidR="00104ABC" w:rsidRDefault="00104ABC">
          <w:pPr>
            <w:pStyle w:val="TOC2"/>
            <w:tabs>
              <w:tab w:val="right" w:leader="dot" w:pos="9350"/>
            </w:tabs>
            <w:rPr>
              <w:noProof/>
            </w:rPr>
          </w:pPr>
          <w:hyperlink w:anchor="_Toc232765375" w:history="1">
            <w:r w:rsidRPr="00E435F4">
              <w:rPr>
                <w:rStyle w:val="Hyperlink"/>
                <w:noProof/>
              </w:rPr>
              <w:t>13.4 — The Reformed Response to the Orthodox Critique of Inherited Guilt</w:t>
            </w:r>
            <w:r>
              <w:rPr>
                <w:noProof/>
              </w:rPr>
              <w:tab/>
            </w:r>
            <w:r>
              <w:rPr>
                <w:noProof/>
              </w:rPr>
              <w:fldChar w:fldCharType="begin"/>
            </w:r>
            <w:r>
              <w:rPr>
                <w:noProof/>
              </w:rPr>
              <w:instrText xml:space="preserve"> PAGEREF _Toc232765375 \h </w:instrText>
            </w:r>
            <w:r>
              <w:rPr>
                <w:noProof/>
              </w:rPr>
            </w:r>
            <w:r>
              <w:rPr>
                <w:noProof/>
              </w:rPr>
              <w:fldChar w:fldCharType="separate"/>
            </w:r>
            <w:r>
              <w:rPr>
                <w:noProof/>
              </w:rPr>
              <w:t>1</w:t>
            </w:r>
            <w:r>
              <w:rPr>
                <w:noProof/>
              </w:rPr>
              <w:fldChar w:fldCharType="end"/>
            </w:r>
          </w:hyperlink>
        </w:p>
        <w:p w14:paraId="5AA3B607" w14:textId="77777777" w:rsidR="00104ABC" w:rsidRDefault="00104ABC">
          <w:pPr>
            <w:pStyle w:val="TOC2"/>
            <w:tabs>
              <w:tab w:val="right" w:leader="dot" w:pos="9350"/>
            </w:tabs>
            <w:rPr>
              <w:noProof/>
            </w:rPr>
          </w:pPr>
          <w:hyperlink w:anchor="_Toc232765376" w:history="1">
            <w:r w:rsidRPr="00E435F4">
              <w:rPr>
                <w:rStyle w:val="Hyperlink"/>
                <w:noProof/>
              </w:rPr>
              <w:t>BIBLIOGRAPHIC REFERENCES</w:t>
            </w:r>
            <w:r>
              <w:rPr>
                <w:noProof/>
              </w:rPr>
              <w:tab/>
            </w:r>
            <w:r>
              <w:rPr>
                <w:noProof/>
              </w:rPr>
              <w:fldChar w:fldCharType="begin"/>
            </w:r>
            <w:r>
              <w:rPr>
                <w:noProof/>
              </w:rPr>
              <w:instrText xml:space="preserve"> PAGEREF _Toc232765376 \h </w:instrText>
            </w:r>
            <w:r>
              <w:rPr>
                <w:noProof/>
              </w:rPr>
            </w:r>
            <w:r>
              <w:rPr>
                <w:noProof/>
              </w:rPr>
              <w:fldChar w:fldCharType="separate"/>
            </w:r>
            <w:r>
              <w:rPr>
                <w:noProof/>
              </w:rPr>
              <w:t>1</w:t>
            </w:r>
            <w:r>
              <w:rPr>
                <w:noProof/>
              </w:rPr>
              <w:fldChar w:fldCharType="end"/>
            </w:r>
          </w:hyperlink>
        </w:p>
        <w:p w14:paraId="558B062E" w14:textId="77777777" w:rsidR="00104ABC" w:rsidRDefault="00104ABC">
          <w:pPr>
            <w:pStyle w:val="TOC1"/>
            <w:tabs>
              <w:tab w:val="right" w:leader="dot" w:pos="9350"/>
            </w:tabs>
            <w:rPr>
              <w:noProof/>
            </w:rPr>
          </w:pPr>
          <w:hyperlink w:anchor="_Toc232765377" w:history="1">
            <w:r w:rsidRPr="00E435F4">
              <w:rPr>
                <w:rStyle w:val="Hyperlink"/>
                <w:noProof/>
              </w:rPr>
              <w:t>PART TWO, CHAPTERS 14–17</w:t>
            </w:r>
            <w:r>
              <w:rPr>
                <w:noProof/>
              </w:rPr>
              <w:tab/>
            </w:r>
            <w:r>
              <w:rPr>
                <w:noProof/>
              </w:rPr>
              <w:fldChar w:fldCharType="begin"/>
            </w:r>
            <w:r>
              <w:rPr>
                <w:noProof/>
              </w:rPr>
              <w:instrText xml:space="preserve"> PAGEREF _Toc232765377 \h </w:instrText>
            </w:r>
            <w:r>
              <w:rPr>
                <w:noProof/>
              </w:rPr>
            </w:r>
            <w:r>
              <w:rPr>
                <w:noProof/>
              </w:rPr>
              <w:fldChar w:fldCharType="separate"/>
            </w:r>
            <w:r>
              <w:rPr>
                <w:noProof/>
              </w:rPr>
              <w:t>1</w:t>
            </w:r>
            <w:r>
              <w:rPr>
                <w:noProof/>
              </w:rPr>
              <w:fldChar w:fldCharType="end"/>
            </w:r>
          </w:hyperlink>
        </w:p>
        <w:p w14:paraId="5178F22B" w14:textId="77777777" w:rsidR="00104ABC" w:rsidRDefault="00104ABC">
          <w:pPr>
            <w:pStyle w:val="TOC2"/>
            <w:tabs>
              <w:tab w:val="right" w:leader="dot" w:pos="9350"/>
            </w:tabs>
            <w:rPr>
              <w:noProof/>
            </w:rPr>
          </w:pPr>
          <w:hyperlink w:anchor="_Toc232765378" w:history="1">
            <w:r w:rsidRPr="00E435F4">
              <w:rPr>
                <w:rStyle w:val="Hyperlink"/>
                <w:noProof/>
              </w:rPr>
              <w:t>CHAPTER 14: PENAL SUBSTITUTION VS. CHRISTUS VICTOR — THE ATONEMENT</w:t>
            </w:r>
            <w:r>
              <w:rPr>
                <w:noProof/>
              </w:rPr>
              <w:tab/>
            </w:r>
            <w:r>
              <w:rPr>
                <w:noProof/>
              </w:rPr>
              <w:fldChar w:fldCharType="begin"/>
            </w:r>
            <w:r>
              <w:rPr>
                <w:noProof/>
              </w:rPr>
              <w:instrText xml:space="preserve"> PAGEREF _Toc232765378 \h </w:instrText>
            </w:r>
            <w:r>
              <w:rPr>
                <w:noProof/>
              </w:rPr>
            </w:r>
            <w:r>
              <w:rPr>
                <w:noProof/>
              </w:rPr>
              <w:fldChar w:fldCharType="separate"/>
            </w:r>
            <w:r>
              <w:rPr>
                <w:noProof/>
              </w:rPr>
              <w:t>1</w:t>
            </w:r>
            <w:r>
              <w:rPr>
                <w:noProof/>
              </w:rPr>
              <w:fldChar w:fldCharType="end"/>
            </w:r>
          </w:hyperlink>
        </w:p>
        <w:p w14:paraId="27EF4532" w14:textId="77777777" w:rsidR="00104ABC" w:rsidRDefault="00104ABC">
          <w:pPr>
            <w:pStyle w:val="TOC3"/>
            <w:tabs>
              <w:tab w:val="right" w:leader="dot" w:pos="9350"/>
            </w:tabs>
            <w:rPr>
              <w:noProof/>
            </w:rPr>
          </w:pPr>
          <w:hyperlink w:anchor="_Toc232765379" w:history="1">
            <w:r w:rsidRPr="00E435F4">
              <w:rPr>
                <w:rStyle w:val="Hyperlink"/>
                <w:noProof/>
              </w:rPr>
              <w:t>14.1 Why the Atonement Question Is Decisive</w:t>
            </w:r>
            <w:r>
              <w:rPr>
                <w:noProof/>
              </w:rPr>
              <w:tab/>
            </w:r>
            <w:r>
              <w:rPr>
                <w:noProof/>
              </w:rPr>
              <w:fldChar w:fldCharType="begin"/>
            </w:r>
            <w:r>
              <w:rPr>
                <w:noProof/>
              </w:rPr>
              <w:instrText xml:space="preserve"> PAGEREF _Toc232765379 \h </w:instrText>
            </w:r>
            <w:r>
              <w:rPr>
                <w:noProof/>
              </w:rPr>
            </w:r>
            <w:r>
              <w:rPr>
                <w:noProof/>
              </w:rPr>
              <w:fldChar w:fldCharType="separate"/>
            </w:r>
            <w:r>
              <w:rPr>
                <w:noProof/>
              </w:rPr>
              <w:t>1</w:t>
            </w:r>
            <w:r>
              <w:rPr>
                <w:noProof/>
              </w:rPr>
              <w:fldChar w:fldCharType="end"/>
            </w:r>
          </w:hyperlink>
        </w:p>
        <w:p w14:paraId="213E6662" w14:textId="77777777" w:rsidR="00104ABC" w:rsidRDefault="00104ABC">
          <w:pPr>
            <w:pStyle w:val="TOC3"/>
            <w:tabs>
              <w:tab w:val="right" w:leader="dot" w:pos="9350"/>
            </w:tabs>
            <w:rPr>
              <w:noProof/>
            </w:rPr>
          </w:pPr>
          <w:hyperlink w:anchor="_Toc232765380" w:history="1">
            <w:r w:rsidRPr="00E435F4">
              <w:rPr>
                <w:rStyle w:val="Hyperlink"/>
                <w:noProof/>
              </w:rPr>
              <w:t>14.2 The Biblical Case for Penal Substitutionary Atonement</w:t>
            </w:r>
            <w:r>
              <w:rPr>
                <w:noProof/>
              </w:rPr>
              <w:tab/>
            </w:r>
            <w:r>
              <w:rPr>
                <w:noProof/>
              </w:rPr>
              <w:fldChar w:fldCharType="begin"/>
            </w:r>
            <w:r>
              <w:rPr>
                <w:noProof/>
              </w:rPr>
              <w:instrText xml:space="preserve"> PAGEREF _Toc232765380 \h </w:instrText>
            </w:r>
            <w:r>
              <w:rPr>
                <w:noProof/>
              </w:rPr>
            </w:r>
            <w:r>
              <w:rPr>
                <w:noProof/>
              </w:rPr>
              <w:fldChar w:fldCharType="separate"/>
            </w:r>
            <w:r>
              <w:rPr>
                <w:noProof/>
              </w:rPr>
              <w:t>1</w:t>
            </w:r>
            <w:r>
              <w:rPr>
                <w:noProof/>
              </w:rPr>
              <w:fldChar w:fldCharType="end"/>
            </w:r>
          </w:hyperlink>
        </w:p>
        <w:p w14:paraId="71EA818F" w14:textId="77777777" w:rsidR="00104ABC" w:rsidRDefault="00104ABC">
          <w:pPr>
            <w:pStyle w:val="TOC3"/>
            <w:tabs>
              <w:tab w:val="right" w:leader="dot" w:pos="9350"/>
            </w:tabs>
            <w:rPr>
              <w:noProof/>
            </w:rPr>
          </w:pPr>
          <w:hyperlink w:anchor="_Toc232765381" w:history="1">
            <w:r w:rsidRPr="00E435F4">
              <w:rPr>
                <w:rStyle w:val="Hyperlink"/>
                <w:noProof/>
              </w:rPr>
              <w:t>14.3 John Owen's Doctrine of Definite Atonement and the Pactum Salutis</w:t>
            </w:r>
            <w:r>
              <w:rPr>
                <w:noProof/>
              </w:rPr>
              <w:tab/>
            </w:r>
            <w:r>
              <w:rPr>
                <w:noProof/>
              </w:rPr>
              <w:fldChar w:fldCharType="begin"/>
            </w:r>
            <w:r>
              <w:rPr>
                <w:noProof/>
              </w:rPr>
              <w:instrText xml:space="preserve"> PAGEREF _Toc232765381 \h </w:instrText>
            </w:r>
            <w:r>
              <w:rPr>
                <w:noProof/>
              </w:rPr>
            </w:r>
            <w:r>
              <w:rPr>
                <w:noProof/>
              </w:rPr>
              <w:fldChar w:fldCharType="separate"/>
            </w:r>
            <w:r>
              <w:rPr>
                <w:noProof/>
              </w:rPr>
              <w:t>1</w:t>
            </w:r>
            <w:r>
              <w:rPr>
                <w:noProof/>
              </w:rPr>
              <w:fldChar w:fldCharType="end"/>
            </w:r>
          </w:hyperlink>
        </w:p>
        <w:p w14:paraId="4C79417C" w14:textId="77777777" w:rsidR="00104ABC" w:rsidRDefault="00104ABC">
          <w:pPr>
            <w:pStyle w:val="TOC3"/>
            <w:tabs>
              <w:tab w:val="right" w:leader="dot" w:pos="9350"/>
            </w:tabs>
            <w:rPr>
              <w:noProof/>
            </w:rPr>
          </w:pPr>
          <w:hyperlink w:anchor="_Toc232765382" w:history="1">
            <w:r w:rsidRPr="00E435F4">
              <w:rPr>
                <w:rStyle w:val="Hyperlink"/>
                <w:noProof/>
              </w:rPr>
              <w:t>14.4 The Orthodox Critique of PSA and the Reformed Response</w:t>
            </w:r>
            <w:r>
              <w:rPr>
                <w:noProof/>
              </w:rPr>
              <w:tab/>
            </w:r>
            <w:r>
              <w:rPr>
                <w:noProof/>
              </w:rPr>
              <w:fldChar w:fldCharType="begin"/>
            </w:r>
            <w:r>
              <w:rPr>
                <w:noProof/>
              </w:rPr>
              <w:instrText xml:space="preserve"> PAGEREF _Toc232765382 \h </w:instrText>
            </w:r>
            <w:r>
              <w:rPr>
                <w:noProof/>
              </w:rPr>
            </w:r>
            <w:r>
              <w:rPr>
                <w:noProof/>
              </w:rPr>
              <w:fldChar w:fldCharType="separate"/>
            </w:r>
            <w:r>
              <w:rPr>
                <w:noProof/>
              </w:rPr>
              <w:t>1</w:t>
            </w:r>
            <w:r>
              <w:rPr>
                <w:noProof/>
              </w:rPr>
              <w:fldChar w:fldCharType="end"/>
            </w:r>
          </w:hyperlink>
        </w:p>
        <w:p w14:paraId="62D219AC" w14:textId="77777777" w:rsidR="00104ABC" w:rsidRDefault="00104ABC">
          <w:pPr>
            <w:pStyle w:val="TOC2"/>
            <w:tabs>
              <w:tab w:val="right" w:leader="dot" w:pos="9350"/>
            </w:tabs>
            <w:rPr>
              <w:noProof/>
            </w:rPr>
          </w:pPr>
          <w:hyperlink w:anchor="_Toc232765383" w:history="1">
            <w:r w:rsidRPr="00E435F4">
              <w:rPr>
                <w:rStyle w:val="Hyperlink"/>
                <w:noProof/>
              </w:rPr>
              <w:t>CHAPTER 15: REFORMED ECCLESIOLOGY VS. ORTHODOX CONCILIARISM</w:t>
            </w:r>
            <w:r>
              <w:rPr>
                <w:noProof/>
              </w:rPr>
              <w:tab/>
            </w:r>
            <w:r>
              <w:rPr>
                <w:noProof/>
              </w:rPr>
              <w:fldChar w:fldCharType="begin"/>
            </w:r>
            <w:r>
              <w:rPr>
                <w:noProof/>
              </w:rPr>
              <w:instrText xml:space="preserve"> PAGEREF _Toc232765383 \h </w:instrText>
            </w:r>
            <w:r>
              <w:rPr>
                <w:noProof/>
              </w:rPr>
            </w:r>
            <w:r>
              <w:rPr>
                <w:noProof/>
              </w:rPr>
              <w:fldChar w:fldCharType="separate"/>
            </w:r>
            <w:r>
              <w:rPr>
                <w:noProof/>
              </w:rPr>
              <w:t>1</w:t>
            </w:r>
            <w:r>
              <w:rPr>
                <w:noProof/>
              </w:rPr>
              <w:fldChar w:fldCharType="end"/>
            </w:r>
          </w:hyperlink>
        </w:p>
        <w:p w14:paraId="312FBD58" w14:textId="77777777" w:rsidR="00104ABC" w:rsidRDefault="00104ABC">
          <w:pPr>
            <w:pStyle w:val="TOC3"/>
            <w:tabs>
              <w:tab w:val="right" w:leader="dot" w:pos="9350"/>
            </w:tabs>
            <w:rPr>
              <w:noProof/>
            </w:rPr>
          </w:pPr>
          <w:hyperlink w:anchor="_Toc232765384" w:history="1">
            <w:r w:rsidRPr="00E435F4">
              <w:rPr>
                <w:rStyle w:val="Hyperlink"/>
                <w:noProof/>
              </w:rPr>
              <w:t>15.1 The Marks of the True Church: 2LBC Chapter 26</w:t>
            </w:r>
            <w:r>
              <w:rPr>
                <w:noProof/>
              </w:rPr>
              <w:tab/>
            </w:r>
            <w:r>
              <w:rPr>
                <w:noProof/>
              </w:rPr>
              <w:fldChar w:fldCharType="begin"/>
            </w:r>
            <w:r>
              <w:rPr>
                <w:noProof/>
              </w:rPr>
              <w:instrText xml:space="preserve"> PAGEREF _Toc232765384 \h </w:instrText>
            </w:r>
            <w:r>
              <w:rPr>
                <w:noProof/>
              </w:rPr>
            </w:r>
            <w:r>
              <w:rPr>
                <w:noProof/>
              </w:rPr>
              <w:fldChar w:fldCharType="separate"/>
            </w:r>
            <w:r>
              <w:rPr>
                <w:noProof/>
              </w:rPr>
              <w:t>1</w:t>
            </w:r>
            <w:r>
              <w:rPr>
                <w:noProof/>
              </w:rPr>
              <w:fldChar w:fldCharType="end"/>
            </w:r>
          </w:hyperlink>
        </w:p>
        <w:p w14:paraId="0F7F94FD" w14:textId="77777777" w:rsidR="00104ABC" w:rsidRDefault="00104ABC">
          <w:pPr>
            <w:pStyle w:val="TOC3"/>
            <w:tabs>
              <w:tab w:val="right" w:leader="dot" w:pos="9350"/>
            </w:tabs>
            <w:rPr>
              <w:noProof/>
            </w:rPr>
          </w:pPr>
          <w:hyperlink w:anchor="_Toc232765385" w:history="1">
            <w:r w:rsidRPr="00E435F4">
              <w:rPr>
                <w:rStyle w:val="Hyperlink"/>
                <w:noProof/>
              </w:rPr>
              <w:t>15.2 WCF 31.3 and the Fallibility of Councils</w:t>
            </w:r>
            <w:r>
              <w:rPr>
                <w:noProof/>
              </w:rPr>
              <w:tab/>
            </w:r>
            <w:r>
              <w:rPr>
                <w:noProof/>
              </w:rPr>
              <w:fldChar w:fldCharType="begin"/>
            </w:r>
            <w:r>
              <w:rPr>
                <w:noProof/>
              </w:rPr>
              <w:instrText xml:space="preserve"> PAGEREF _Toc232765385 \h </w:instrText>
            </w:r>
            <w:r>
              <w:rPr>
                <w:noProof/>
              </w:rPr>
            </w:r>
            <w:r>
              <w:rPr>
                <w:noProof/>
              </w:rPr>
              <w:fldChar w:fldCharType="separate"/>
            </w:r>
            <w:r>
              <w:rPr>
                <w:noProof/>
              </w:rPr>
              <w:t>1</w:t>
            </w:r>
            <w:r>
              <w:rPr>
                <w:noProof/>
              </w:rPr>
              <w:fldChar w:fldCharType="end"/>
            </w:r>
          </w:hyperlink>
        </w:p>
        <w:p w14:paraId="2C837458" w14:textId="77777777" w:rsidR="00104ABC" w:rsidRDefault="00104ABC">
          <w:pPr>
            <w:pStyle w:val="TOC3"/>
            <w:tabs>
              <w:tab w:val="right" w:leader="dot" w:pos="9350"/>
            </w:tabs>
            <w:rPr>
              <w:noProof/>
            </w:rPr>
          </w:pPr>
          <w:hyperlink w:anchor="_Toc232765386" w:history="1">
            <w:r w:rsidRPr="00E435F4">
              <w:rPr>
                <w:rStyle w:val="Hyperlink"/>
                <w:noProof/>
              </w:rPr>
              <w:t>15.3 Apostolic Succession: A Reformed Critique</w:t>
            </w:r>
            <w:r>
              <w:rPr>
                <w:noProof/>
              </w:rPr>
              <w:tab/>
            </w:r>
            <w:r>
              <w:rPr>
                <w:noProof/>
              </w:rPr>
              <w:fldChar w:fldCharType="begin"/>
            </w:r>
            <w:r>
              <w:rPr>
                <w:noProof/>
              </w:rPr>
              <w:instrText xml:space="preserve"> PAGEREF _Toc232765386 \h </w:instrText>
            </w:r>
            <w:r>
              <w:rPr>
                <w:noProof/>
              </w:rPr>
            </w:r>
            <w:r>
              <w:rPr>
                <w:noProof/>
              </w:rPr>
              <w:fldChar w:fldCharType="separate"/>
            </w:r>
            <w:r>
              <w:rPr>
                <w:noProof/>
              </w:rPr>
              <w:t>1</w:t>
            </w:r>
            <w:r>
              <w:rPr>
                <w:noProof/>
              </w:rPr>
              <w:fldChar w:fldCharType="end"/>
            </w:r>
          </w:hyperlink>
        </w:p>
        <w:p w14:paraId="4A1323EB" w14:textId="77777777" w:rsidR="00104ABC" w:rsidRDefault="00104ABC">
          <w:pPr>
            <w:pStyle w:val="TOC3"/>
            <w:tabs>
              <w:tab w:val="right" w:leader="dot" w:pos="9350"/>
            </w:tabs>
            <w:rPr>
              <w:noProof/>
            </w:rPr>
          </w:pPr>
          <w:hyperlink w:anchor="_Toc232765387" w:history="1">
            <w:r w:rsidRPr="00E435F4">
              <w:rPr>
                <w:rStyle w:val="Hyperlink"/>
                <w:noProof/>
              </w:rPr>
              <w:t>15.4 The Priesthood of All Believers and the Invisible Church</w:t>
            </w:r>
            <w:r>
              <w:rPr>
                <w:noProof/>
              </w:rPr>
              <w:tab/>
            </w:r>
            <w:r>
              <w:rPr>
                <w:noProof/>
              </w:rPr>
              <w:fldChar w:fldCharType="begin"/>
            </w:r>
            <w:r>
              <w:rPr>
                <w:noProof/>
              </w:rPr>
              <w:instrText xml:space="preserve"> PAGEREF _Toc232765387 \h </w:instrText>
            </w:r>
            <w:r>
              <w:rPr>
                <w:noProof/>
              </w:rPr>
            </w:r>
            <w:r>
              <w:rPr>
                <w:noProof/>
              </w:rPr>
              <w:fldChar w:fldCharType="separate"/>
            </w:r>
            <w:r>
              <w:rPr>
                <w:noProof/>
              </w:rPr>
              <w:t>1</w:t>
            </w:r>
            <w:r>
              <w:rPr>
                <w:noProof/>
              </w:rPr>
              <w:fldChar w:fldCharType="end"/>
            </w:r>
          </w:hyperlink>
        </w:p>
        <w:p w14:paraId="5B55C0F1" w14:textId="77777777" w:rsidR="00104ABC" w:rsidRDefault="00104ABC">
          <w:pPr>
            <w:pStyle w:val="TOC2"/>
            <w:tabs>
              <w:tab w:val="right" w:leader="dot" w:pos="9350"/>
            </w:tabs>
            <w:rPr>
              <w:noProof/>
            </w:rPr>
          </w:pPr>
          <w:hyperlink w:anchor="_Toc232765388" w:history="1">
            <w:r w:rsidRPr="00E435F4">
              <w:rPr>
                <w:rStyle w:val="Hyperlink"/>
                <w:noProof/>
              </w:rPr>
              <w:t>CHAPTER 16: TWO ORDINANCES VS. SEVEN MYSTERIES</w:t>
            </w:r>
            <w:r>
              <w:rPr>
                <w:noProof/>
              </w:rPr>
              <w:tab/>
            </w:r>
            <w:r>
              <w:rPr>
                <w:noProof/>
              </w:rPr>
              <w:fldChar w:fldCharType="begin"/>
            </w:r>
            <w:r>
              <w:rPr>
                <w:noProof/>
              </w:rPr>
              <w:instrText xml:space="preserve"> PAGEREF _Toc232765388 \h </w:instrText>
            </w:r>
            <w:r>
              <w:rPr>
                <w:noProof/>
              </w:rPr>
            </w:r>
            <w:r>
              <w:rPr>
                <w:noProof/>
              </w:rPr>
              <w:fldChar w:fldCharType="separate"/>
            </w:r>
            <w:r>
              <w:rPr>
                <w:noProof/>
              </w:rPr>
              <w:t>1</w:t>
            </w:r>
            <w:r>
              <w:rPr>
                <w:noProof/>
              </w:rPr>
              <w:fldChar w:fldCharType="end"/>
            </w:r>
          </w:hyperlink>
        </w:p>
        <w:p w14:paraId="03D7BDD6" w14:textId="77777777" w:rsidR="00104ABC" w:rsidRDefault="00104ABC">
          <w:pPr>
            <w:pStyle w:val="TOC3"/>
            <w:tabs>
              <w:tab w:val="right" w:leader="dot" w:pos="9350"/>
            </w:tabs>
            <w:rPr>
              <w:noProof/>
            </w:rPr>
          </w:pPr>
          <w:hyperlink w:anchor="_Toc232765389" w:history="1">
            <w:r w:rsidRPr="00E435F4">
              <w:rPr>
                <w:rStyle w:val="Hyperlink"/>
                <w:noProof/>
              </w:rPr>
              <w:t>16.1 The Baptist Theology of Ordinances: 2LBC Chapters 28–30</w:t>
            </w:r>
            <w:r>
              <w:rPr>
                <w:noProof/>
              </w:rPr>
              <w:tab/>
            </w:r>
            <w:r>
              <w:rPr>
                <w:noProof/>
              </w:rPr>
              <w:fldChar w:fldCharType="begin"/>
            </w:r>
            <w:r>
              <w:rPr>
                <w:noProof/>
              </w:rPr>
              <w:instrText xml:space="preserve"> PAGEREF _Toc232765389 \h </w:instrText>
            </w:r>
            <w:r>
              <w:rPr>
                <w:noProof/>
              </w:rPr>
            </w:r>
            <w:r>
              <w:rPr>
                <w:noProof/>
              </w:rPr>
              <w:fldChar w:fldCharType="separate"/>
            </w:r>
            <w:r>
              <w:rPr>
                <w:noProof/>
              </w:rPr>
              <w:t>1</w:t>
            </w:r>
            <w:r>
              <w:rPr>
                <w:noProof/>
              </w:rPr>
              <w:fldChar w:fldCharType="end"/>
            </w:r>
          </w:hyperlink>
        </w:p>
        <w:p w14:paraId="069A7DE2" w14:textId="77777777" w:rsidR="00104ABC" w:rsidRDefault="00104ABC">
          <w:pPr>
            <w:pStyle w:val="TOC3"/>
            <w:tabs>
              <w:tab w:val="right" w:leader="dot" w:pos="9350"/>
            </w:tabs>
            <w:rPr>
              <w:noProof/>
            </w:rPr>
          </w:pPr>
          <w:hyperlink w:anchor="_Toc232765390" w:history="1">
            <w:r w:rsidRPr="00E435F4">
              <w:rPr>
                <w:rStyle w:val="Hyperlink"/>
                <w:noProof/>
              </w:rPr>
              <w:t>16.2 Critique of Baptismal Regeneration</w:t>
            </w:r>
            <w:r>
              <w:rPr>
                <w:noProof/>
              </w:rPr>
              <w:tab/>
            </w:r>
            <w:r>
              <w:rPr>
                <w:noProof/>
              </w:rPr>
              <w:fldChar w:fldCharType="begin"/>
            </w:r>
            <w:r>
              <w:rPr>
                <w:noProof/>
              </w:rPr>
              <w:instrText xml:space="preserve"> PAGEREF _Toc232765390 \h </w:instrText>
            </w:r>
            <w:r>
              <w:rPr>
                <w:noProof/>
              </w:rPr>
            </w:r>
            <w:r>
              <w:rPr>
                <w:noProof/>
              </w:rPr>
              <w:fldChar w:fldCharType="separate"/>
            </w:r>
            <w:r>
              <w:rPr>
                <w:noProof/>
              </w:rPr>
              <w:t>1</w:t>
            </w:r>
            <w:r>
              <w:rPr>
                <w:noProof/>
              </w:rPr>
              <w:fldChar w:fldCharType="end"/>
            </w:r>
          </w:hyperlink>
        </w:p>
        <w:p w14:paraId="6FDBF0FC" w14:textId="77777777" w:rsidR="00104ABC" w:rsidRDefault="00104ABC">
          <w:pPr>
            <w:pStyle w:val="TOC3"/>
            <w:tabs>
              <w:tab w:val="right" w:leader="dot" w:pos="9350"/>
            </w:tabs>
            <w:rPr>
              <w:noProof/>
            </w:rPr>
          </w:pPr>
          <w:hyperlink w:anchor="_Toc232765391" w:history="1">
            <w:r w:rsidRPr="00E435F4">
              <w:rPr>
                <w:rStyle w:val="Hyperlink"/>
                <w:noProof/>
              </w:rPr>
              <w:t>16.3 The Lord's Supper: The Orthodox Real Presence Critiqued</w:t>
            </w:r>
            <w:r>
              <w:rPr>
                <w:noProof/>
              </w:rPr>
              <w:tab/>
            </w:r>
            <w:r>
              <w:rPr>
                <w:noProof/>
              </w:rPr>
              <w:fldChar w:fldCharType="begin"/>
            </w:r>
            <w:r>
              <w:rPr>
                <w:noProof/>
              </w:rPr>
              <w:instrText xml:space="preserve"> PAGEREF _Toc232765391 \h </w:instrText>
            </w:r>
            <w:r>
              <w:rPr>
                <w:noProof/>
              </w:rPr>
            </w:r>
            <w:r>
              <w:rPr>
                <w:noProof/>
              </w:rPr>
              <w:fldChar w:fldCharType="separate"/>
            </w:r>
            <w:r>
              <w:rPr>
                <w:noProof/>
              </w:rPr>
              <w:t>1</w:t>
            </w:r>
            <w:r>
              <w:rPr>
                <w:noProof/>
              </w:rPr>
              <w:fldChar w:fldCharType="end"/>
            </w:r>
          </w:hyperlink>
        </w:p>
        <w:p w14:paraId="63B8E1FD" w14:textId="77777777" w:rsidR="00104ABC" w:rsidRDefault="00104ABC">
          <w:pPr>
            <w:pStyle w:val="TOC3"/>
            <w:tabs>
              <w:tab w:val="right" w:leader="dot" w:pos="9350"/>
            </w:tabs>
            <w:rPr>
              <w:noProof/>
            </w:rPr>
          </w:pPr>
          <w:hyperlink w:anchor="_Toc232765392" w:history="1">
            <w:r w:rsidRPr="00E435F4">
              <w:rPr>
                <w:rStyle w:val="Hyperlink"/>
                <w:noProof/>
              </w:rPr>
              <w:t>16.4 Critique of the Five Additional Orthodox Mysteries</w:t>
            </w:r>
            <w:r>
              <w:rPr>
                <w:noProof/>
              </w:rPr>
              <w:tab/>
            </w:r>
            <w:r>
              <w:rPr>
                <w:noProof/>
              </w:rPr>
              <w:fldChar w:fldCharType="begin"/>
            </w:r>
            <w:r>
              <w:rPr>
                <w:noProof/>
              </w:rPr>
              <w:instrText xml:space="preserve"> PAGEREF _Toc232765392 \h </w:instrText>
            </w:r>
            <w:r>
              <w:rPr>
                <w:noProof/>
              </w:rPr>
            </w:r>
            <w:r>
              <w:rPr>
                <w:noProof/>
              </w:rPr>
              <w:fldChar w:fldCharType="separate"/>
            </w:r>
            <w:r>
              <w:rPr>
                <w:noProof/>
              </w:rPr>
              <w:t>1</w:t>
            </w:r>
            <w:r>
              <w:rPr>
                <w:noProof/>
              </w:rPr>
              <w:fldChar w:fldCharType="end"/>
            </w:r>
          </w:hyperlink>
        </w:p>
        <w:p w14:paraId="46C29D39" w14:textId="77777777" w:rsidR="00104ABC" w:rsidRDefault="00104ABC">
          <w:pPr>
            <w:pStyle w:val="TOC2"/>
            <w:tabs>
              <w:tab w:val="right" w:leader="dot" w:pos="9350"/>
            </w:tabs>
            <w:rPr>
              <w:noProof/>
            </w:rPr>
          </w:pPr>
          <w:hyperlink w:anchor="_Toc232765393" w:history="1">
            <w:r w:rsidRPr="00E435F4">
              <w:rPr>
                <w:rStyle w:val="Hyperlink"/>
                <w:noProof/>
              </w:rPr>
              <w:t>CHAPTER 17: MARIOLOGY — THEOTOKOS, VENERATION, AND THE SOLE MEDIATION OF CHRIST</w:t>
            </w:r>
            <w:r>
              <w:rPr>
                <w:noProof/>
              </w:rPr>
              <w:tab/>
            </w:r>
            <w:r>
              <w:rPr>
                <w:noProof/>
              </w:rPr>
              <w:fldChar w:fldCharType="begin"/>
            </w:r>
            <w:r>
              <w:rPr>
                <w:noProof/>
              </w:rPr>
              <w:instrText xml:space="preserve"> PAGEREF _Toc232765393 \h </w:instrText>
            </w:r>
            <w:r>
              <w:rPr>
                <w:noProof/>
              </w:rPr>
            </w:r>
            <w:r>
              <w:rPr>
                <w:noProof/>
              </w:rPr>
              <w:fldChar w:fldCharType="separate"/>
            </w:r>
            <w:r>
              <w:rPr>
                <w:noProof/>
              </w:rPr>
              <w:t>1</w:t>
            </w:r>
            <w:r>
              <w:rPr>
                <w:noProof/>
              </w:rPr>
              <w:fldChar w:fldCharType="end"/>
            </w:r>
          </w:hyperlink>
        </w:p>
        <w:p w14:paraId="33166647" w14:textId="77777777" w:rsidR="00104ABC" w:rsidRDefault="00104ABC">
          <w:pPr>
            <w:pStyle w:val="TOC3"/>
            <w:tabs>
              <w:tab w:val="right" w:leader="dot" w:pos="9350"/>
            </w:tabs>
            <w:rPr>
              <w:noProof/>
            </w:rPr>
          </w:pPr>
          <w:hyperlink w:anchor="_Toc232765394" w:history="1">
            <w:r w:rsidRPr="00E435F4">
              <w:rPr>
                <w:rStyle w:val="Hyperlink"/>
                <w:noProof/>
              </w:rPr>
              <w:t>17.1 What the Reformed Tradition Affirms About Mary</w:t>
            </w:r>
            <w:r>
              <w:rPr>
                <w:noProof/>
              </w:rPr>
              <w:tab/>
            </w:r>
            <w:r>
              <w:rPr>
                <w:noProof/>
              </w:rPr>
              <w:fldChar w:fldCharType="begin"/>
            </w:r>
            <w:r>
              <w:rPr>
                <w:noProof/>
              </w:rPr>
              <w:instrText xml:space="preserve"> PAGEREF _Toc232765394 \h </w:instrText>
            </w:r>
            <w:r>
              <w:rPr>
                <w:noProof/>
              </w:rPr>
            </w:r>
            <w:r>
              <w:rPr>
                <w:noProof/>
              </w:rPr>
              <w:fldChar w:fldCharType="separate"/>
            </w:r>
            <w:r>
              <w:rPr>
                <w:noProof/>
              </w:rPr>
              <w:t>1</w:t>
            </w:r>
            <w:r>
              <w:rPr>
                <w:noProof/>
              </w:rPr>
              <w:fldChar w:fldCharType="end"/>
            </w:r>
          </w:hyperlink>
        </w:p>
        <w:p w14:paraId="7D5E9213" w14:textId="77777777" w:rsidR="00104ABC" w:rsidRDefault="00104ABC">
          <w:pPr>
            <w:pStyle w:val="TOC3"/>
            <w:tabs>
              <w:tab w:val="right" w:leader="dot" w:pos="9350"/>
            </w:tabs>
            <w:rPr>
              <w:noProof/>
            </w:rPr>
          </w:pPr>
          <w:hyperlink w:anchor="_Toc232765395" w:history="1">
            <w:r w:rsidRPr="00E435F4">
              <w:rPr>
                <w:rStyle w:val="Hyperlink"/>
                <w:noProof/>
              </w:rPr>
              <w:t>17.2 The Theotokos Title: Legitimate Christology, Problematic Expansion</w:t>
            </w:r>
            <w:r>
              <w:rPr>
                <w:noProof/>
              </w:rPr>
              <w:tab/>
            </w:r>
            <w:r>
              <w:rPr>
                <w:noProof/>
              </w:rPr>
              <w:fldChar w:fldCharType="begin"/>
            </w:r>
            <w:r>
              <w:rPr>
                <w:noProof/>
              </w:rPr>
              <w:instrText xml:space="preserve"> PAGEREF _Toc232765395 \h </w:instrText>
            </w:r>
            <w:r>
              <w:rPr>
                <w:noProof/>
              </w:rPr>
            </w:r>
            <w:r>
              <w:rPr>
                <w:noProof/>
              </w:rPr>
              <w:fldChar w:fldCharType="separate"/>
            </w:r>
            <w:r>
              <w:rPr>
                <w:noProof/>
              </w:rPr>
              <w:t>1</w:t>
            </w:r>
            <w:r>
              <w:rPr>
                <w:noProof/>
              </w:rPr>
              <w:fldChar w:fldCharType="end"/>
            </w:r>
          </w:hyperlink>
        </w:p>
        <w:p w14:paraId="3016CC67" w14:textId="77777777" w:rsidR="00104ABC" w:rsidRDefault="00104ABC">
          <w:pPr>
            <w:pStyle w:val="TOC3"/>
            <w:tabs>
              <w:tab w:val="right" w:leader="dot" w:pos="9350"/>
            </w:tabs>
            <w:rPr>
              <w:noProof/>
            </w:rPr>
          </w:pPr>
          <w:hyperlink w:anchor="_Toc232765396" w:history="1">
            <w:r w:rsidRPr="00E435F4">
              <w:rPr>
                <w:rStyle w:val="Hyperlink"/>
                <w:noProof/>
              </w:rPr>
              <w:t>17.3 Perpetual Virginity Examined and Refuted</w:t>
            </w:r>
            <w:r>
              <w:rPr>
                <w:noProof/>
              </w:rPr>
              <w:tab/>
            </w:r>
            <w:r>
              <w:rPr>
                <w:noProof/>
              </w:rPr>
              <w:fldChar w:fldCharType="begin"/>
            </w:r>
            <w:r>
              <w:rPr>
                <w:noProof/>
              </w:rPr>
              <w:instrText xml:space="preserve"> PAGEREF _Toc232765396 \h </w:instrText>
            </w:r>
            <w:r>
              <w:rPr>
                <w:noProof/>
              </w:rPr>
            </w:r>
            <w:r>
              <w:rPr>
                <w:noProof/>
              </w:rPr>
              <w:fldChar w:fldCharType="separate"/>
            </w:r>
            <w:r>
              <w:rPr>
                <w:noProof/>
              </w:rPr>
              <w:t>1</w:t>
            </w:r>
            <w:r>
              <w:rPr>
                <w:noProof/>
              </w:rPr>
              <w:fldChar w:fldCharType="end"/>
            </w:r>
          </w:hyperlink>
        </w:p>
        <w:p w14:paraId="75AC5BAA" w14:textId="77777777" w:rsidR="00104ABC" w:rsidRDefault="00104ABC">
          <w:pPr>
            <w:pStyle w:val="TOC3"/>
            <w:tabs>
              <w:tab w:val="right" w:leader="dot" w:pos="9350"/>
            </w:tabs>
            <w:rPr>
              <w:noProof/>
            </w:rPr>
          </w:pPr>
          <w:hyperlink w:anchor="_Toc232765397" w:history="1">
            <w:r w:rsidRPr="00E435F4">
              <w:rPr>
                <w:rStyle w:val="Hyperlink"/>
                <w:noProof/>
              </w:rPr>
              <w:t>17.4 The Veneration of Mary and the Sole Mediation of Christ</w:t>
            </w:r>
            <w:r>
              <w:rPr>
                <w:noProof/>
              </w:rPr>
              <w:tab/>
            </w:r>
            <w:r>
              <w:rPr>
                <w:noProof/>
              </w:rPr>
              <w:fldChar w:fldCharType="begin"/>
            </w:r>
            <w:r>
              <w:rPr>
                <w:noProof/>
              </w:rPr>
              <w:instrText xml:space="preserve"> PAGEREF _Toc232765397 \h </w:instrText>
            </w:r>
            <w:r>
              <w:rPr>
                <w:noProof/>
              </w:rPr>
            </w:r>
            <w:r>
              <w:rPr>
                <w:noProof/>
              </w:rPr>
              <w:fldChar w:fldCharType="separate"/>
            </w:r>
            <w:r>
              <w:rPr>
                <w:noProof/>
              </w:rPr>
              <w:t>1</w:t>
            </w:r>
            <w:r>
              <w:rPr>
                <w:noProof/>
              </w:rPr>
              <w:fldChar w:fldCharType="end"/>
            </w:r>
          </w:hyperlink>
        </w:p>
        <w:p w14:paraId="70457733" w14:textId="77777777" w:rsidR="00104ABC" w:rsidRDefault="00104ABC">
          <w:pPr>
            <w:pStyle w:val="TOC2"/>
            <w:tabs>
              <w:tab w:val="right" w:leader="dot" w:pos="9350"/>
            </w:tabs>
            <w:rPr>
              <w:noProof/>
            </w:rPr>
          </w:pPr>
          <w:hyperlink w:anchor="_Toc232765398" w:history="1">
            <w:r w:rsidRPr="00E435F4">
              <w:rPr>
                <w:rStyle w:val="Hyperlink"/>
                <w:noProof/>
              </w:rPr>
              <w:t>SUPPLEMENTARY ANALYSIS: CALVIN'S INSTITUTES ON THE ATONEMENT AND THE DESCENT INTO HELL</w:t>
            </w:r>
            <w:r>
              <w:rPr>
                <w:noProof/>
              </w:rPr>
              <w:tab/>
            </w:r>
            <w:r>
              <w:rPr>
                <w:noProof/>
              </w:rPr>
              <w:fldChar w:fldCharType="begin"/>
            </w:r>
            <w:r>
              <w:rPr>
                <w:noProof/>
              </w:rPr>
              <w:instrText xml:space="preserve"> PAGEREF _Toc232765398 \h </w:instrText>
            </w:r>
            <w:r>
              <w:rPr>
                <w:noProof/>
              </w:rPr>
            </w:r>
            <w:r>
              <w:rPr>
                <w:noProof/>
              </w:rPr>
              <w:fldChar w:fldCharType="separate"/>
            </w:r>
            <w:r>
              <w:rPr>
                <w:noProof/>
              </w:rPr>
              <w:t>1</w:t>
            </w:r>
            <w:r>
              <w:rPr>
                <w:noProof/>
              </w:rPr>
              <w:fldChar w:fldCharType="end"/>
            </w:r>
          </w:hyperlink>
        </w:p>
        <w:p w14:paraId="33FAD5D7" w14:textId="77777777" w:rsidR="00104ABC" w:rsidRDefault="00104ABC">
          <w:pPr>
            <w:pStyle w:val="TOC2"/>
            <w:tabs>
              <w:tab w:val="right" w:leader="dot" w:pos="9350"/>
            </w:tabs>
            <w:rPr>
              <w:noProof/>
            </w:rPr>
          </w:pPr>
          <w:hyperlink w:anchor="_Toc232765399" w:history="1">
            <w:r w:rsidRPr="00E435F4">
              <w:rPr>
                <w:rStyle w:val="Hyperlink"/>
                <w:noProof/>
              </w:rPr>
              <w:t>SUPPLEMENTARY ANALYSIS: THE 2LBC CHAPTER 8 ON CHRIST'S MEDIATORIAL WORK</w:t>
            </w:r>
            <w:r>
              <w:rPr>
                <w:noProof/>
              </w:rPr>
              <w:tab/>
            </w:r>
            <w:r>
              <w:rPr>
                <w:noProof/>
              </w:rPr>
              <w:fldChar w:fldCharType="begin"/>
            </w:r>
            <w:r>
              <w:rPr>
                <w:noProof/>
              </w:rPr>
              <w:instrText xml:space="preserve"> PAGEREF _Toc232765399 \h </w:instrText>
            </w:r>
            <w:r>
              <w:rPr>
                <w:noProof/>
              </w:rPr>
            </w:r>
            <w:r>
              <w:rPr>
                <w:noProof/>
              </w:rPr>
              <w:fldChar w:fldCharType="separate"/>
            </w:r>
            <w:r>
              <w:rPr>
                <w:noProof/>
              </w:rPr>
              <w:t>1</w:t>
            </w:r>
            <w:r>
              <w:rPr>
                <w:noProof/>
              </w:rPr>
              <w:fldChar w:fldCharType="end"/>
            </w:r>
          </w:hyperlink>
        </w:p>
        <w:p w14:paraId="38EA6BC1" w14:textId="77777777" w:rsidR="00104ABC" w:rsidRDefault="00104ABC">
          <w:pPr>
            <w:pStyle w:val="TOC2"/>
            <w:tabs>
              <w:tab w:val="right" w:leader="dot" w:pos="9350"/>
            </w:tabs>
            <w:rPr>
              <w:noProof/>
            </w:rPr>
          </w:pPr>
          <w:hyperlink w:anchor="_Toc232765400" w:history="1">
            <w:r w:rsidRPr="00E435F4">
              <w:rPr>
                <w:rStyle w:val="Hyperlink"/>
                <w:noProof/>
              </w:rPr>
              <w:t>CONCLUDING SYNTHESIS: THE ORGANIC UNITY OF THE REFORMED CONFESSIONAL SYSTEM</w:t>
            </w:r>
            <w:r>
              <w:rPr>
                <w:noProof/>
              </w:rPr>
              <w:tab/>
            </w:r>
            <w:r>
              <w:rPr>
                <w:noProof/>
              </w:rPr>
              <w:fldChar w:fldCharType="begin"/>
            </w:r>
            <w:r>
              <w:rPr>
                <w:noProof/>
              </w:rPr>
              <w:instrText xml:space="preserve"> PAGEREF _Toc232765400 \h </w:instrText>
            </w:r>
            <w:r>
              <w:rPr>
                <w:noProof/>
              </w:rPr>
            </w:r>
            <w:r>
              <w:rPr>
                <w:noProof/>
              </w:rPr>
              <w:fldChar w:fldCharType="separate"/>
            </w:r>
            <w:r>
              <w:rPr>
                <w:noProof/>
              </w:rPr>
              <w:t>1</w:t>
            </w:r>
            <w:r>
              <w:rPr>
                <w:noProof/>
              </w:rPr>
              <w:fldChar w:fldCharType="end"/>
            </w:r>
          </w:hyperlink>
        </w:p>
        <w:p w14:paraId="14348C01" w14:textId="77777777" w:rsidR="00104ABC" w:rsidRDefault="00104ABC">
          <w:pPr>
            <w:pStyle w:val="TOC1"/>
            <w:tabs>
              <w:tab w:val="right" w:leader="dot" w:pos="9350"/>
            </w:tabs>
            <w:rPr>
              <w:noProof/>
            </w:rPr>
          </w:pPr>
          <w:hyperlink w:anchor="_Toc232765401" w:history="1">
            <w:r w:rsidRPr="00E435F4">
              <w:rPr>
                <w:rStyle w:val="Hyperlink"/>
                <w:noProof/>
              </w:rPr>
              <w:t>PART TWO, CHAPTERS 18–21</w:t>
            </w:r>
            <w:r>
              <w:rPr>
                <w:noProof/>
              </w:rPr>
              <w:tab/>
            </w:r>
            <w:r>
              <w:rPr>
                <w:noProof/>
              </w:rPr>
              <w:fldChar w:fldCharType="begin"/>
            </w:r>
            <w:r>
              <w:rPr>
                <w:noProof/>
              </w:rPr>
              <w:instrText xml:space="preserve"> PAGEREF _Toc232765401 \h </w:instrText>
            </w:r>
            <w:r>
              <w:rPr>
                <w:noProof/>
              </w:rPr>
            </w:r>
            <w:r>
              <w:rPr>
                <w:noProof/>
              </w:rPr>
              <w:fldChar w:fldCharType="separate"/>
            </w:r>
            <w:r>
              <w:rPr>
                <w:noProof/>
              </w:rPr>
              <w:t>1</w:t>
            </w:r>
            <w:r>
              <w:rPr>
                <w:noProof/>
              </w:rPr>
              <w:fldChar w:fldCharType="end"/>
            </w:r>
          </w:hyperlink>
        </w:p>
        <w:p w14:paraId="3EEBC161" w14:textId="77777777" w:rsidR="00104ABC" w:rsidRDefault="00104ABC">
          <w:pPr>
            <w:pStyle w:val="TOC2"/>
            <w:tabs>
              <w:tab w:val="right" w:leader="dot" w:pos="9350"/>
            </w:tabs>
            <w:rPr>
              <w:noProof/>
            </w:rPr>
          </w:pPr>
          <w:hyperlink w:anchor="_Toc232765402" w:history="1">
            <w:r w:rsidRPr="00E435F4">
              <w:rPr>
                <w:rStyle w:val="Hyperlink"/>
                <w:noProof/>
              </w:rPr>
              <w:t>A Reformed Confessional Refutation of Eastern Orthodox Christianity</w:t>
            </w:r>
            <w:r>
              <w:rPr>
                <w:noProof/>
              </w:rPr>
              <w:tab/>
            </w:r>
            <w:r>
              <w:rPr>
                <w:noProof/>
              </w:rPr>
              <w:fldChar w:fldCharType="begin"/>
            </w:r>
            <w:r>
              <w:rPr>
                <w:noProof/>
              </w:rPr>
              <w:instrText xml:space="preserve"> PAGEREF _Toc232765402 \h </w:instrText>
            </w:r>
            <w:r>
              <w:rPr>
                <w:noProof/>
              </w:rPr>
            </w:r>
            <w:r>
              <w:rPr>
                <w:noProof/>
              </w:rPr>
              <w:fldChar w:fldCharType="separate"/>
            </w:r>
            <w:r>
              <w:rPr>
                <w:noProof/>
              </w:rPr>
              <w:t>1</w:t>
            </w:r>
            <w:r>
              <w:rPr>
                <w:noProof/>
              </w:rPr>
              <w:fldChar w:fldCharType="end"/>
            </w:r>
          </w:hyperlink>
        </w:p>
        <w:p w14:paraId="756676DC" w14:textId="77777777" w:rsidR="00104ABC" w:rsidRDefault="00104ABC">
          <w:pPr>
            <w:pStyle w:val="TOC3"/>
            <w:tabs>
              <w:tab w:val="right" w:leader="dot" w:pos="9350"/>
            </w:tabs>
            <w:rPr>
              <w:noProof/>
            </w:rPr>
          </w:pPr>
          <w:hyperlink w:anchor="_Toc232765403" w:history="1">
            <w:r w:rsidRPr="00E435F4">
              <w:rPr>
                <w:rStyle w:val="Hyperlink"/>
                <w:noProof/>
              </w:rPr>
              <w:t>Perspective: The Second London Baptist Confession of Faith (1689)</w:t>
            </w:r>
            <w:r>
              <w:rPr>
                <w:noProof/>
              </w:rPr>
              <w:tab/>
            </w:r>
            <w:r>
              <w:rPr>
                <w:noProof/>
              </w:rPr>
              <w:fldChar w:fldCharType="begin"/>
            </w:r>
            <w:r>
              <w:rPr>
                <w:noProof/>
              </w:rPr>
              <w:instrText xml:space="preserve"> PAGEREF _Toc232765403 \h </w:instrText>
            </w:r>
            <w:r>
              <w:rPr>
                <w:noProof/>
              </w:rPr>
            </w:r>
            <w:r>
              <w:rPr>
                <w:noProof/>
              </w:rPr>
              <w:fldChar w:fldCharType="separate"/>
            </w:r>
            <w:r>
              <w:rPr>
                <w:noProof/>
              </w:rPr>
              <w:t>1</w:t>
            </w:r>
            <w:r>
              <w:rPr>
                <w:noProof/>
              </w:rPr>
              <w:fldChar w:fldCharType="end"/>
            </w:r>
          </w:hyperlink>
        </w:p>
        <w:p w14:paraId="76EAC0D7" w14:textId="77777777" w:rsidR="00104ABC" w:rsidRDefault="00104ABC">
          <w:pPr>
            <w:pStyle w:val="TOC1"/>
            <w:tabs>
              <w:tab w:val="right" w:leader="dot" w:pos="9350"/>
            </w:tabs>
            <w:rPr>
              <w:noProof/>
            </w:rPr>
          </w:pPr>
          <w:hyperlink w:anchor="_Toc232765404" w:history="1">
            <w:r w:rsidRPr="00E435F4">
              <w:rPr>
                <w:rStyle w:val="Hyperlink"/>
                <w:noProof/>
              </w:rPr>
              <w:t>CHAPTER EIGHTEEN: ICONS AND IMAGES — THE SECOND COMMANDMENT AND THE REGULATIVE PRINCIPLE OF WORSHIP</w:t>
            </w:r>
            <w:r>
              <w:rPr>
                <w:noProof/>
              </w:rPr>
              <w:tab/>
            </w:r>
            <w:r>
              <w:rPr>
                <w:noProof/>
              </w:rPr>
              <w:fldChar w:fldCharType="begin"/>
            </w:r>
            <w:r>
              <w:rPr>
                <w:noProof/>
              </w:rPr>
              <w:instrText xml:space="preserve"> PAGEREF _Toc232765404 \h </w:instrText>
            </w:r>
            <w:r>
              <w:rPr>
                <w:noProof/>
              </w:rPr>
            </w:r>
            <w:r>
              <w:rPr>
                <w:noProof/>
              </w:rPr>
              <w:fldChar w:fldCharType="separate"/>
            </w:r>
            <w:r>
              <w:rPr>
                <w:noProof/>
              </w:rPr>
              <w:t>1</w:t>
            </w:r>
            <w:r>
              <w:rPr>
                <w:noProof/>
              </w:rPr>
              <w:fldChar w:fldCharType="end"/>
            </w:r>
          </w:hyperlink>
        </w:p>
        <w:p w14:paraId="26F5001A" w14:textId="77777777" w:rsidR="00104ABC" w:rsidRDefault="00104ABC">
          <w:pPr>
            <w:pStyle w:val="TOC2"/>
            <w:tabs>
              <w:tab w:val="right" w:leader="dot" w:pos="9350"/>
            </w:tabs>
            <w:rPr>
              <w:noProof/>
            </w:rPr>
          </w:pPr>
          <w:hyperlink w:anchor="_Toc232765405" w:history="1">
            <w:r w:rsidRPr="00E435F4">
              <w:rPr>
                <w:rStyle w:val="Hyperlink"/>
                <w:noProof/>
              </w:rPr>
              <w:t>18.1 — The Second Commandment: Text, Exegesis, and Scope</w:t>
            </w:r>
            <w:r>
              <w:rPr>
                <w:noProof/>
              </w:rPr>
              <w:tab/>
            </w:r>
            <w:r>
              <w:rPr>
                <w:noProof/>
              </w:rPr>
              <w:fldChar w:fldCharType="begin"/>
            </w:r>
            <w:r>
              <w:rPr>
                <w:noProof/>
              </w:rPr>
              <w:instrText xml:space="preserve"> PAGEREF _Toc232765405 \h </w:instrText>
            </w:r>
            <w:r>
              <w:rPr>
                <w:noProof/>
              </w:rPr>
            </w:r>
            <w:r>
              <w:rPr>
                <w:noProof/>
              </w:rPr>
              <w:fldChar w:fldCharType="separate"/>
            </w:r>
            <w:r>
              <w:rPr>
                <w:noProof/>
              </w:rPr>
              <w:t>1</w:t>
            </w:r>
            <w:r>
              <w:rPr>
                <w:noProof/>
              </w:rPr>
              <w:fldChar w:fldCharType="end"/>
            </w:r>
          </w:hyperlink>
        </w:p>
        <w:p w14:paraId="2011B300" w14:textId="77777777" w:rsidR="00104ABC" w:rsidRDefault="00104ABC">
          <w:pPr>
            <w:pStyle w:val="TOC2"/>
            <w:tabs>
              <w:tab w:val="right" w:leader="dot" w:pos="9350"/>
            </w:tabs>
            <w:rPr>
              <w:noProof/>
            </w:rPr>
          </w:pPr>
          <w:hyperlink w:anchor="_Toc232765406" w:history="1">
            <w:r w:rsidRPr="00E435F4">
              <w:rPr>
                <w:rStyle w:val="Hyperlink"/>
                <w:noProof/>
              </w:rPr>
              <w:t>18.2 — The Orthodox Incarnational Argument for Icons and the Reformed Response</w:t>
            </w:r>
            <w:r>
              <w:rPr>
                <w:noProof/>
              </w:rPr>
              <w:tab/>
            </w:r>
            <w:r>
              <w:rPr>
                <w:noProof/>
              </w:rPr>
              <w:fldChar w:fldCharType="begin"/>
            </w:r>
            <w:r>
              <w:rPr>
                <w:noProof/>
              </w:rPr>
              <w:instrText xml:space="preserve"> PAGEREF _Toc232765406 \h </w:instrText>
            </w:r>
            <w:r>
              <w:rPr>
                <w:noProof/>
              </w:rPr>
            </w:r>
            <w:r>
              <w:rPr>
                <w:noProof/>
              </w:rPr>
              <w:fldChar w:fldCharType="separate"/>
            </w:r>
            <w:r>
              <w:rPr>
                <w:noProof/>
              </w:rPr>
              <w:t>1</w:t>
            </w:r>
            <w:r>
              <w:rPr>
                <w:noProof/>
              </w:rPr>
              <w:fldChar w:fldCharType="end"/>
            </w:r>
          </w:hyperlink>
        </w:p>
        <w:p w14:paraId="620CBA66" w14:textId="77777777" w:rsidR="00104ABC" w:rsidRDefault="00104ABC">
          <w:pPr>
            <w:pStyle w:val="TOC2"/>
            <w:tabs>
              <w:tab w:val="right" w:leader="dot" w:pos="9350"/>
            </w:tabs>
            <w:rPr>
              <w:noProof/>
            </w:rPr>
          </w:pPr>
          <w:hyperlink w:anchor="_Toc232765407" w:history="1">
            <w:r w:rsidRPr="00E435F4">
              <w:rPr>
                <w:rStyle w:val="Hyperlink"/>
                <w:noProof/>
              </w:rPr>
              <w:t>18.3 — The Regulative Principle of Worship Applied to Iconographic Practice</w:t>
            </w:r>
            <w:r>
              <w:rPr>
                <w:noProof/>
              </w:rPr>
              <w:tab/>
            </w:r>
            <w:r>
              <w:rPr>
                <w:noProof/>
              </w:rPr>
              <w:fldChar w:fldCharType="begin"/>
            </w:r>
            <w:r>
              <w:rPr>
                <w:noProof/>
              </w:rPr>
              <w:instrText xml:space="preserve"> PAGEREF _Toc232765407 \h </w:instrText>
            </w:r>
            <w:r>
              <w:rPr>
                <w:noProof/>
              </w:rPr>
            </w:r>
            <w:r>
              <w:rPr>
                <w:noProof/>
              </w:rPr>
              <w:fldChar w:fldCharType="separate"/>
            </w:r>
            <w:r>
              <w:rPr>
                <w:noProof/>
              </w:rPr>
              <w:t>1</w:t>
            </w:r>
            <w:r>
              <w:rPr>
                <w:noProof/>
              </w:rPr>
              <w:fldChar w:fldCharType="end"/>
            </w:r>
          </w:hyperlink>
        </w:p>
        <w:p w14:paraId="1D57CC20" w14:textId="77777777" w:rsidR="00104ABC" w:rsidRDefault="00104ABC">
          <w:pPr>
            <w:pStyle w:val="TOC2"/>
            <w:tabs>
              <w:tab w:val="right" w:leader="dot" w:pos="9350"/>
            </w:tabs>
            <w:rPr>
              <w:noProof/>
            </w:rPr>
          </w:pPr>
          <w:hyperlink w:anchor="_Toc232765408" w:history="1">
            <w:r w:rsidRPr="00E435F4">
              <w:rPr>
                <w:rStyle w:val="Hyperlink"/>
                <w:noProof/>
              </w:rPr>
              <w:t>18.4 — The Iconoclast Controversy Reconsidered: Were the Iconoclasts Right?</w:t>
            </w:r>
            <w:r>
              <w:rPr>
                <w:noProof/>
              </w:rPr>
              <w:tab/>
            </w:r>
            <w:r>
              <w:rPr>
                <w:noProof/>
              </w:rPr>
              <w:fldChar w:fldCharType="begin"/>
            </w:r>
            <w:r>
              <w:rPr>
                <w:noProof/>
              </w:rPr>
              <w:instrText xml:space="preserve"> PAGEREF _Toc232765408 \h </w:instrText>
            </w:r>
            <w:r>
              <w:rPr>
                <w:noProof/>
              </w:rPr>
            </w:r>
            <w:r>
              <w:rPr>
                <w:noProof/>
              </w:rPr>
              <w:fldChar w:fldCharType="separate"/>
            </w:r>
            <w:r>
              <w:rPr>
                <w:noProof/>
              </w:rPr>
              <w:t>1</w:t>
            </w:r>
            <w:r>
              <w:rPr>
                <w:noProof/>
              </w:rPr>
              <w:fldChar w:fldCharType="end"/>
            </w:r>
          </w:hyperlink>
        </w:p>
        <w:p w14:paraId="4C3E9EC6" w14:textId="77777777" w:rsidR="00104ABC" w:rsidRDefault="00104ABC">
          <w:pPr>
            <w:pStyle w:val="TOC1"/>
            <w:tabs>
              <w:tab w:val="right" w:leader="dot" w:pos="9350"/>
            </w:tabs>
            <w:rPr>
              <w:noProof/>
            </w:rPr>
          </w:pPr>
          <w:hyperlink w:anchor="_Toc232765409" w:history="1">
            <w:r w:rsidRPr="00E435F4">
              <w:rPr>
                <w:rStyle w:val="Hyperlink"/>
                <w:noProof/>
              </w:rPr>
              <w:t>CHAPTER NINETEEN: PRAYER TO SAINTS — THE ALL-SUFFICIENT INTERCESSION OF CHRIST</w:t>
            </w:r>
            <w:r>
              <w:rPr>
                <w:noProof/>
              </w:rPr>
              <w:tab/>
            </w:r>
            <w:r>
              <w:rPr>
                <w:noProof/>
              </w:rPr>
              <w:fldChar w:fldCharType="begin"/>
            </w:r>
            <w:r>
              <w:rPr>
                <w:noProof/>
              </w:rPr>
              <w:instrText xml:space="preserve"> PAGEREF _Toc232765409 \h </w:instrText>
            </w:r>
            <w:r>
              <w:rPr>
                <w:noProof/>
              </w:rPr>
            </w:r>
            <w:r>
              <w:rPr>
                <w:noProof/>
              </w:rPr>
              <w:fldChar w:fldCharType="separate"/>
            </w:r>
            <w:r>
              <w:rPr>
                <w:noProof/>
              </w:rPr>
              <w:t>1</w:t>
            </w:r>
            <w:r>
              <w:rPr>
                <w:noProof/>
              </w:rPr>
              <w:fldChar w:fldCharType="end"/>
            </w:r>
          </w:hyperlink>
        </w:p>
        <w:p w14:paraId="195DDFC8" w14:textId="77777777" w:rsidR="00104ABC" w:rsidRDefault="00104ABC">
          <w:pPr>
            <w:pStyle w:val="TOC2"/>
            <w:tabs>
              <w:tab w:val="right" w:leader="dot" w:pos="9350"/>
            </w:tabs>
            <w:rPr>
              <w:noProof/>
            </w:rPr>
          </w:pPr>
          <w:hyperlink w:anchor="_Toc232765410" w:history="1">
            <w:r w:rsidRPr="00E435F4">
              <w:rPr>
                <w:rStyle w:val="Hyperlink"/>
                <w:noProof/>
              </w:rPr>
              <w:t>19.1 — The All-Sufficient Intercession of Christ: Hebrews 4–10</w:t>
            </w:r>
            <w:r>
              <w:rPr>
                <w:noProof/>
              </w:rPr>
              <w:tab/>
            </w:r>
            <w:r>
              <w:rPr>
                <w:noProof/>
              </w:rPr>
              <w:fldChar w:fldCharType="begin"/>
            </w:r>
            <w:r>
              <w:rPr>
                <w:noProof/>
              </w:rPr>
              <w:instrText xml:space="preserve"> PAGEREF _Toc232765410 \h </w:instrText>
            </w:r>
            <w:r>
              <w:rPr>
                <w:noProof/>
              </w:rPr>
            </w:r>
            <w:r>
              <w:rPr>
                <w:noProof/>
              </w:rPr>
              <w:fldChar w:fldCharType="separate"/>
            </w:r>
            <w:r>
              <w:rPr>
                <w:noProof/>
              </w:rPr>
              <w:t>1</w:t>
            </w:r>
            <w:r>
              <w:rPr>
                <w:noProof/>
              </w:rPr>
              <w:fldChar w:fldCharType="end"/>
            </w:r>
          </w:hyperlink>
        </w:p>
        <w:p w14:paraId="415ECAEE" w14:textId="77777777" w:rsidR="00104ABC" w:rsidRDefault="00104ABC">
          <w:pPr>
            <w:pStyle w:val="TOC2"/>
            <w:tabs>
              <w:tab w:val="right" w:leader="dot" w:pos="9350"/>
            </w:tabs>
            <w:rPr>
              <w:noProof/>
            </w:rPr>
          </w:pPr>
          <w:hyperlink w:anchor="_Toc232765411" w:history="1">
            <w:r w:rsidRPr="00E435F4">
              <w:rPr>
                <w:rStyle w:val="Hyperlink"/>
                <w:noProof/>
              </w:rPr>
              <w:t>19.2 — The Orthodox Theology of Saintly Intercession and the Reformed Response</w:t>
            </w:r>
            <w:r>
              <w:rPr>
                <w:noProof/>
              </w:rPr>
              <w:tab/>
            </w:r>
            <w:r>
              <w:rPr>
                <w:noProof/>
              </w:rPr>
              <w:fldChar w:fldCharType="begin"/>
            </w:r>
            <w:r>
              <w:rPr>
                <w:noProof/>
              </w:rPr>
              <w:instrText xml:space="preserve"> PAGEREF _Toc232765411 \h </w:instrText>
            </w:r>
            <w:r>
              <w:rPr>
                <w:noProof/>
              </w:rPr>
            </w:r>
            <w:r>
              <w:rPr>
                <w:noProof/>
              </w:rPr>
              <w:fldChar w:fldCharType="separate"/>
            </w:r>
            <w:r>
              <w:rPr>
                <w:noProof/>
              </w:rPr>
              <w:t>1</w:t>
            </w:r>
            <w:r>
              <w:rPr>
                <w:noProof/>
              </w:rPr>
              <w:fldChar w:fldCharType="end"/>
            </w:r>
          </w:hyperlink>
        </w:p>
        <w:p w14:paraId="6C9BED0B" w14:textId="77777777" w:rsidR="00104ABC" w:rsidRDefault="00104ABC">
          <w:pPr>
            <w:pStyle w:val="TOC2"/>
            <w:tabs>
              <w:tab w:val="right" w:leader="dot" w:pos="9350"/>
            </w:tabs>
            <w:rPr>
              <w:noProof/>
            </w:rPr>
          </w:pPr>
          <w:hyperlink w:anchor="_Toc232765412" w:history="1">
            <w:r w:rsidRPr="00E435F4">
              <w:rPr>
                <w:rStyle w:val="Hyperlink"/>
                <w:noProof/>
              </w:rPr>
              <w:t>19.3 — Calvin's Systematic Critique of the Invocation of Saints</w:t>
            </w:r>
            <w:r>
              <w:rPr>
                <w:noProof/>
              </w:rPr>
              <w:tab/>
            </w:r>
            <w:r>
              <w:rPr>
                <w:noProof/>
              </w:rPr>
              <w:fldChar w:fldCharType="begin"/>
            </w:r>
            <w:r>
              <w:rPr>
                <w:noProof/>
              </w:rPr>
              <w:instrText xml:space="preserve"> PAGEREF _Toc232765412 \h </w:instrText>
            </w:r>
            <w:r>
              <w:rPr>
                <w:noProof/>
              </w:rPr>
            </w:r>
            <w:r>
              <w:rPr>
                <w:noProof/>
              </w:rPr>
              <w:fldChar w:fldCharType="separate"/>
            </w:r>
            <w:r>
              <w:rPr>
                <w:noProof/>
              </w:rPr>
              <w:t>1</w:t>
            </w:r>
            <w:r>
              <w:rPr>
                <w:noProof/>
              </w:rPr>
              <w:fldChar w:fldCharType="end"/>
            </w:r>
          </w:hyperlink>
        </w:p>
        <w:p w14:paraId="34E19E02" w14:textId="77777777" w:rsidR="00104ABC" w:rsidRDefault="00104ABC">
          <w:pPr>
            <w:pStyle w:val="TOC1"/>
            <w:tabs>
              <w:tab w:val="right" w:leader="dot" w:pos="9350"/>
            </w:tabs>
            <w:rPr>
              <w:noProof/>
            </w:rPr>
          </w:pPr>
          <w:hyperlink w:anchor="_Toc232765413" w:history="1">
            <w:r w:rsidRPr="00E435F4">
              <w:rPr>
                <w:rStyle w:val="Hyperlink"/>
                <w:noProof/>
              </w:rPr>
              <w:t>CHAPTER TWENTY: THE FILIOQUE — A REFORMED DEFENSE</w:t>
            </w:r>
            <w:r>
              <w:rPr>
                <w:noProof/>
              </w:rPr>
              <w:tab/>
            </w:r>
            <w:r>
              <w:rPr>
                <w:noProof/>
              </w:rPr>
              <w:fldChar w:fldCharType="begin"/>
            </w:r>
            <w:r>
              <w:rPr>
                <w:noProof/>
              </w:rPr>
              <w:instrText xml:space="preserve"> PAGEREF _Toc232765413 \h </w:instrText>
            </w:r>
            <w:r>
              <w:rPr>
                <w:noProof/>
              </w:rPr>
            </w:r>
            <w:r>
              <w:rPr>
                <w:noProof/>
              </w:rPr>
              <w:fldChar w:fldCharType="separate"/>
            </w:r>
            <w:r>
              <w:rPr>
                <w:noProof/>
              </w:rPr>
              <w:t>1</w:t>
            </w:r>
            <w:r>
              <w:rPr>
                <w:noProof/>
              </w:rPr>
              <w:fldChar w:fldCharType="end"/>
            </w:r>
          </w:hyperlink>
        </w:p>
        <w:p w14:paraId="4E77727D" w14:textId="77777777" w:rsidR="00104ABC" w:rsidRDefault="00104ABC">
          <w:pPr>
            <w:pStyle w:val="TOC2"/>
            <w:tabs>
              <w:tab w:val="right" w:leader="dot" w:pos="9350"/>
            </w:tabs>
            <w:rPr>
              <w:noProof/>
            </w:rPr>
          </w:pPr>
          <w:hyperlink w:anchor="_Toc232765414" w:history="1">
            <w:r w:rsidRPr="00E435F4">
              <w:rPr>
                <w:rStyle w:val="Hyperlink"/>
                <w:noProof/>
              </w:rPr>
              <w:t>20.1 — The Historical Controversy Reviewed</w:t>
            </w:r>
            <w:r>
              <w:rPr>
                <w:noProof/>
              </w:rPr>
              <w:tab/>
            </w:r>
            <w:r>
              <w:rPr>
                <w:noProof/>
              </w:rPr>
              <w:fldChar w:fldCharType="begin"/>
            </w:r>
            <w:r>
              <w:rPr>
                <w:noProof/>
              </w:rPr>
              <w:instrText xml:space="preserve"> PAGEREF _Toc232765414 \h </w:instrText>
            </w:r>
            <w:r>
              <w:rPr>
                <w:noProof/>
              </w:rPr>
            </w:r>
            <w:r>
              <w:rPr>
                <w:noProof/>
              </w:rPr>
              <w:fldChar w:fldCharType="separate"/>
            </w:r>
            <w:r>
              <w:rPr>
                <w:noProof/>
              </w:rPr>
              <w:t>1</w:t>
            </w:r>
            <w:r>
              <w:rPr>
                <w:noProof/>
              </w:rPr>
              <w:fldChar w:fldCharType="end"/>
            </w:r>
          </w:hyperlink>
        </w:p>
        <w:p w14:paraId="5770155A" w14:textId="77777777" w:rsidR="00104ABC" w:rsidRDefault="00104ABC">
          <w:pPr>
            <w:pStyle w:val="TOC2"/>
            <w:tabs>
              <w:tab w:val="right" w:leader="dot" w:pos="9350"/>
            </w:tabs>
            <w:rPr>
              <w:noProof/>
            </w:rPr>
          </w:pPr>
          <w:hyperlink w:anchor="_Toc232765415" w:history="1">
            <w:r w:rsidRPr="00E435F4">
              <w:rPr>
                <w:rStyle w:val="Hyperlink"/>
                <w:noProof/>
              </w:rPr>
              <w:t>20.2 — The Eastern Objection: The Father's Monarchy</w:t>
            </w:r>
            <w:r>
              <w:rPr>
                <w:noProof/>
              </w:rPr>
              <w:tab/>
            </w:r>
            <w:r>
              <w:rPr>
                <w:noProof/>
              </w:rPr>
              <w:fldChar w:fldCharType="begin"/>
            </w:r>
            <w:r>
              <w:rPr>
                <w:noProof/>
              </w:rPr>
              <w:instrText xml:space="preserve"> PAGEREF _Toc232765415 \h </w:instrText>
            </w:r>
            <w:r>
              <w:rPr>
                <w:noProof/>
              </w:rPr>
            </w:r>
            <w:r>
              <w:rPr>
                <w:noProof/>
              </w:rPr>
              <w:fldChar w:fldCharType="separate"/>
            </w:r>
            <w:r>
              <w:rPr>
                <w:noProof/>
              </w:rPr>
              <w:t>1</w:t>
            </w:r>
            <w:r>
              <w:rPr>
                <w:noProof/>
              </w:rPr>
              <w:fldChar w:fldCharType="end"/>
            </w:r>
          </w:hyperlink>
        </w:p>
        <w:p w14:paraId="01F005C6" w14:textId="77777777" w:rsidR="00104ABC" w:rsidRDefault="00104ABC">
          <w:pPr>
            <w:pStyle w:val="TOC2"/>
            <w:tabs>
              <w:tab w:val="right" w:leader="dot" w:pos="9350"/>
            </w:tabs>
            <w:rPr>
              <w:noProof/>
            </w:rPr>
          </w:pPr>
          <w:hyperlink w:anchor="_Toc232765416" w:history="1">
            <w:r w:rsidRPr="00E435F4">
              <w:rPr>
                <w:rStyle w:val="Hyperlink"/>
                <w:noProof/>
              </w:rPr>
              <w:t>20.3 — The Biblical Case for the Filioque</w:t>
            </w:r>
            <w:r>
              <w:rPr>
                <w:noProof/>
              </w:rPr>
              <w:tab/>
            </w:r>
            <w:r>
              <w:rPr>
                <w:noProof/>
              </w:rPr>
              <w:fldChar w:fldCharType="begin"/>
            </w:r>
            <w:r>
              <w:rPr>
                <w:noProof/>
              </w:rPr>
              <w:instrText xml:space="preserve"> PAGEREF _Toc232765416 \h </w:instrText>
            </w:r>
            <w:r>
              <w:rPr>
                <w:noProof/>
              </w:rPr>
            </w:r>
            <w:r>
              <w:rPr>
                <w:noProof/>
              </w:rPr>
              <w:fldChar w:fldCharType="separate"/>
            </w:r>
            <w:r>
              <w:rPr>
                <w:noProof/>
              </w:rPr>
              <w:t>1</w:t>
            </w:r>
            <w:r>
              <w:rPr>
                <w:noProof/>
              </w:rPr>
              <w:fldChar w:fldCharType="end"/>
            </w:r>
          </w:hyperlink>
        </w:p>
        <w:p w14:paraId="701A3BDE" w14:textId="77777777" w:rsidR="00104ABC" w:rsidRDefault="00104ABC">
          <w:pPr>
            <w:pStyle w:val="TOC2"/>
            <w:tabs>
              <w:tab w:val="right" w:leader="dot" w:pos="9350"/>
            </w:tabs>
            <w:rPr>
              <w:noProof/>
            </w:rPr>
          </w:pPr>
          <w:hyperlink w:anchor="_Toc232765417" w:history="1">
            <w:r w:rsidRPr="00E435F4">
              <w:rPr>
                <w:rStyle w:val="Hyperlink"/>
                <w:noProof/>
              </w:rPr>
              <w:t>20.4 — The Patristic Case for the Filioque</w:t>
            </w:r>
            <w:r>
              <w:rPr>
                <w:noProof/>
              </w:rPr>
              <w:tab/>
            </w:r>
            <w:r>
              <w:rPr>
                <w:noProof/>
              </w:rPr>
              <w:fldChar w:fldCharType="begin"/>
            </w:r>
            <w:r>
              <w:rPr>
                <w:noProof/>
              </w:rPr>
              <w:instrText xml:space="preserve"> PAGEREF _Toc232765417 \h </w:instrText>
            </w:r>
            <w:r>
              <w:rPr>
                <w:noProof/>
              </w:rPr>
            </w:r>
            <w:r>
              <w:rPr>
                <w:noProof/>
              </w:rPr>
              <w:fldChar w:fldCharType="separate"/>
            </w:r>
            <w:r>
              <w:rPr>
                <w:noProof/>
              </w:rPr>
              <w:t>1</w:t>
            </w:r>
            <w:r>
              <w:rPr>
                <w:noProof/>
              </w:rPr>
              <w:fldChar w:fldCharType="end"/>
            </w:r>
          </w:hyperlink>
        </w:p>
        <w:p w14:paraId="3977A3AB" w14:textId="77777777" w:rsidR="00104ABC" w:rsidRDefault="00104ABC">
          <w:pPr>
            <w:pStyle w:val="TOC2"/>
            <w:tabs>
              <w:tab w:val="right" w:leader="dot" w:pos="9350"/>
            </w:tabs>
            <w:rPr>
              <w:noProof/>
            </w:rPr>
          </w:pPr>
          <w:hyperlink w:anchor="_Toc232765418" w:history="1">
            <w:r w:rsidRPr="00E435F4">
              <w:rPr>
                <w:rStyle w:val="Hyperlink"/>
                <w:noProof/>
              </w:rPr>
              <w:t>20.5 — The Confessional Filioque: Reformed Trinitarian Standards</w:t>
            </w:r>
            <w:r>
              <w:rPr>
                <w:noProof/>
              </w:rPr>
              <w:tab/>
            </w:r>
            <w:r>
              <w:rPr>
                <w:noProof/>
              </w:rPr>
              <w:fldChar w:fldCharType="begin"/>
            </w:r>
            <w:r>
              <w:rPr>
                <w:noProof/>
              </w:rPr>
              <w:instrText xml:space="preserve"> PAGEREF _Toc232765418 \h </w:instrText>
            </w:r>
            <w:r>
              <w:rPr>
                <w:noProof/>
              </w:rPr>
            </w:r>
            <w:r>
              <w:rPr>
                <w:noProof/>
              </w:rPr>
              <w:fldChar w:fldCharType="separate"/>
            </w:r>
            <w:r>
              <w:rPr>
                <w:noProof/>
              </w:rPr>
              <w:t>1</w:t>
            </w:r>
            <w:r>
              <w:rPr>
                <w:noProof/>
              </w:rPr>
              <w:fldChar w:fldCharType="end"/>
            </w:r>
          </w:hyperlink>
        </w:p>
        <w:p w14:paraId="3DCEB6CE" w14:textId="77777777" w:rsidR="00104ABC" w:rsidRDefault="00104ABC">
          <w:pPr>
            <w:pStyle w:val="TOC2"/>
            <w:tabs>
              <w:tab w:val="right" w:leader="dot" w:pos="9350"/>
            </w:tabs>
            <w:rPr>
              <w:noProof/>
            </w:rPr>
          </w:pPr>
          <w:hyperlink w:anchor="_Toc232765419" w:history="1">
            <w:r w:rsidRPr="00E435F4">
              <w:rPr>
                <w:rStyle w:val="Hyperlink"/>
                <w:noProof/>
              </w:rPr>
              <w:t>20.6 — Response to the Canonical Objection</w:t>
            </w:r>
            <w:r>
              <w:rPr>
                <w:noProof/>
              </w:rPr>
              <w:tab/>
            </w:r>
            <w:r>
              <w:rPr>
                <w:noProof/>
              </w:rPr>
              <w:fldChar w:fldCharType="begin"/>
            </w:r>
            <w:r>
              <w:rPr>
                <w:noProof/>
              </w:rPr>
              <w:instrText xml:space="preserve"> PAGEREF _Toc232765419 \h </w:instrText>
            </w:r>
            <w:r>
              <w:rPr>
                <w:noProof/>
              </w:rPr>
            </w:r>
            <w:r>
              <w:rPr>
                <w:noProof/>
              </w:rPr>
              <w:fldChar w:fldCharType="separate"/>
            </w:r>
            <w:r>
              <w:rPr>
                <w:noProof/>
              </w:rPr>
              <w:t>1</w:t>
            </w:r>
            <w:r>
              <w:rPr>
                <w:noProof/>
              </w:rPr>
              <w:fldChar w:fldCharType="end"/>
            </w:r>
          </w:hyperlink>
        </w:p>
        <w:p w14:paraId="3E47D4F4" w14:textId="77777777" w:rsidR="00104ABC" w:rsidRDefault="00104ABC">
          <w:pPr>
            <w:pStyle w:val="TOC1"/>
            <w:tabs>
              <w:tab w:val="right" w:leader="dot" w:pos="9350"/>
            </w:tabs>
            <w:rPr>
              <w:noProof/>
            </w:rPr>
          </w:pPr>
          <w:hyperlink w:anchor="_Toc232765420" w:history="1">
            <w:r w:rsidRPr="00E435F4">
              <w:rPr>
                <w:rStyle w:val="Hyperlink"/>
                <w:noProof/>
              </w:rPr>
              <w:t>CHAPTER TWENTY-ONE: SYNTHESIS — THE GOSPEL QUESTION AND THE CALL TO ORTHODOXY</w:t>
            </w:r>
            <w:r>
              <w:rPr>
                <w:noProof/>
              </w:rPr>
              <w:tab/>
            </w:r>
            <w:r>
              <w:rPr>
                <w:noProof/>
              </w:rPr>
              <w:fldChar w:fldCharType="begin"/>
            </w:r>
            <w:r>
              <w:rPr>
                <w:noProof/>
              </w:rPr>
              <w:instrText xml:space="preserve"> PAGEREF _Toc232765420 \h </w:instrText>
            </w:r>
            <w:r>
              <w:rPr>
                <w:noProof/>
              </w:rPr>
            </w:r>
            <w:r>
              <w:rPr>
                <w:noProof/>
              </w:rPr>
              <w:fldChar w:fldCharType="separate"/>
            </w:r>
            <w:r>
              <w:rPr>
                <w:noProof/>
              </w:rPr>
              <w:t>1</w:t>
            </w:r>
            <w:r>
              <w:rPr>
                <w:noProof/>
              </w:rPr>
              <w:fldChar w:fldCharType="end"/>
            </w:r>
          </w:hyperlink>
        </w:p>
        <w:p w14:paraId="64C15F7E" w14:textId="77777777" w:rsidR="00104ABC" w:rsidRDefault="00104ABC">
          <w:pPr>
            <w:pStyle w:val="TOC2"/>
            <w:tabs>
              <w:tab w:val="right" w:leader="dot" w:pos="9350"/>
            </w:tabs>
            <w:rPr>
              <w:noProof/>
            </w:rPr>
          </w:pPr>
          <w:hyperlink w:anchor="_Toc232765421" w:history="1">
            <w:r w:rsidRPr="00E435F4">
              <w:rPr>
                <w:rStyle w:val="Hyperlink"/>
                <w:noProof/>
              </w:rPr>
              <w:t>21.1 — The Doctrinal Comparison Table</w:t>
            </w:r>
            <w:r>
              <w:rPr>
                <w:noProof/>
              </w:rPr>
              <w:tab/>
            </w:r>
            <w:r>
              <w:rPr>
                <w:noProof/>
              </w:rPr>
              <w:fldChar w:fldCharType="begin"/>
            </w:r>
            <w:r>
              <w:rPr>
                <w:noProof/>
              </w:rPr>
              <w:instrText xml:space="preserve"> PAGEREF _Toc232765421 \h </w:instrText>
            </w:r>
            <w:r>
              <w:rPr>
                <w:noProof/>
              </w:rPr>
            </w:r>
            <w:r>
              <w:rPr>
                <w:noProof/>
              </w:rPr>
              <w:fldChar w:fldCharType="separate"/>
            </w:r>
            <w:r>
              <w:rPr>
                <w:noProof/>
              </w:rPr>
              <w:t>1</w:t>
            </w:r>
            <w:r>
              <w:rPr>
                <w:noProof/>
              </w:rPr>
              <w:fldChar w:fldCharType="end"/>
            </w:r>
          </w:hyperlink>
        </w:p>
        <w:p w14:paraId="69795038" w14:textId="77777777" w:rsidR="00104ABC" w:rsidRDefault="00104ABC">
          <w:pPr>
            <w:pStyle w:val="TOC2"/>
            <w:tabs>
              <w:tab w:val="right" w:leader="dot" w:pos="9350"/>
            </w:tabs>
            <w:rPr>
              <w:noProof/>
            </w:rPr>
          </w:pPr>
          <w:hyperlink w:anchor="_Toc232765422" w:history="1">
            <w:r w:rsidRPr="00E435F4">
              <w:rPr>
                <w:rStyle w:val="Hyperlink"/>
                <w:noProof/>
              </w:rPr>
              <w:t>21.2 — The Root of All Differences: The Epistemological Divide</w:t>
            </w:r>
            <w:r>
              <w:rPr>
                <w:noProof/>
              </w:rPr>
              <w:tab/>
            </w:r>
            <w:r>
              <w:rPr>
                <w:noProof/>
              </w:rPr>
              <w:fldChar w:fldCharType="begin"/>
            </w:r>
            <w:r>
              <w:rPr>
                <w:noProof/>
              </w:rPr>
              <w:instrText xml:space="preserve"> PAGEREF _Toc232765422 \h </w:instrText>
            </w:r>
            <w:r>
              <w:rPr>
                <w:noProof/>
              </w:rPr>
            </w:r>
            <w:r>
              <w:rPr>
                <w:noProof/>
              </w:rPr>
              <w:fldChar w:fldCharType="separate"/>
            </w:r>
            <w:r>
              <w:rPr>
                <w:noProof/>
              </w:rPr>
              <w:t>1</w:t>
            </w:r>
            <w:r>
              <w:rPr>
                <w:noProof/>
              </w:rPr>
              <w:fldChar w:fldCharType="end"/>
            </w:r>
          </w:hyperlink>
        </w:p>
        <w:p w14:paraId="6E076050" w14:textId="77777777" w:rsidR="00104ABC" w:rsidRDefault="00104ABC">
          <w:pPr>
            <w:pStyle w:val="TOC2"/>
            <w:tabs>
              <w:tab w:val="right" w:leader="dot" w:pos="9350"/>
            </w:tabs>
            <w:rPr>
              <w:noProof/>
            </w:rPr>
          </w:pPr>
          <w:hyperlink w:anchor="_Toc232765423" w:history="1">
            <w:r w:rsidRPr="00E435F4">
              <w:rPr>
                <w:rStyle w:val="Hyperlink"/>
                <w:noProof/>
              </w:rPr>
              <w:t>21.3 — The Gospel Question: Assurance, Justification, and the Throne of Grace</w:t>
            </w:r>
            <w:r>
              <w:rPr>
                <w:noProof/>
              </w:rPr>
              <w:tab/>
            </w:r>
            <w:r>
              <w:rPr>
                <w:noProof/>
              </w:rPr>
              <w:fldChar w:fldCharType="begin"/>
            </w:r>
            <w:r>
              <w:rPr>
                <w:noProof/>
              </w:rPr>
              <w:instrText xml:space="preserve"> PAGEREF _Toc232765423 \h </w:instrText>
            </w:r>
            <w:r>
              <w:rPr>
                <w:noProof/>
              </w:rPr>
            </w:r>
            <w:r>
              <w:rPr>
                <w:noProof/>
              </w:rPr>
              <w:fldChar w:fldCharType="separate"/>
            </w:r>
            <w:r>
              <w:rPr>
                <w:noProof/>
              </w:rPr>
              <w:t>1</w:t>
            </w:r>
            <w:r>
              <w:rPr>
                <w:noProof/>
              </w:rPr>
              <w:fldChar w:fldCharType="end"/>
            </w:r>
          </w:hyperlink>
        </w:p>
        <w:p w14:paraId="2C06D373" w14:textId="77777777" w:rsidR="00104ABC" w:rsidRDefault="00104ABC">
          <w:pPr>
            <w:pStyle w:val="TOC2"/>
            <w:tabs>
              <w:tab w:val="right" w:leader="dot" w:pos="9350"/>
            </w:tabs>
            <w:rPr>
              <w:noProof/>
            </w:rPr>
          </w:pPr>
          <w:hyperlink w:anchor="_Toc232765424" w:history="1">
            <w:r w:rsidRPr="00E435F4">
              <w:rPr>
                <w:rStyle w:val="Hyperlink"/>
                <w:noProof/>
              </w:rPr>
              <w:t>21.4 — A Direct Address to Eastern Orthodox Believers</w:t>
            </w:r>
            <w:r>
              <w:rPr>
                <w:noProof/>
              </w:rPr>
              <w:tab/>
            </w:r>
            <w:r>
              <w:rPr>
                <w:noProof/>
              </w:rPr>
              <w:fldChar w:fldCharType="begin"/>
            </w:r>
            <w:r>
              <w:rPr>
                <w:noProof/>
              </w:rPr>
              <w:instrText xml:space="preserve"> PAGEREF _Toc232765424 \h </w:instrText>
            </w:r>
            <w:r>
              <w:rPr>
                <w:noProof/>
              </w:rPr>
            </w:r>
            <w:r>
              <w:rPr>
                <w:noProof/>
              </w:rPr>
              <w:fldChar w:fldCharType="separate"/>
            </w:r>
            <w:r>
              <w:rPr>
                <w:noProof/>
              </w:rPr>
              <w:t>1</w:t>
            </w:r>
            <w:r>
              <w:rPr>
                <w:noProof/>
              </w:rPr>
              <w:fldChar w:fldCharType="end"/>
            </w:r>
          </w:hyperlink>
        </w:p>
        <w:p w14:paraId="1CEABC52" w14:textId="77777777" w:rsidR="00104ABC" w:rsidRDefault="00104ABC">
          <w:pPr>
            <w:pStyle w:val="TOC2"/>
            <w:tabs>
              <w:tab w:val="right" w:leader="dot" w:pos="9350"/>
            </w:tabs>
            <w:rPr>
              <w:noProof/>
            </w:rPr>
          </w:pPr>
          <w:hyperlink w:anchor="_Toc232765425" w:history="1">
            <w:r w:rsidRPr="00E435F4">
              <w:rPr>
                <w:rStyle w:val="Hyperlink"/>
                <w:noProof/>
              </w:rPr>
              <w:t>21.5 — Closing Doxology</w:t>
            </w:r>
            <w:r>
              <w:rPr>
                <w:noProof/>
              </w:rPr>
              <w:tab/>
            </w:r>
            <w:r>
              <w:rPr>
                <w:noProof/>
              </w:rPr>
              <w:fldChar w:fldCharType="begin"/>
            </w:r>
            <w:r>
              <w:rPr>
                <w:noProof/>
              </w:rPr>
              <w:instrText xml:space="preserve"> PAGEREF _Toc232765425 \h </w:instrText>
            </w:r>
            <w:r>
              <w:rPr>
                <w:noProof/>
              </w:rPr>
            </w:r>
            <w:r>
              <w:rPr>
                <w:noProof/>
              </w:rPr>
              <w:fldChar w:fldCharType="separate"/>
            </w:r>
            <w:r>
              <w:rPr>
                <w:noProof/>
              </w:rPr>
              <w:t>1</w:t>
            </w:r>
            <w:r>
              <w:rPr>
                <w:noProof/>
              </w:rPr>
              <w:fldChar w:fldCharType="end"/>
            </w:r>
          </w:hyperlink>
        </w:p>
        <w:p w14:paraId="74474B96" w14:textId="77777777" w:rsidR="000E133F" w:rsidRDefault="00EC5ECA">
          <w:r>
            <w:fldChar w:fldCharType="end"/>
          </w:r>
        </w:p>
      </w:sdtContent>
    </w:sdt>
    <w:p w14:paraId="6E2BA35D" w14:textId="77777777" w:rsidR="000E133F" w:rsidRDefault="00EC5ECA">
      <w:r>
        <w:br w:type="page"/>
      </w:r>
    </w:p>
    <w:p w14:paraId="1B2719F4" w14:textId="77777777" w:rsidR="000E133F" w:rsidRDefault="00EC5ECA">
      <w:r>
        <w:lastRenderedPageBreak/>
        <w:br w:type="page"/>
      </w:r>
    </w:p>
    <w:p w14:paraId="461B6029" w14:textId="77777777" w:rsidR="000E133F" w:rsidRDefault="00EC5ECA">
      <w:r>
        <w:lastRenderedPageBreak/>
        <w:t xml:space="preserve"> </w:t>
      </w:r>
    </w:p>
    <w:p w14:paraId="2344D96A" w14:textId="77777777" w:rsidR="000E133F" w:rsidRDefault="00EC5ECA">
      <w:r>
        <w:t xml:space="preserve"> </w:t>
      </w:r>
    </w:p>
    <w:p w14:paraId="23558D27" w14:textId="77777777" w:rsidR="000E133F" w:rsidRDefault="00EC5ECA">
      <w:r>
        <w:t xml:space="preserve"> </w:t>
      </w:r>
    </w:p>
    <w:p w14:paraId="2414DC40" w14:textId="77777777" w:rsidR="000E133F" w:rsidRDefault="00EC5ECA">
      <w:r>
        <w:t xml:space="preserve"> </w:t>
      </w:r>
    </w:p>
    <w:p w14:paraId="4F5236E0" w14:textId="77777777" w:rsidR="000E133F" w:rsidRDefault="00EC5ECA">
      <w:r>
        <w:t xml:space="preserve"> </w:t>
      </w:r>
    </w:p>
    <w:p w14:paraId="20100EFC" w14:textId="77777777" w:rsidR="000E133F" w:rsidRDefault="00EC5ECA">
      <w:r>
        <w:t xml:space="preserve"> </w:t>
      </w:r>
    </w:p>
    <w:p w14:paraId="231BAAB2" w14:textId="77777777" w:rsidR="000E133F" w:rsidRDefault="00EC5ECA">
      <w:r>
        <w:t xml:space="preserve"> </w:t>
      </w:r>
    </w:p>
    <w:p w14:paraId="77703DA3" w14:textId="77777777" w:rsidR="000E133F" w:rsidRDefault="00EC5ECA">
      <w:pPr>
        <w:pBdr>
          <w:bottom w:val="single" w:sz="6" w:space="0" w:color="1E3A4F"/>
        </w:pBdr>
        <w:spacing w:after="200"/>
        <w:jc w:val="center"/>
      </w:pPr>
      <w:r>
        <w:rPr>
          <w:b/>
          <w:bCs/>
          <w:caps/>
          <w:color w:val="1E3A4F"/>
          <w:sz w:val="56"/>
          <w:szCs w:val="56"/>
        </w:rPr>
        <w:t>PART ONE</w:t>
      </w:r>
    </w:p>
    <w:p w14:paraId="27F9814A" w14:textId="77777777" w:rsidR="000E133F" w:rsidRDefault="00EC5ECA">
      <w:r>
        <w:t xml:space="preserve"> </w:t>
      </w:r>
    </w:p>
    <w:p w14:paraId="29E1BD17" w14:textId="77777777" w:rsidR="000E133F" w:rsidRDefault="00EC5ECA">
      <w:pPr>
        <w:spacing w:after="120"/>
        <w:jc w:val="center"/>
      </w:pPr>
      <w:r>
        <w:rPr>
          <w:i/>
          <w:iCs/>
          <w:color w:val="222222"/>
          <w:sz w:val="30"/>
          <w:szCs w:val="30"/>
        </w:rPr>
        <w:t>The Eastern Orthodox Tradition</w:t>
      </w:r>
    </w:p>
    <w:p w14:paraId="541FE097" w14:textId="77777777" w:rsidR="000E133F" w:rsidRDefault="00EC5ECA">
      <w:pPr>
        <w:jc w:val="center"/>
      </w:pPr>
      <w:r>
        <w:rPr>
          <w:color w:val="666666"/>
        </w:rPr>
        <w:t>History · Theology · Sacraments · Spirituality · Ecumenism</w:t>
      </w:r>
    </w:p>
    <w:p w14:paraId="65F7D466" w14:textId="77777777" w:rsidR="000E133F" w:rsidRDefault="00EC5ECA">
      <w:r>
        <w:br w:type="page"/>
      </w:r>
    </w:p>
    <w:p w14:paraId="6F9C3B32" w14:textId="77777777" w:rsidR="000E133F" w:rsidRDefault="00EC5ECA">
      <w:pPr>
        <w:pStyle w:val="Heading1"/>
        <w:pageBreakBefore/>
      </w:pPr>
      <w:bookmarkStart w:id="2" w:name="_Toc232765229"/>
      <w:r>
        <w:lastRenderedPageBreak/>
        <w:t>EASTERN ORTHODOXY: A SEMINARY-LEVEL THEOLOGICAL TREATISE</w:t>
      </w:r>
      <w:bookmarkEnd w:id="2"/>
    </w:p>
    <w:p w14:paraId="5797EDD1" w14:textId="77777777" w:rsidR="000E133F" w:rsidRDefault="00EC5ECA">
      <w:pPr>
        <w:pStyle w:val="Heading2"/>
      </w:pPr>
      <w:bookmarkStart w:id="3" w:name="_Toc232765230"/>
      <w:r>
        <w:t>Part One: History, Ecclesiology, and Theology Proper</w:t>
      </w:r>
      <w:bookmarkEnd w:id="3"/>
    </w:p>
    <w:p w14:paraId="7A8B401E" w14:textId="77777777" w:rsidR="000E133F" w:rsidRDefault="00EC5ECA">
      <w:pPr>
        <w:spacing w:before="60" w:after="140" w:line="360" w:lineRule="auto"/>
      </w:pPr>
      <w:r>
        <w:rPr>
          <w:i/>
          <w:iCs/>
        </w:rPr>
        <w:t>A doctoral-level monograph in Eastern Orthodox studies. All primary-source quotations are drawn from standard critical editions and authorized translations. Patristic texts are cited from the Nicene and Post-Nicene Fathers (NPNF) series, Migne's Patrologia Graeca (PG), and specialized critical editions as noted. Conciliar texts are cited from Nicene and Post-Nicene Fathers, Second Series, Vol. XIV (Percival, ed.), and from the critical edition in Mansi's Sacrorum Conciliorum Nova et Amplissima Collectio.</w:t>
      </w:r>
    </w:p>
    <w:p w14:paraId="4B27ACE5" w14:textId="77777777" w:rsidR="000E133F" w:rsidRDefault="00EC5ECA">
      <w:pPr>
        <w:pStyle w:val="Heading1"/>
        <w:pageBreakBefore/>
      </w:pPr>
      <w:bookmarkStart w:id="4" w:name="_Toc232765231"/>
      <w:r>
        <w:lastRenderedPageBreak/>
        <w:t>CHAPTER ONE</w:t>
      </w:r>
      <w:bookmarkEnd w:id="4"/>
    </w:p>
    <w:p w14:paraId="4C20998B" w14:textId="77777777" w:rsidR="000E133F" w:rsidRDefault="00EC5ECA">
      <w:pPr>
        <w:pStyle w:val="Heading1"/>
        <w:pageBreakBefore/>
      </w:pPr>
      <w:bookmarkStart w:id="5" w:name="_Toc232765232"/>
      <w:r>
        <w:lastRenderedPageBreak/>
        <w:t>THE HISTORICAL ORIGINS AND DEVELOPMENT OF EASTERN ORTHODOXY</w:t>
      </w:r>
      <w:bookmarkEnd w:id="5"/>
    </w:p>
    <w:p w14:paraId="19AF46DC" w14:textId="77777777" w:rsidR="000E133F" w:rsidRDefault="00EC5ECA">
      <w:pPr>
        <w:pStyle w:val="Heading2"/>
      </w:pPr>
      <w:bookmarkStart w:id="6" w:name="_Toc232765233"/>
      <w:r>
        <w:t>1.1 The Apostolic Foundations of the Great Sees</w:t>
      </w:r>
      <w:bookmarkEnd w:id="6"/>
    </w:p>
    <w:p w14:paraId="743E25D5" w14:textId="77777777" w:rsidR="000E133F" w:rsidRDefault="00EC5ECA">
      <w:pPr>
        <w:spacing w:before="60" w:after="140" w:line="360" w:lineRule="auto"/>
      </w:pPr>
      <w:r>
        <w:t xml:space="preserve">The Eastern Orthodox Church does not understand itself as one denomination among many, nor as the product of a particular historical reformation or theological school. It understands itself as the continuation, unbroken and identical, of the Church founded by Jesus Christ through His apostles on the day of Pentecost. This self-understanding is not merely a pious conviction; it is a precise theological claim with far-reaching ecclesiological consequences, and it shapes every dimension of Orthodox historical </w:t>
      </w:r>
      <w:r>
        <w:t>consciousness. To understand the history of Eastern Orthodoxy is therefore to understand, first, the theology of apostolicity — the doctrine that the Church exists in and through succession from the apostles, not only in terms of doctrine but in terms of sacramental order, episcopal governance, and the living transmission of the apostolic life itself.</w:t>
      </w:r>
    </w:p>
    <w:p w14:paraId="0F3E5A43" w14:textId="77777777" w:rsidR="000E133F" w:rsidRDefault="00EC5ECA">
      <w:pPr>
        <w:spacing w:before="60" w:after="140" w:line="360" w:lineRule="auto"/>
      </w:pPr>
      <w:r>
        <w:t>The earliest documentary evidence for the structure of the apostolic Church comes not from the New Testament canon alone — though the Pastoral Epistles (1 Timothy, Titus) presuppose an ordered ministry of bishops (</w:t>
      </w:r>
      <w:r>
        <w:rPr>
          <w:i/>
          <w:iCs/>
        </w:rPr>
        <w:t>episkopoi</w:t>
      </w:r>
      <w:r>
        <w:t>), elders (</w:t>
      </w:r>
      <w:r>
        <w:rPr>
          <w:i/>
          <w:iCs/>
        </w:rPr>
        <w:t>presbyteroi</w:t>
      </w:r>
      <w:r>
        <w:t>), and deacons (</w:t>
      </w:r>
      <w:r>
        <w:rPr>
          <w:i/>
          <w:iCs/>
        </w:rPr>
        <w:t>diakonoi</w:t>
      </w:r>
      <w:r>
        <w:t>) — but from the letters of Ignatius of Antioch, written between roughly 107 and 110 AD during his journey to martyrdom in Rome. These letters constitute perhaps the most important source for early Christian ecclesiology, and they are foundational for the Orthodox understanding of the bishop's office. In his letter to the Smyrnaeans, Ignatius writes with a directness about the monarchical episcopate that has no parallel in any earlier Christian text: "L</w:t>
      </w:r>
      <w:r>
        <w:t>et no one do anything that pertains to the Church apart from the bishop. Let that Eucharist be considered valid which is under the bishop or the one to whom he entrusts it. Wherever the bishop appears, there let the congregation be, just as wherever Jesus Christ is, there is the Catholic Church" (</w:t>
      </w:r>
      <w:r>
        <w:rPr>
          <w:i/>
          <w:iCs/>
        </w:rPr>
        <w:t>Smyrnaeans</w:t>
      </w:r>
      <w:r>
        <w:t xml:space="preserve"> 8.2). The force of this passage is total. Ignatius does not speak of the bishop as an administrator or a presiding officer of a committee; he speaks of the bishop as the living locus of the Catholic Chur</w:t>
      </w:r>
      <w:r>
        <w:t>ch in a particular place. Where the bishop is, there is the Church; and where the Church is, there Christ is.</w:t>
      </w:r>
    </w:p>
    <w:p w14:paraId="661975CF" w14:textId="77777777" w:rsidR="000E133F" w:rsidRDefault="00EC5ECA">
      <w:pPr>
        <w:spacing w:before="60" w:after="140" w:line="360" w:lineRule="auto"/>
      </w:pPr>
      <w:r>
        <w:lastRenderedPageBreak/>
        <w:t xml:space="preserve">This identification is not a merely functional description. It is an ontological one. The bishop presides at the Eucharist, and the Eucharist is the act that constitutes the Church as the Body of Christ. Therefore the bishop, in his eucharistic presidency, is the visible representation of Christ the High Priest in the midst of His people. John Zizioulas, the Metropolitan of Pergamon and the most important Orthodox ecclesiologist of the twentieth century, built his landmark study </w:t>
      </w:r>
      <w:r>
        <w:rPr>
          <w:i/>
          <w:iCs/>
        </w:rPr>
        <w:t>Being as Communion</w:t>
      </w:r>
      <w:r>
        <w:t xml:space="preserve"> (1985) upon precisely this Ignatian insight. For Zizioulas, the local church gathered around its bishop for the Eucharist is not a fragment or a branch of the universal Church; it is the fullness of the Catholic Church in a particular place. The Church is not first a universal entity that then divides itself into local manifestations; it is constituted from below, eucharistically, in each local gathering, and it is the communion of these local eucharistic assemblies — each of which is alr</w:t>
      </w:r>
      <w:r>
        <w:t>eady fully the Church — that constitutes the universal Church. This theology has profound consequences for any understanding of ecclesial primacy: if each local church is already the fullness of the Catholic Church, then no single bishop can claim a jurisdictional authority over all other bishops that exceeds the collegial and eucharistic relationship. The primacy of any bishop, including Rome, can only be a primacy of honor and pastoral service within this communion of communions, never a universal ordinar</w:t>
      </w:r>
      <w:r>
        <w:t>y jurisdiction that would effectively reduce all other bishops to the status of vicars of a single supreme pontiff.</w:t>
      </w:r>
    </w:p>
    <w:p w14:paraId="79C96C40" w14:textId="77777777" w:rsidR="000E133F" w:rsidRDefault="00EC5ECA">
      <w:pPr>
        <w:spacing w:before="60" w:after="140" w:line="360" w:lineRule="auto"/>
      </w:pPr>
      <w:r>
        <w:t>Ignatius returns to the same theme in his letter to the Trallians. Addressing a church threatened by docetist heretics, he writes: "Be subject to the bishop as to the Lord, for he watches over you as one who must give account to God. I urge you, therefore — not I but the love of Jesus Christ — use only Christian nourishment, abstaining from the strange plant which is heresy... For those that are of God and of Jesus Christ are also with the bishop" (</w:t>
      </w:r>
      <w:r>
        <w:rPr>
          <w:i/>
          <w:iCs/>
        </w:rPr>
        <w:t>Trallians</w:t>
      </w:r>
      <w:r>
        <w:t xml:space="preserve"> 3). The heresy Ignatius fears — docetism, which denied the reality of Christ's flesh — is precisely the heresy that threatens the Eucharist. If Christ's body was not real, then the Eucharist is nothing. The bishop's role as president of the Eucharistic assembly is therefore directly tied to doctrinal orthodoxy: the bishop is the guardian of the Eucharist and therefore the guardian of the faith. This theological nexus between episcopal office, eucharistic presidency, doctrinal fidelity, and the vis</w:t>
      </w:r>
      <w:r>
        <w:t>ibility of the Church is the heart of the Orthodox theology of apostolic succession.</w:t>
      </w:r>
    </w:p>
    <w:p w14:paraId="3F4ABC3A" w14:textId="77777777" w:rsidR="000E133F" w:rsidRDefault="00EC5ECA">
      <w:pPr>
        <w:spacing w:before="60" w:after="140" w:line="360" w:lineRule="auto"/>
      </w:pPr>
      <w:r>
        <w:lastRenderedPageBreak/>
        <w:t>In his letter to the Magnesians, Ignatius extends this theology further, grounding it explicitly in the eternal order of the Trinity: "As therefore the Lord did nothing without the Father — being united with him — neither on his own nor through the apostles, so neither should you do anything without the bishop and the elders. Do not attempt to make anything appear right for you on your own; but, let there be one prayer, one supplication, one mind, one hope, in love and joy unblemished. For there is one Jesu</w:t>
      </w:r>
      <w:r>
        <w:t>s Christ, beyond whom nothing is better. So rush together, as to one temple of God, to one altar, to one Jesus Christ, who came forth from one Father, who is in one and returned to one" (</w:t>
      </w:r>
      <w:r>
        <w:rPr>
          <w:i/>
          <w:iCs/>
        </w:rPr>
        <w:t>Magnesians</w:t>
      </w:r>
      <w:r>
        <w:t xml:space="preserve"> 6–7). The Trinitarian and ecclesial are here explicitly correlated: the Father-Son-Spirit unity within God is the archetype and ground of the bishop-presbyters-deacons unity within the Church. This is not an analogy; it is an identity of structure. The Church's order reflects and participates in the divine order.</w:t>
      </w:r>
    </w:p>
    <w:p w14:paraId="3123C2FB" w14:textId="77777777" w:rsidR="000E133F" w:rsidRDefault="00EC5ECA">
      <w:pPr>
        <w:spacing w:before="60" w:after="140" w:line="360" w:lineRule="auto"/>
      </w:pPr>
      <w:r>
        <w:t xml:space="preserve">Georges Florovsky, the great twentieth-century Orthodox theologian who more than any other thinker established the terms of the contemporary Orthodox theological discussion, drew a critical distinction in his essays on ecclesiology between two dimensions of apostolicity: apostolicity as the transmission of authentic doctrine and apostolicity as the continuity of ministerial succession. In his essay "The Catholicity of the Church," Florovsky insists that these two cannot ultimately be separated: "The Church </w:t>
      </w:r>
      <w:r>
        <w:t xml:space="preserve">is apostolic because it stands in the apostolic succession, not as a legal institution but as a living organism. The tradition is transmitted not merely as a set of propositions but as a life — the life of Christ in His Body." For Florovsky, the danger of reducing apostolicity to a purely juridical succession — a chain of valid ordinations — is that it evacuates the concept of its living content. The chain of succession is the vessel; the apostolic faith is what the vessel carries. A church that maintained </w:t>
      </w:r>
      <w:r>
        <w:t>an unbroken chain of episcopal ordinations while abandoning the apostolic faith would not truly be apostolic in the Orthodox sense. Conversely, a community that preserved the apostolic faith but had broken the continuous sacramental succession from the apostles would lack the ecclesial structure through which the apostolic life is transmitted. Both are necessary; neither alone suffices.</w:t>
      </w:r>
    </w:p>
    <w:p w14:paraId="43FBDCB8" w14:textId="77777777" w:rsidR="000E133F" w:rsidRDefault="00EC5ECA">
      <w:pPr>
        <w:spacing w:before="60" w:after="140" w:line="360" w:lineRule="auto"/>
      </w:pPr>
      <w:r>
        <w:t xml:space="preserve">The theological significance of the great apostolic sees — Jerusalem, Antioch, Alexandria, Constantinople, and Rome — derives precisely from this twofold </w:t>
      </w:r>
      <w:r>
        <w:lastRenderedPageBreak/>
        <w:t xml:space="preserve">understanding of apostolicity. Each see is significant not merely because of historical prestige or imperial geography but because of its connection to the apostolic origins and its theological tradition. Jerusalem holds the unique distinction of being the Mother Church, the site of the Passion, Resurrection, and Pentecost, and the church of James the Lord's Brother, who presided as the first bishop. Canon 7 of the First Council of Nicaea (325) formally acknowledged Jerusalem's honor, though it did not yet </w:t>
      </w:r>
      <w:r>
        <w:t>give it patriarchal status in the strict sense: "Since custom and ancient tradition have prevailed that the Bishop of Aelia [Jerusalem] should be honored, let him have the next place of honor, after the Metropolitan" — the Metropolitan being Caesarea, the civil capital of Palestine. The honor of Jerusalem was thus acknowledged even then as rooted not in administrative or political considerations but in the theological significance of the place where salvation was accomplished.</w:t>
      </w:r>
    </w:p>
    <w:p w14:paraId="304F47E6" w14:textId="77777777" w:rsidR="000E133F" w:rsidRDefault="00EC5ECA">
      <w:pPr>
        <w:spacing w:before="60" w:after="140" w:line="360" w:lineRule="auto"/>
      </w:pPr>
      <w:r>
        <w:t>Antioch is the second of the great sees in apostolic prestige, having been founded by the preaching of Peter and Paul (Acts 11:20–26; 13:1–3), and it was here that the disciples of Christ were first called Christians. Ignatius of Antioch, who is both its bishop and its theologian par excellence, represents the Antiochene tradition at its most luminous — a tradition of episcopal theology, liturgical richness, and incarnational realism that would profoundly shape Syrian and Palestinian Christianity. The Antio</w:t>
      </w:r>
      <w:r>
        <w:t>chene theological school, as distinct from the Alexandrian school, tends toward what modern scholarship calls a "Word-Man" Christology: it emphasizes the full, complete humanity of Christ and the distinction between the divine and human natures, a tradition that would eventually produce the Nestorian controversy and, in its orthodox form, the Chalcedonian settlement.</w:t>
      </w:r>
    </w:p>
    <w:p w14:paraId="6C862036" w14:textId="77777777" w:rsidR="000E133F" w:rsidRDefault="00EC5ECA">
      <w:pPr>
        <w:spacing w:before="60" w:after="140" w:line="360" w:lineRule="auto"/>
      </w:pPr>
      <w:r>
        <w:t xml:space="preserve">Alexandria, founded by the evangelist Mark (tradition maintains he arrived in Egypt around AD 43–48), became the intellectual capital of early Christianity. The Catechetical School of Alexandria, under Clement (c. 150–215) and especially Origen (c. 184–253), produced the most sophisticated synthesis of Christian theology and Greek philosophy in antiquity. Origen's biblical scholarship and his speculative theology — controversial in many of its conclusions but extraordinarily fecund in its methods — set the </w:t>
      </w:r>
      <w:r>
        <w:t xml:space="preserve">agenda for Christian intellectual life for centuries. The Alexandrian theological tradition tends toward what modern scholarship calls a "Word-flesh" Christology: it </w:t>
      </w:r>
      <w:r>
        <w:lastRenderedPageBreak/>
        <w:t>emphasizes the divine Word's immediate union with human flesh in the Incarnation, a tradition that would produce Athanasius's trinitarian theology, Cyril's theology of the Theotokos, and, in its extreme monophysite form, the Eutychian heresy condemned at Chalcedon.</w:t>
      </w:r>
    </w:p>
    <w:p w14:paraId="708EB9C4" w14:textId="77777777" w:rsidR="000E133F" w:rsidRDefault="00EC5ECA">
      <w:pPr>
        <w:spacing w:before="60" w:after="140" w:line="360" w:lineRule="auto"/>
      </w:pPr>
      <w:r>
        <w:t>Constantinople, unlike the other great sees, has no apostolic founder in the direct historical sense. The city was refounded by Emperor Constantine in 330 AD on the site of the ancient Greek colony of Byzantium, and its ecclesiastical significance grew precisely in proportion to its political significance as the capital of the Eastern Roman Empire. The tradition that the apostle Andrew founded the see of Byzantium — attested from at least the fourth century — was developed precisely to give Constantinople a</w:t>
      </w:r>
      <w:r>
        <w:t>n apostolic pedigree that could legitimate its growing prestige. The First Council of Constantinople (381) acknowledged Constantinople's dignity with Canon 3: "The Bishop of Constantinople shall have the prerogative of honor after the Bishop of Rome, because Constantinople is New Rome." The justification is explicitly political-theological: Constantinople is honored because it is the New Rome, the new imperial capital. This political foundation for Constantinople's dignity became a source of ongoing tension</w:t>
      </w:r>
      <w:r>
        <w:t>, since Rome's primacy was claimed to rest on apostolic authority (Peter and Paul), while Constantinople's honor rested on imperial geography.</w:t>
      </w:r>
    </w:p>
    <w:p w14:paraId="2E7981AD" w14:textId="77777777" w:rsidR="000E133F" w:rsidRDefault="00EC5ECA">
      <w:pPr>
        <w:spacing w:before="60" w:after="140" w:line="360" w:lineRule="auto"/>
      </w:pPr>
      <w:r>
        <w:t>Rome, the fifth and senior patriarchate in terms of honor, held a position of unique prestige from the earliest centuries. Its connection with the martyrdom of both Peter and Paul, its location in the ancient capital of the empire, its early role in defending orthodoxy (Leo I's Tome, the Roman church's resistance to various heresies), and the theological tradition that Peter held a unique primacy among the apostles — all of these contributed to Rome's stature. The Orthodox never disputed Rome's primacy of h</w:t>
      </w:r>
      <w:r>
        <w:t>onor; what they disputed, and what became the fundamental ecclesiological question of the first millennium, was the nature and scope of that primacy. Was it a primacy of honor and pastoral care, serving the communion of churches? Or was it a primacy of universal ordinary jurisdiction, entailing the authority to govern the universal Church directly? These questions will be developed fully in subsequent sections.</w:t>
      </w:r>
    </w:p>
    <w:p w14:paraId="06708BDD" w14:textId="77777777" w:rsidR="000E133F" w:rsidRDefault="00EC5ECA">
      <w:pPr>
        <w:pStyle w:val="Heading2"/>
      </w:pPr>
      <w:bookmarkStart w:id="7" w:name="_Toc232765234"/>
      <w:r>
        <w:t>1.2 The Pentarchy: Theory and Contested Reality</w:t>
      </w:r>
      <w:bookmarkEnd w:id="7"/>
    </w:p>
    <w:p w14:paraId="26B251BD" w14:textId="77777777" w:rsidR="000E133F" w:rsidRDefault="00EC5ECA">
      <w:pPr>
        <w:spacing w:before="60" w:after="140" w:line="360" w:lineRule="auto"/>
      </w:pPr>
      <w:r>
        <w:lastRenderedPageBreak/>
        <w:t>The system of five patriarchates — Rome, Constantinople, Alexandria, Antioch, and Jerusalem — which Eastern Orthodox theology calls the pentarchy, represents the classical ecclesiological settlement of the first millennium: an attempt to organize the universal Church into a coherent structure of honor and coordination without surrendering the fundamental principle of episcopal collegialiy. The formal legal articulation of the pentarchal system came from Emperor Justinian I (r. 527–565), whose Novella 131 (5</w:t>
      </w:r>
      <w:r>
        <w:t>45 AD) enumerates the five sees in their order of honor and entrusts to them collectively the doctrinal integrity and ecclesiastical governance of the Christian oikoumene: "We therefore decree that the most holy Pope of elder Rome shall hold the first place among all the priests, but the most blessed Archbishop of Constantinople, which is New Rome, shall hold the second place after the holy Apostolic See of elder Rome."</w:t>
      </w:r>
    </w:p>
    <w:p w14:paraId="21F678D5" w14:textId="77777777" w:rsidR="000E133F" w:rsidRDefault="00EC5ECA">
      <w:pPr>
        <w:spacing w:before="60" w:after="140" w:line="360" w:lineRule="auto"/>
      </w:pPr>
      <w:r>
        <w:t xml:space="preserve">Justinian's theological vision — developed in collaboration with the theologians of his court and expressed also in his letters and dogmatic decrees — was what the Byzantines called </w:t>
      </w:r>
      <w:r>
        <w:rPr>
          <w:i/>
          <w:iCs/>
        </w:rPr>
        <w:t>symphonia</w:t>
      </w:r>
      <w:r>
        <w:t>: a harmonious coordination of imperial and ecclesiastical authority in the service of the one Christian empire and the one Catholic Church. The emperor is responsible for the right ordering of human affairs in the material world; the Church is responsible for the salvation of souls and the preservation of divine truth. Neither is subordinate to the other in its own sphere; both serve the same ultimate end. In practice, of course, this ideal of symphonia was perpetually unstable: emperors repeatedl</w:t>
      </w:r>
      <w:r>
        <w:t>y intervened in theological controversies, convoked councils, imposed and deposed patriarchs, and attempted to impose theological settlements by imperial decree. The Orthodox tradition's retrospective judgment on this caesaropapist tendency is generally negative, though the theoretical ideal of symphonia itself remains a touchstone for Orthodox political theology.</w:t>
      </w:r>
    </w:p>
    <w:p w14:paraId="07864D90" w14:textId="77777777" w:rsidR="000E133F" w:rsidRDefault="00EC5ECA">
      <w:pPr>
        <w:spacing w:before="60" w:after="140" w:line="360" w:lineRule="auto"/>
      </w:pPr>
      <w:r>
        <w:t>The pentarchal theory carries within it a specific ecclesiological logic that is fundamentally non-monarchical. If the governance of the universal Church is entrusted not to one patriarch but to five, and if no one of those five may act without the consent of the others in matters of universal import, then truth is preserved through the collegial process of reception and judgment rather than through the unilateral decision of a supreme authority. This is, in essence, the theological justification for concil</w:t>
      </w:r>
      <w:r>
        <w:t xml:space="preserve">iarity: no </w:t>
      </w:r>
      <w:r>
        <w:lastRenderedPageBreak/>
        <w:t>individual, however exalted, can determine doctrinal truth alone; truth is received through the Spirit-guided consensus of the whole body. The pentarchy is thus the practical expression, at the level of universal church governance, of the same collegial principle that governs the relation of the bishop to his synod of presbyters at the local level.</w:t>
      </w:r>
    </w:p>
    <w:p w14:paraId="465A3A0B" w14:textId="77777777" w:rsidR="000E133F" w:rsidRDefault="00EC5ECA">
      <w:pPr>
        <w:spacing w:before="60" w:after="140" w:line="360" w:lineRule="auto"/>
      </w:pPr>
      <w:r>
        <w:t>The tensions within this theory were apparent from the beginning. Canon 6 of the First Council of Nicaea (325) recognized the exceptional authority of the bishops of Rome, Alexandria, and Antioch, grounding their prerogatives in ancient custom: "Let the ancient customs in Egypt, Libya and Pentapolis prevail, that the Bishop of Alexandria have jurisdiction in all these, since the like is customary for the Bishop of Rome also. Likewise in Antioch and the other provinces, let the Churches retain their privileg</w:t>
      </w:r>
      <w:r>
        <w:t>es." No mention is made here of Jerusalem, and Constantinople does not yet exist. The canon is grounding ecclesiastical authority in apostolic custom and historical precedent — not in any theory of universal jurisdiction. Rome's authority over its region is analogous to Alexandria's authority over its region; both are regional, not universal.</w:t>
      </w:r>
    </w:p>
    <w:p w14:paraId="0E71A2B3" w14:textId="77777777" w:rsidR="000E133F" w:rsidRDefault="00EC5ECA">
      <w:pPr>
        <w:spacing w:before="60" w:after="140" w:line="360" w:lineRule="auto"/>
      </w:pPr>
      <w:r>
        <w:t>The Council of Chalcedon (451) produced the most significant and controversial statement of Constantinople's prerogatives in Canon 28, which extended the logic of the First Council of Constantinople to its fullest expression: "Following in all things the decisions of the holy Fathers, and acknowledging the canon, which has been just read, of the One Hundred and Fifty Bishops beloved-of-God who assembled in the imperial city of Constantinople, which is New Rome, in the time of the Emperor Theodosius of happy</w:t>
      </w:r>
      <w:r>
        <w:t xml:space="preserve"> memory, we also do enact and decree the same things concerning the privileges of the most holy Church of that same Constantinople, which is New Rome. For the Fathers rightly granted privileges to the throne of old Rome, because it was the royal city. And the One Hundred and Fifty most religious Bishops, actuated by the same consideration, gave equal privileges to the most holy throne of New Rome, justly judging that the city which is honored with the Sovereignty and the Senate, and enjoys equal privileges </w:t>
      </w:r>
      <w:r>
        <w:t xml:space="preserve">with the old imperial Rome, should in ecclesiastical matters also be magnified as she is, and rank next after her; so that, in the Pontic, the Asian, and the Thracian dioceses, the metropolitans only, as well as the bishops of the aforesaid dioceses that are among the </w:t>
      </w:r>
      <w:r>
        <w:lastRenderedPageBreak/>
        <w:t>Barbarians, should be ordained by the aforesaid most holy throne of the most holy Church of Constantinople."</w:t>
      </w:r>
    </w:p>
    <w:p w14:paraId="387B5351" w14:textId="77777777" w:rsidR="000E133F" w:rsidRDefault="00EC5ECA">
      <w:pPr>
        <w:spacing w:before="60" w:after="140" w:line="360" w:lineRule="auto"/>
      </w:pPr>
      <w:r>
        <w:t>The Roman legates at Chalcedon explicitly protested Canon 28 and refused to accept it. Pope Leo I subsequently rejected it, writing to the Empress Pulcheria that the canon violated the decisions of the Council of Nicaea, which assigned the order of honor among the patriarchates. Leo's theological argument was that Rome's primacy was not based on its imperial status — that would make it contingent on political fortune — but on its apostolic foundation in Peter: "Let him be satisfied, as we have said, with th</w:t>
      </w:r>
      <w:r>
        <w:t>e privileges of the city of Antioch, in which the Lord's Apostle Peter first maintained the headship of the Christian name; and let him not despise a city of that sort, to the dignity of which, next after Rome and Alexandria, the second place was secured at the Council of Nicaea."</w:t>
      </w:r>
    </w:p>
    <w:p w14:paraId="6E381D4B" w14:textId="77777777" w:rsidR="000E133F" w:rsidRDefault="00EC5ECA">
      <w:pPr>
        <w:spacing w:before="60" w:after="140" w:line="360" w:lineRule="auto"/>
      </w:pPr>
      <w:r>
        <w:t>This controversy reveals the fundamental fault line that would eventually produce the Great Schism: Rome's claim that its primacy rests on the apostolic foundation of Peter's authority, transmitted to each Bishop of Rome, places Roman primacy on an entirely different theological basis from the pentarchal theory. The pentarchal theory grounds authority in the collegial structure of the five sees; the Roman theory grounds authority in the direct inheritance of Petrine jurisdiction. These are not merely differ</w:t>
      </w:r>
      <w:r>
        <w:t xml:space="preserve">ent practical arrangements; they embody different ecclesiologies. For the Orthodox, the Bishop of Rome is the first of the five patriarchs, presiding over the college as its </w:t>
      </w:r>
      <w:r>
        <w:rPr>
          <w:i/>
          <w:iCs/>
        </w:rPr>
        <w:t>protos</w:t>
      </w:r>
      <w:r>
        <w:t xml:space="preserve"> — its first — but not governing the whole Church as a monarch governs a kingdom. For the developing Roman theory, the Pope is the Vicar of Christ, holding the fullness of episcopal power over the universal Church, and all other bishops exercise their authority as participants in his fullness. The Council of Chalcedon's Canon 28, </w:t>
      </w:r>
      <w:r>
        <w:t>and Rome's rejection of it, placed these two ecclesiologies in direct and permanent confrontation.</w:t>
      </w:r>
    </w:p>
    <w:p w14:paraId="79C8C266" w14:textId="77777777" w:rsidR="000E133F" w:rsidRDefault="00EC5ECA">
      <w:pPr>
        <w:pStyle w:val="Heading2"/>
      </w:pPr>
      <w:bookmarkStart w:id="8" w:name="_Toc232765235"/>
      <w:r>
        <w:t>1.3 The Photian Schism (863–880): The First Great Rupture</w:t>
      </w:r>
      <w:bookmarkEnd w:id="8"/>
    </w:p>
    <w:p w14:paraId="25D6C282" w14:textId="77777777" w:rsidR="000E133F" w:rsidRDefault="00EC5ECA">
      <w:pPr>
        <w:spacing w:before="60" w:after="140" w:line="360" w:lineRule="auto"/>
      </w:pPr>
      <w:r>
        <w:t xml:space="preserve">The conflict that erupted in 858–863 over the patriarchal throne of Constantinople, and which reached its most acute theological expression in Patriarch Photius's Encyclical of 867, is not merely a colorful episode in Byzantine church politics. It is, in the judgment of many Orthodox historians and theologians, the first clear articulation of the </w:t>
      </w:r>
      <w:r>
        <w:lastRenderedPageBreak/>
        <w:t>irreducible theological differences between Rome and Constantinople — the moment when the underlying ecclesiological incompatibility became explicit in official church documents on both sides.</w:t>
      </w:r>
    </w:p>
    <w:p w14:paraId="3AF0CE04" w14:textId="77777777" w:rsidR="000E133F" w:rsidRDefault="00EC5ECA">
      <w:pPr>
        <w:spacing w:before="60" w:after="140" w:line="360" w:lineRule="auto"/>
      </w:pPr>
      <w:r>
        <w:t xml:space="preserve">The immediate occasion was political. In 858, Emperor Michael III, under the influence of his uncle Caesar Bardas, deposed Patriarch Ignatius of Constantinople on grounds that Ignatius had refused communion to Bardas for incest (Bardas had married his widowed daughter-in-law). Photius, a layman of extraordinary learning and brilliance — court secretary, professor of philosophy, author of the </w:t>
      </w:r>
      <w:r>
        <w:rPr>
          <w:i/>
          <w:iCs/>
        </w:rPr>
        <w:t>Bibliotheca</w:t>
      </w:r>
      <w:r>
        <w:t>, one of the most remarkable works of Byzantine scholarship — was tonsured a monk, ordained through all the clerical ranks in rapid succession, and consecrated Patriarch of Constantinople within a week. This manner of elevation, violating the canonical requirement of a period of service in lower orders before elevation to the episcopate, gave Rome a legitimate procedural grievance, though the Eastern church had precedent for such elevations in exceptional cases.</w:t>
      </w:r>
    </w:p>
    <w:p w14:paraId="431C52A9" w14:textId="77777777" w:rsidR="000E133F" w:rsidRDefault="00EC5ECA">
      <w:pPr>
        <w:spacing w:before="60" w:after="140" w:line="360" w:lineRule="auto"/>
      </w:pPr>
      <w:r>
        <w:t>Pope Nicholas I (r. 858–867) initially sent legates to Constantinople to investigate the matter. His legates, Radoald of Porto and Zachary of Anagni, on arrival were persuaded by the theological sophistication of Photius and the actual church situation, and they recognized Photius as the legitimate patriarch. When they returned to Rome, however, Nicholas repudiated their findings, held a Roman synod in 863 that declared Photius invalidly elected, reinstated Ignatius as the rightful Patriarch, and excommunic</w:t>
      </w:r>
      <w:r>
        <w:t>ated Photius. More significantly, Nicholas asserted in his letters to the Eastern emperor that the appointment of patriarchs required papal confirmation — a claim that had never been conceded in the East and that represented, from the Byzantine point of view, a revolutionary assertion of papal universal jurisdiction.</w:t>
      </w:r>
    </w:p>
    <w:p w14:paraId="309BE3C1" w14:textId="77777777" w:rsidR="000E133F" w:rsidRDefault="00EC5ECA">
      <w:pPr>
        <w:spacing w:before="60" w:after="140" w:line="360" w:lineRule="auto"/>
      </w:pPr>
      <w:r>
        <w:t xml:space="preserve">The Bulgarian question added fuel to the fire. Khan Boris I of Bulgaria had accepted baptism in 864 under Byzantine auspices and liturgical practice, but dissatisfied with Constantinople's terms (which would have made the Bulgarian church dependent on Constantinople), he opened negotiations with Rome in 866. Pope Nicholas I sent missionary priests to Bulgaria and, crucially, responded to a list of questions from Boris with his </w:t>
      </w:r>
      <w:r>
        <w:rPr>
          <w:i/>
          <w:iCs/>
        </w:rPr>
        <w:t>Responsa Nicolai</w:t>
      </w:r>
      <w:r>
        <w:t xml:space="preserve"> — a document that, among other things, enforced Latin </w:t>
      </w:r>
      <w:r>
        <w:lastRenderedPageBreak/>
        <w:t>liturgical customs in Bulgaria, condemned Byzantine liturgical practices (including the use of leavened bread, Byzantine fasting rules, and the Byzantine form of chrismation), and advanced Roman canonical jurisdiction over the Bulgarian church. This was an encroachment on what the Byzantine church considered its canonical territory.</w:t>
      </w:r>
    </w:p>
    <w:p w14:paraId="677D2C17" w14:textId="77777777" w:rsidR="000E133F" w:rsidRDefault="00EC5ECA">
      <w:pPr>
        <w:spacing w:before="60" w:after="140" w:line="360" w:lineRule="auto"/>
      </w:pPr>
      <w:r>
        <w:t xml:space="preserve">Photius's response was to convoke a synod in Constantinople in 867 and issue his famous Encyclical letter to the Eastern Patriarchs — the most remarkable theological document produced in the ninth century. In this letter, Photius develops a comprehensive theological indictment of the Latin church on several counts, with the Filioque at the center. He writes (in summary, as the full text has reached us through later Byzantine sources and Photius's own </w:t>
      </w:r>
      <w:r>
        <w:rPr>
          <w:i/>
          <w:iCs/>
        </w:rPr>
        <w:t>Mystagogy of the Holy Spirit</w:t>
      </w:r>
      <w:r>
        <w:t>): "Among the impious, the most impious are those who dare to add to the holy and sacred Creed" — for the Filioque, he argues, is not merely a theological opinion but an illegal alteration of the Creed defined by the Ecumenical Councils. Photius's argument has three levels. First, the theological argument: the Filioque introduces a double principle (</w:t>
      </w:r>
      <w:r>
        <w:rPr>
          <w:i/>
          <w:iCs/>
        </w:rPr>
        <w:t>arche</w:t>
      </w:r>
      <w:r>
        <w:t>) within the Trinity, since it attributes the procession of the Holy Spirit not solely to the Father — the sole unoriginate pri</w:t>
      </w:r>
      <w:r>
        <w:t>nciple — but to the Father and the Son together. This, Photius argues, implies either that the Spirit has two causes (which creates a diarchy within the Trinity) or that the Father and Son are a single compound principle (which confuses the persons). Either way, Trinitarian monotheism is damaged. Second, the patristic argument: none of the recognized Fathers of the Church — neither the Cappadocians, nor Athanasius, nor Augustine himself in his properly theological statements — taught the Filioque as a doctr</w:t>
      </w:r>
      <w:r>
        <w:t xml:space="preserve">ine of the eternal procession of the Spirit. The handful of Latin texts that appear to support it are either misread or reflect a confusion between the eternal procession and the temporal mission of the Spirit in salvation history. Third, the conciliar argument: Canon 7 of the Council of Ephesus (431) explicitly prohibited any addition to the Nicene Creed, defining that "it is not permitted to anyone to bring forward or to write or to compose a different creed." The insertion of the Filioque into the Creed </w:t>
      </w:r>
      <w:r>
        <w:t>is precisely such an illegal addition, and those who have made it have thereby placed themselves outside the bounds of the Ecumenical Councils.</w:t>
      </w:r>
    </w:p>
    <w:p w14:paraId="48116B69" w14:textId="77777777" w:rsidR="000E133F" w:rsidRDefault="00EC5ECA">
      <w:pPr>
        <w:spacing w:before="60" w:after="140" w:line="360" w:lineRule="auto"/>
      </w:pPr>
      <w:r>
        <w:t xml:space="preserve">The synod of 867 declared Pope Nicholas I deposed and anathematized the Filioque. The resolution — or apparent resolution — of this crisis came under Nicholas's successor </w:t>
      </w:r>
      <w:r>
        <w:lastRenderedPageBreak/>
        <w:t>Adrian II and the new Emperor Basil I (who had murdered Michael III in September 867). Basil, for political reasons, rehabilitated Ignatius and sought reconciliation with Rome. The Council of 869–870 (counted by the West as the Eighth Ecumenical Council) deposed Photius and restored Ignatius. But Ignatius, having returned to power, found himself equally intransigent toward Roman claims as Photius had been: he consecrated a Bulgarian archbishop without Roman approval, effectively repeating the jurisdictional</w:t>
      </w:r>
      <w:r>
        <w:t xml:space="preserve"> conflict. When Ignatius died in 877, Photius was restored as Patriarch, and a council at Constantinople in 879–880 — attended by papal legates who agreed to its canons — formally anathematized any addition to the Creed (understood as condemning the Filioque), restored Photius to full communion, and confirmed the principle that neither Rome nor Constantinople would interfere in the canonical territory of the other. The Orthodox regard this council as a genuine reconciliation and treat it as having greater a</w:t>
      </w:r>
      <w:r>
        <w:t>uthority than the Council of 869–870; the West's subsequent interpretation of events treated 869–870 as definitive and 879–880 as of lesser weight.</w:t>
      </w:r>
    </w:p>
    <w:p w14:paraId="5F527B0D" w14:textId="77777777" w:rsidR="000E133F" w:rsidRDefault="00EC5ECA">
      <w:pPr>
        <w:spacing w:before="60" w:after="140" w:line="360" w:lineRule="auto"/>
      </w:pPr>
      <w:r>
        <w:t xml:space="preserve">What Photius had accomplished, however, was irreversible at the theological level. He had articulated, with philosophical precision and patristic learning unmatched in his century, the reasons why the Filioque was not merely a liturgical peculiarity or an expression of Western theological emphasis but a genuine Trinitarian error. His </w:t>
      </w:r>
      <w:r>
        <w:rPr>
          <w:i/>
          <w:iCs/>
        </w:rPr>
        <w:t>Mystagogy of the Holy Spirit</w:t>
      </w:r>
      <w:r>
        <w:t>, composed during his second patriarchate (878–886), is a systematic theological treatise developing these arguments at full length. Its argument will be engaged extensively in Chapter 3 when we treat the theology of the Trinity. For our present purposes, the historical significance of the Photian crisis is that it demonstrated that the tensions between East and West were not merely political or jurisdictional but genuinely theological — that behind the conflict over who should a</w:t>
      </w:r>
      <w:r>
        <w:t>ppoint the Bulgarian bishop lay a conflict over the nature of the Trinity and the nature of the Church.</w:t>
      </w:r>
    </w:p>
    <w:p w14:paraId="7A478EBD" w14:textId="77777777" w:rsidR="000E133F" w:rsidRDefault="00EC5ECA">
      <w:pPr>
        <w:pStyle w:val="Heading2"/>
      </w:pPr>
      <w:bookmarkStart w:id="9" w:name="_Toc232765236"/>
      <w:r>
        <w:t>1.4 The Great Schism of 1054: Documents, Theology, and Legacy</w:t>
      </w:r>
      <w:bookmarkEnd w:id="9"/>
    </w:p>
    <w:p w14:paraId="263BF3E1" w14:textId="77777777" w:rsidR="000E133F" w:rsidRDefault="00EC5ECA">
      <w:pPr>
        <w:spacing w:before="60" w:after="140" w:line="360" w:lineRule="auto"/>
      </w:pPr>
      <w:r>
        <w:t xml:space="preserve">The events of July 1054 in Constantinople have acquired a symbolic significance in the history of Christianity that somewhat exceeds their immediate historical weight — since, </w:t>
      </w:r>
      <w:r>
        <w:lastRenderedPageBreak/>
        <w:t>as historians now recognize, the actual rupture between East and West was a long process rather than a single dramatic moment — but they are nonetheless irreplaceable as the concrete, documented expression of the theological incompatibility that had been building for two centuries. The specific occasion, the documents produced, and the theological arguments advanced in 1054 remain indispensable for understanding what the East-West schism actually was about.</w:t>
      </w:r>
    </w:p>
    <w:p w14:paraId="6507C518" w14:textId="77777777" w:rsidR="000E133F" w:rsidRDefault="00EC5ECA">
      <w:pPr>
        <w:spacing w:before="60" w:after="140" w:line="360" w:lineRule="auto"/>
      </w:pPr>
      <w:r>
        <w:t>The immediate occasion was the closure of Latin churches in Constantinople by Patriarch Michael Cerularius (r. 1043–1058). Cerularius had also written a polemical letter attacking various Latin liturgical practices — notably the use of unleavened bread (</w:t>
      </w:r>
      <w:r>
        <w:rPr>
          <w:i/>
          <w:iCs/>
        </w:rPr>
        <w:t>azymes</w:t>
      </w:r>
      <w:r>
        <w:t>) in the Eucharist — and his letter had circulated in Bulgaria, eventually reaching Rome. Pope Leo IX sent a legation to Constantinople headed by Cardinal Humbert of Silva Candida, one of the most aggressive reformers of the eleventh-century Roman church and a fierce theological polemicist. Negotiations broke down completely; Pope Leo died in April 1054, technically ending Humbert's legation (since a papal legate's authority ends with the death of the pope who sent him — a legal technicality that make</w:t>
      </w:r>
      <w:r>
        <w:t>s the subsequent actions of Humbert at least formally irregular). On July 16, 1054, Humbert, along with the other papal legates, entered Hagia Sophia during the preparation for the Divine Liturgy and placed a bull of excommunication on the high altar. The Latin text of the bull is a document of considerable theological interest.</w:t>
      </w:r>
    </w:p>
    <w:p w14:paraId="7621190F" w14:textId="77777777" w:rsidR="000E133F" w:rsidRDefault="00EC5ECA">
      <w:pPr>
        <w:spacing w:before="60" w:after="140" w:line="360" w:lineRule="auto"/>
      </w:pPr>
      <w:r>
        <w:t xml:space="preserve">Humbert's bull opens with an assertion of Roman primacy rooted in the Petrine commission: the Roman church, "as the hinge and head of all the churches, having received from the first prince of the Apostles, Peter, and from his successors and vicars, and from the holy Synods, the care of all churches," has sent its legates to Constantinople to promote "the peace and benefit of the Church." It then proceeds to a series of charges against Cerularius and the Byzantine church, among which the most theologically </w:t>
      </w:r>
      <w:r>
        <w:t>significant are: (1) that the Byzantines have, "like the Simonians," sold the gift of God; (2) that, "like the Valesians," they have castrated their guests and promoted them not only to the clergy but even to the episcopate; (3) that they have, "like the Arians," rebaptized those baptized in the name of the Holy Trinity, especially Latins; (4) that they have eliminated the Filioque from the Creed — here Humbert's historical memory is precisely inverted, since it was the Latins who added the Filioque, not th</w:t>
      </w:r>
      <w:r>
        <w:t xml:space="preserve">e </w:t>
      </w:r>
      <w:r>
        <w:lastRenderedPageBreak/>
        <w:t>Greeks who eliminated it; (5) that they have "refused to say the Lamb of God during the sacrifice"; (6) that "in their pride they spurn the authority of the Apostolic See." The bull concludes: "By the authority of the Holy and Indivisible Trinity, of the Apostolic See whose embassy we represent, and of all the orthodox Fathers of the seven councils and of the whole Catholic Church, we sign against Michael and his supporters the anathema which our most reverend pope pronounced against them if they should r</w:t>
      </w:r>
      <w:r>
        <w:t>efuse to come to their senses."</w:t>
      </w:r>
    </w:p>
    <w:p w14:paraId="6ECB5181" w14:textId="77777777" w:rsidR="000E133F" w:rsidRDefault="00EC5ECA">
      <w:pPr>
        <w:spacing w:before="60" w:after="140" w:line="360" w:lineRule="auto"/>
      </w:pPr>
      <w:r>
        <w:t xml:space="preserve">Several features of this document deserve careful attention. First, it operates entirely within the ecclesiological framework of papal universal jurisdiction: the legates act as the legitimate representatives of the Roman church in its capacity as the head of all churches. This is not merely a claim about Roman prestige; it is a claim about the structure of the Church. Second, the specific charges are a mixture of the theological (the Filioque question, oddly inverted) and the disciplinary (married clergy, </w:t>
      </w:r>
      <w:r>
        <w:t>liturgical differences). Third, the anathema is addressed to Michael Cerularius personally, not to the Eastern church as a whole — though its practical effect was to excommunicate the Patriarchs and their successors and to rupture communion between Rome and Constantinople.</w:t>
      </w:r>
    </w:p>
    <w:p w14:paraId="0902A1DA" w14:textId="77777777" w:rsidR="000E133F" w:rsidRDefault="00EC5ECA">
      <w:pPr>
        <w:spacing w:before="60" w:after="140" w:line="360" w:lineRule="auto"/>
      </w:pPr>
      <w:r>
        <w:t>Cerularius convened a synod that drafted its response in what has been described as the counter-anathema. The synodal letter condemned the legates as having "come against our most holy Patriarch and Ecumenical Archbishop, against the holy canons and the holy churches, and against our holy emperor." It specifically identified the abuses attributed to the legates: that they "brought with them documents filled with all the pride of arrogance," that they "threw into our most holy church a writing which containe</w:t>
      </w:r>
      <w:r>
        <w:t>d in it... things unheard of and intolerable," that they "pretended to exercise judgment over Cerularius," and that they "acted contrary to the law by laying upon the altar the written anathema while the holy liturgy was taking place." The synod in turn anathematized Humbert and the other legates by name, specifically noting that their words were "blaspheming the Holy Trinity, the immaculate Mother of God, the holy emperors, and the Orthodox world."</w:t>
      </w:r>
    </w:p>
    <w:p w14:paraId="4507CF88" w14:textId="77777777" w:rsidR="000E133F" w:rsidRDefault="00EC5ECA">
      <w:pPr>
        <w:spacing w:before="60" w:after="140" w:line="360" w:lineRule="auto"/>
      </w:pPr>
      <w:r>
        <w:lastRenderedPageBreak/>
        <w:t>The theological substance of the Schism must be treated at greater depth than the events of 1054 alone can provide. The two issues that lie at its heart — the Filioque and papal primacy — are interconnected in ways that Orthodox theologians have been at pains to articulate. The Filioque is not simply a disagreement about Trinitarian terminology; it is, from the Orthodox perspective, a symptom of a fundamentally different theological method and a different understanding of the relationship between divine mon</w:t>
      </w:r>
      <w:r>
        <w:t>archia and divine communion. The papal primacy question is not simply a jurisdictional dispute; it reflects a fundamentally different ecclesiology — a different understanding of what the Church is, how authority is constituted within it, and how the Holy Spirit guides the Church into truth.</w:t>
      </w:r>
    </w:p>
    <w:p w14:paraId="57B17C1B" w14:textId="77777777" w:rsidR="000E133F" w:rsidRDefault="00EC5ECA">
      <w:pPr>
        <w:spacing w:before="60" w:after="140" w:line="360" w:lineRule="auto"/>
      </w:pPr>
      <w:r>
        <w:t>The Orthodox doctrine of the primacy has its classical canonical expression in Canon 3 of the First Council of Constantinople (381), which we have already considered, and in Canon 28 of Chalcedon (451). These canons ground the honor of the Bishop of Constantinople in his position as bishop of the imperial capital, and they do so by analogy with Rome: Rome is honored because it was the first imperial capital; Constantinople is honored because it is the New Rome, the new imperial capital. The critical implica</w:t>
      </w:r>
      <w:r>
        <w:t>tion of this canonical structure is that ecclesial honor follows political reality — that the Church's internal order of precedence mirrors the order of the Roman world — and therefore that changes in political reality may appropriately be reflected in changes in ecclesiastical order. Rome's resistance to Canon 28 of Chalcedon was based precisely on the rejection of this principle: if Roman primacy is grounded in Peter's commission rather than in the city's imperial status, then the transfer of the imperial</w:t>
      </w:r>
      <w:r>
        <w:t xml:space="preserve"> capital to Constantinople changes nothing about Rome's position.</w:t>
      </w:r>
    </w:p>
    <w:p w14:paraId="4EF300A2" w14:textId="77777777" w:rsidR="000E133F" w:rsidRDefault="00EC5ECA">
      <w:pPr>
        <w:spacing w:before="60" w:after="140" w:line="360" w:lineRule="auto"/>
      </w:pPr>
      <w:r>
        <w:t xml:space="preserve">The 1848 Encyclical of the Eastern Patriarchs — issued by the Patriarchs of Constantinople, Alexandria, Antioch, and Jerusalem in response to Pope Pius IX's encyclical </w:t>
      </w:r>
      <w:r>
        <w:rPr>
          <w:i/>
          <w:iCs/>
        </w:rPr>
        <w:t>In Suprema Petri Apostoli Sede</w:t>
      </w:r>
      <w:r>
        <w:t xml:space="preserve"> (1848), which had appealed to Eastern Christians to return to Rome — represents the most comprehensive modern Orthodox statement of the ecclesiological alternative to Roman primacy. The Patriarchs write: "The Pope is greatly mistaken in supposing that we consider ecclesiastical hierarchy to be the guardian of the dogma. The case is not such. The guardian of piety is the very body of the Church, i.e., the people itself, which desires its religious inheritance to be </w:t>
      </w:r>
      <w:r>
        <w:lastRenderedPageBreak/>
        <w:t xml:space="preserve">always idem </w:t>
      </w:r>
      <w:r>
        <w:t>et immutabile [the same and unchangeable], and is always ready to defend it, and it is the people which elected Patriarch Photius and Patriarch Cyril Lucaris, and also Patriarch Gregorius, and others, when the patriarchs of those times were trying to introduce innovations into it."</w:t>
      </w:r>
    </w:p>
    <w:p w14:paraId="5B6C251C" w14:textId="77777777" w:rsidR="000E133F" w:rsidRDefault="00EC5ECA">
      <w:pPr>
        <w:spacing w:before="60" w:after="140" w:line="360" w:lineRule="auto"/>
      </w:pPr>
      <w:r>
        <w:t xml:space="preserve">This is a remarkable ecclesiological claim: the ultimate guardian of Orthodox doctrine is not the hierarchy but the whole body of the faithful — the </w:t>
      </w:r>
      <w:r>
        <w:rPr>
          <w:i/>
          <w:iCs/>
        </w:rPr>
        <w:t>laos</w:t>
      </w:r>
      <w:r>
        <w:t xml:space="preserve">, the people of God. The bishops and patriarchs have authority to define and proclaim doctrine, but the reception of their definitions by the whole body of the faithful is the seal of their ecumenicity. This is the doctrine of conciliar reception: a council becomes ecumenical not merely by canonical convocation and hierarchical subscription but by the ongoing acceptance of its definitions by the whole Church across time and space. This principle will be developed fully in Chapter 2 in the discussion of </w:t>
      </w:r>
      <w:r>
        <w:t>the theology of conciliarity.</w:t>
      </w:r>
    </w:p>
    <w:p w14:paraId="5ED89057" w14:textId="77777777" w:rsidR="000E133F" w:rsidRDefault="00EC5ECA">
      <w:pPr>
        <w:pStyle w:val="Heading2"/>
      </w:pPr>
      <w:bookmarkStart w:id="10" w:name="_Toc232765237"/>
      <w:r>
        <w:t>1.5 The Fourth Crusade (1204): The Theological Wound</w:t>
      </w:r>
      <w:bookmarkEnd w:id="10"/>
    </w:p>
    <w:p w14:paraId="35264C66" w14:textId="77777777" w:rsidR="000E133F" w:rsidRDefault="00EC5ECA">
      <w:pPr>
        <w:spacing w:before="60" w:after="140" w:line="360" w:lineRule="auto"/>
      </w:pPr>
      <w:r>
        <w:t>Of all the events in the long history of East-West estrangement, none left a deeper wound in the Orthodox consciousness than the sack of Constantinople by the Fourth Crusade in April 1204. The event has been exhaustively studied by historians, and the political and economic factors that diverted the Crusade from its intended target of Egypt to the Christian capital of the Eastern Empire have been carefully analyzed. But for Orthodox theology, the significance of 1204 is not primarily historical; it is theol</w:t>
      </w:r>
      <w:r>
        <w:t>ogical. The sack of Constantinople revealed, in the judgment of Orthodox theologians from that day to this, the true character of the ecclesiology that had been developing in the West under the banner of papal universal jurisdiction.</w:t>
      </w:r>
    </w:p>
    <w:p w14:paraId="194DA306" w14:textId="77777777" w:rsidR="000E133F" w:rsidRDefault="00EC5ECA">
      <w:pPr>
        <w:spacing w:before="60" w:after="140" w:line="360" w:lineRule="auto"/>
      </w:pPr>
      <w:r>
        <w:t xml:space="preserve">The primary Orthodox literary witness to the sack is Nicetas Choniates (c. 1155–1217), a senior Byzantine official and historian who was present in Constantinople during the assault and who composed a detailed account in his chronicle </w:t>
      </w:r>
      <w:r>
        <w:rPr>
          <w:i/>
          <w:iCs/>
        </w:rPr>
        <w:t>Historia</w:t>
      </w:r>
      <w:r>
        <w:t xml:space="preserve">. Choniates writes with grief and controlled fury: "O city, city, eye of all cities, universal boast, supramundane wonder, wet nurse of churches, leader of the faith, guide of Orthodoxy, beloved topic of orations, the abode of every good thing!... Alas, the much-lamented loss of these beautiful things! Alas, the evil change! In former times Constantinople was the most glorious of cities, and now she is no more... How are your beautiful things </w:t>
      </w:r>
      <w:r>
        <w:lastRenderedPageBreak/>
        <w:t>destroyed? How have you fallen who was sitting on a thron</w:t>
      </w:r>
      <w:r>
        <w:t xml:space="preserve">e, who was dressed in a purple robe! And all your riches and goods have been taken from you. You who were so lovely and beautiful, now you are ugly and disfigured; you are a prisoner who was a queen." Choniates proceeds to describe in specific and agonizing detail the desecration of Hagia Sophia: the crusaders brought a prostitute into the sanctuary, placed her on the patriarchal throne, and had her sing bawdy songs while they ransacked the altar and stripped the sacred vessels of their gold and silver. He </w:t>
      </w:r>
      <w:r>
        <w:t>describes crusaders riding horses through the nave of the Great Church, piling relics and sacred objects on the horses' backs, smashing marble floors, tearing down the silver iconostasis. "The Latin, indeed, despised the Roman, but it was not on account of his faith that he hated him, but rather on account of his wealth."</w:t>
      </w:r>
    </w:p>
    <w:p w14:paraId="5273D8F9" w14:textId="77777777" w:rsidR="000E133F" w:rsidRDefault="00EC5ECA">
      <w:pPr>
        <w:spacing w:before="60" w:after="140" w:line="360" w:lineRule="auto"/>
      </w:pPr>
      <w:r>
        <w:t>Pope Innocent III's initial reaction to the fall of Constantinople was one of outrage — he wrote to the Crusade leaders condemning the sack and the diversion of the Crusade from its holy purpose. His letter of August 1204 is remarkably candid: "How can the Greek Church be brought back into ecclesiastical union and to a devotion for the Apostolic See when she has been beset with so many afflictions and persecutions that she sees in the Latins only an example of perdition and the works of darkness, so that sh</w:t>
      </w:r>
      <w:r>
        <w:t>e now, and with reason, detests the Latins more than dogs? As for those who were supposed to be seeking the ends of Jesus Christ, not their own ends, who made their swords, which they were supposed to use against the pagans, drip with Christian blood, they have spared neither religion, nor age, nor sex. They have committed incest, adultery, and fornication before the eyes of men. They have exposed both matrons and virgins, even those dedicated to God, to the sordid lusts of boys. Not satisfied with breaking</w:t>
      </w:r>
      <w:r>
        <w:t xml:space="preserve"> open the imperial treasury and plundering the goods of princes and lesser men, they also laid their hands on the treasures of the churches and, what is more serious, on their very possessions."</w:t>
      </w:r>
    </w:p>
    <w:p w14:paraId="4157A059" w14:textId="77777777" w:rsidR="000E133F" w:rsidRDefault="00EC5ECA">
      <w:pPr>
        <w:spacing w:before="60" w:after="140" w:line="360" w:lineRule="auto"/>
      </w:pPr>
      <w:r>
        <w:t xml:space="preserve">Yet — and this is the point that Orthodox theologians have pressed repeatedly — the same Innocent III subsequently confirmed the appointment of a Latin patriarch of Constantinople (Thomas Morosini) and treated the Latin conquest of Constantinople as a providential opportunity for the reunion of the churches under Roman leadership. His earlier condemnation was moral, not structural: he condemned the behavior of the </w:t>
      </w:r>
      <w:r>
        <w:lastRenderedPageBreak/>
        <w:t xml:space="preserve">Crusaders but accepted the outcome as potentially advantageous for Rome's ecclesiological program. The installation of a Latin patriarch in Constantinople, and the subordination of the Eastern churches to Roman jurisdiction in the Crusader states, was not an embarrassing accident but the logical consequence of the ecclesiology that had been developing in Rome since the eleventh century. If the Pope is the universal bishop, the Vicar of Christ, holding the fullness of episcopal power over all churches, then </w:t>
      </w:r>
      <w:r>
        <w:t>the installation of a Latin hierarchy in the Eastern empire is simply the exercise of that legitimate universal authority.</w:t>
      </w:r>
    </w:p>
    <w:p w14:paraId="59AF52A4" w14:textId="77777777" w:rsidR="000E133F" w:rsidRDefault="00EC5ECA">
      <w:pPr>
        <w:spacing w:before="60" w:after="140" w:line="360" w:lineRule="auto"/>
      </w:pPr>
      <w:r>
        <w:t xml:space="preserve">Orthodox theologians, from Alexander Schmemann in the twentieth century to the contemporary theologians of the Greek Orthodox Theological Institute at Boston, have drawn this conclusion with clarity: the Crusade of 1204 was not merely a political disaster but a theological revelation. It demonstrated, in the most concrete terms possible, the difference between the Orthodox understanding of the Church as a communion of local churches in eucharistic fellowship and the Western understanding of the Church as a </w:t>
      </w:r>
      <w:r>
        <w:t>universal monarchy in which the Pope holds supreme and immediate jurisdiction over all bishops and all faithful. The Orthodox church of Constantinople could not be subordinated to the Latin patriarch installed in Hagia Sophia because, from the Orthodox perspective, that Latin patriarch had no jurisdiction over them — not because the Byzantines were guilty of schism, but because the Latin church's claim to universal jurisdiction was itself illegitimate, a theological usurpation of the collegial structure est</w:t>
      </w:r>
      <w:r>
        <w:t>ablished by Christ and the apostles. The wound of 1204 has never fully healed in the Orthodox consciousness.</w:t>
      </w:r>
    </w:p>
    <w:p w14:paraId="36025564" w14:textId="77777777" w:rsidR="000E133F" w:rsidRDefault="00EC5ECA">
      <w:pPr>
        <w:pStyle w:val="Heading2"/>
      </w:pPr>
      <w:bookmarkStart w:id="11" w:name="_Toc232765238"/>
      <w:r>
        <w:t>1.6 The Fall of Constantinople (1453) and Its Theological Legacy</w:t>
      </w:r>
      <w:bookmarkEnd w:id="11"/>
    </w:p>
    <w:p w14:paraId="1292A1D1" w14:textId="77777777" w:rsidR="000E133F" w:rsidRDefault="00EC5ECA">
      <w:pPr>
        <w:spacing w:before="60" w:after="140" w:line="360" w:lineRule="auto"/>
      </w:pPr>
      <w:r>
        <w:t xml:space="preserve">The Council of Florence (1438–1449), convoked under Pope Eugenius IV ostensibly to heal the schism and practically as the price of Western military aid against the advancing Ottoman Turks, is one of the most revealing and ultimately tragic episodes in the history of Christianity. The Eastern delegations arrived in Ferrara (where the council began in 1438) and were transferred to Florence in 1439, representing the Ecumenical Patriarch Joseph II, eight other Orthodox bishops, and the Byzantine Emperor John </w:t>
      </w:r>
      <w:r>
        <w:lastRenderedPageBreak/>
        <w:t>VIII Palaeologus, who attended in person. The negotiations — extraordinarily complex, running from January 1438 to July 1439 — addressed the four main points of division: the Filioque, papal primacy, the use of unleavened bread in the Eucharist, and the doctrine of purgatory.</w:t>
      </w:r>
    </w:p>
    <w:p w14:paraId="1E568327" w14:textId="77777777" w:rsidR="000E133F" w:rsidRDefault="00EC5ECA">
      <w:pPr>
        <w:spacing w:before="60" w:after="140" w:line="360" w:lineRule="auto"/>
      </w:pPr>
      <w:r>
        <w:t xml:space="preserve">The Decree of Union, </w:t>
      </w:r>
      <w:r>
        <w:rPr>
          <w:i/>
          <w:iCs/>
        </w:rPr>
        <w:t>Laetentur Caeli</w:t>
      </w:r>
      <w:r>
        <w:t>, signed on July 6, 1439, acknowledged Rome's primacy in terms that appeared, on the surface, to bridge the gap: "We also define that the holy Apostolic See and the Roman Pontiff hold the primacy over the whole world, and that the Roman Pontiff himself is the successor of blessed Peter, prince of the Apostles, and the true vicar of Christ, the head of the whole Church and the father and teacher of all Christians, and that to him was committed by our Lord Jesus Christ the full power of feeding</w:t>
      </w:r>
      <w:r>
        <w:t>, ruling, and governing the whole, universal Church, as is also contained in the acts of the Ecumenical Councils and in the sacred canons." On the Filioque, the Union Decree affirmed that both the Greek formula ("the Spirit proceeds from the Father") and the Latin formula ("the Spirit proceeds from the Father and the Son") expressed the same truth — that the Father is the single principle of the procession, and that "from the Son" (or the Greek equivalent "through the Son") expresses the same eternal relati</w:t>
      </w:r>
      <w:r>
        <w:t>onship. This was a theological fudge that satisfied neither strict Palamites nor strict Latin theologians.</w:t>
      </w:r>
    </w:p>
    <w:p w14:paraId="77F239CB" w14:textId="77777777" w:rsidR="000E133F" w:rsidRDefault="00EC5ECA">
      <w:pPr>
        <w:spacing w:before="60" w:after="140" w:line="360" w:lineRule="auto"/>
      </w:pPr>
      <w:r>
        <w:t>Mark of Ephesus, the most distinguished theologian in the Eastern delegation, refused to sign the decree and returned to Constantinople, where he immediately began to organize resistance. His refusal is of enormous significance: he was not a minor figure or an eccentric; he was the acknowledged leading Orthodox theologian of his generation, and his refusal represented the judgment of the strictest patristic theology that the Florence agreement was theologically insufficient. When he returned to Constantinop</w:t>
      </w:r>
      <w:r>
        <w:t>le, he distributed copies of the union decree to the clergy and people together with his own analysis of its deficiencies. His analysis can be summarized in three points: (1) the formula on papal primacy as adopted at Florence was stronger than what any of the Eastern canons had ever approved; (2) the theological rapprochement on the Filioque disguised rather than resolved the genuine Trinitarian disagreement; and (3) the practical consequences of union — subordination of Eastern churches to Roman disciplin</w:t>
      </w:r>
      <w:r>
        <w:t>e — would require the Eastern churches to abandon their canonical traditions.</w:t>
      </w:r>
    </w:p>
    <w:p w14:paraId="22A01DA7" w14:textId="77777777" w:rsidR="000E133F" w:rsidRDefault="00EC5ECA">
      <w:pPr>
        <w:spacing w:before="60" w:after="140" w:line="360" w:lineRule="auto"/>
      </w:pPr>
      <w:r>
        <w:lastRenderedPageBreak/>
        <w:t>The popular reception in Constantinople confirmed Mark's judgment. When the unionist bishops returned from Florence, they were met with hostility, and the union was never implemented in practice. The famous verdict attributed (perhaps apocryphally) to the Grand Duke Notaras — "I would rather see the turban of the Sultan in Constantinople than the tiara of the Pope" — whether authentically his words or not, accurately represents the sentiment of a significant portion of the Byzantine population.</w:t>
      </w:r>
    </w:p>
    <w:p w14:paraId="739E61B6" w14:textId="77777777" w:rsidR="000E133F" w:rsidRDefault="00EC5ECA">
      <w:pPr>
        <w:spacing w:before="60" w:after="140" w:line="360" w:lineRule="auto"/>
      </w:pPr>
      <w:r>
        <w:t xml:space="preserve">On May 29, 1453, Sultan Mehmet II entered Constantinople through a breach in the Theodosian walls, and the last emperor, Constantine XI Palaeologus, died in battle near the Golden Gate. The Ottoman conquest of Constantinople ended eleven centuries of Byzantine civilization and permanently altered the conditions under which Eastern Orthodoxy existed and developed. The Ecumenical Patriarchate survived under Ottoman rule as part of the </w:t>
      </w:r>
      <w:r>
        <w:rPr>
          <w:i/>
          <w:iCs/>
        </w:rPr>
        <w:t>millet</w:t>
      </w:r>
      <w:r>
        <w:t xml:space="preserve"> system: the Sultan recognized the Patriarch as the </w:t>
      </w:r>
      <w:r>
        <w:rPr>
          <w:i/>
          <w:iCs/>
        </w:rPr>
        <w:t>ethnarch</w:t>
      </w:r>
      <w:r>
        <w:t xml:space="preserve"> — the civil head of the Christian population (</w:t>
      </w:r>
      <w:r>
        <w:rPr>
          <w:i/>
          <w:iCs/>
        </w:rPr>
        <w:t>rum millet</w:t>
      </w:r>
      <w:r>
        <w:t>) — which preserved the institutional structure of the church but created a peculiar ambiguity in its authority. The Patriarch now governed his flock not only as a spiritual father but as a civil administrator responsible to the Ottoman government. This arrangement created systematic opportunities for Ottoman interference in patriarchal elections and for the subordination of ecclesiasti</w:t>
      </w:r>
      <w:r>
        <w:t>cal decisions to political considerations.</w:t>
      </w:r>
    </w:p>
    <w:p w14:paraId="1E177F5A" w14:textId="77777777" w:rsidR="000E133F" w:rsidRDefault="00EC5ECA">
      <w:pPr>
        <w:spacing w:before="60" w:after="140" w:line="360" w:lineRule="auto"/>
      </w:pPr>
      <w:r>
        <w:t>The theological interpretation of the Ottoman conquest occupied Orthodox writers for decades. Some, following the logic of the prophetic tradition, identified the fall as a divine judgment upon the apostasy of Florence — Constantinople had capitulated to Rome, accepting the Filioque and papal primacy in exchange for military aid that never came in adequate force, and God had permitted the city to fall as a consequence of its theological infidelity. Others, including the great historian and theologian George</w:t>
      </w:r>
      <w:r>
        <w:t xml:space="preserve"> Sphrantzes (1401–c.1478), who was present at the final siege, interpreted the fall in more straightforwardly providential terms: the Byzantine Empire had served its purpose as the Christian empire supporting the Church's mission, and its end was not the end of Orthodoxy but the beginning of a new phase of the Church's existence in the world.</w:t>
      </w:r>
    </w:p>
    <w:p w14:paraId="067D5978" w14:textId="77777777" w:rsidR="000E133F" w:rsidRDefault="00EC5ECA">
      <w:pPr>
        <w:spacing w:before="60" w:after="140" w:line="360" w:lineRule="auto"/>
      </w:pPr>
      <w:r>
        <w:t xml:space="preserve">The most consequential theological response to the fall of Constantinople was the development of the doctrine of Moscow as the Third Rome, articulated most fully by the </w:t>
      </w:r>
      <w:r>
        <w:lastRenderedPageBreak/>
        <w:t>monk Philotheus (Filofei) of Pskov in letters written around 1510–1523 to Vasily III, Grand Prince of Moscow. The core argument is expressed in Philotheus's letter with lapidary force: "All the kingdoms of the Orthodox Christian Faith have come together in your single kingdom: alone you in all the world are a Christian Tsar. Take heed how you hold it, pious Tsar; all Christian kingdoms have converged in yours alone. Two Romes have fallen. The third stands. And there will be no fourth. No one shall replace y</w:t>
      </w:r>
      <w:r>
        <w:t>our Christian Tsardom." This is a remarkable synthesis of eschatology, political theology, and ecclesiology. The "two Romes" that have fallen are Old Rome (into the heresy of the Filioque and papal supremacy) and New Rome / Constantinople (into the Ottoman captivity, as the providential consequence of the apostasy of Florence). Moscow alone, having preserved the pure Orthodox faith and now ruling over the only remaining Orthodox kingdom, is the Third Rome — the final world-historical seat of Christian civil</w:t>
      </w:r>
      <w:r>
        <w:t>ization before the eschaton.</w:t>
      </w:r>
    </w:p>
    <w:p w14:paraId="11DE05CC" w14:textId="77777777" w:rsidR="000E133F" w:rsidRDefault="00EC5ECA">
      <w:pPr>
        <w:spacing w:before="60" w:after="140" w:line="360" w:lineRule="auto"/>
      </w:pPr>
      <w:r>
        <w:t>The doctrine of Moscow as the Third Rome is controversial within Orthodoxy itself, and its contested status reveals important tensions in Orthodox political theology. Critics, from the Patriarch of Constantinople downward, have pointed out that the doctrine has no conciliar basis, that it confuses the theological category of the Church with the political category of the empire, and that it led historically to a specifically Russian messianism that was used to justify imperial expansion and ecclesiastical im</w:t>
      </w:r>
      <w:r>
        <w:t>perialism. Defenders argue that the doctrine correctly identified Moscow's historical role as the preserver and propagator of Orthodox civilization in the post-Byzantine period, that the Moscow Patriarchate's elevation to the fifth place of honor (after the four ancient patriarchates) in 1589 represented a conciliar acknowledgment of its central position in world Orthodoxy, and that the underlying theological claim — that the preservation of the Orthodox faith requires a stable political context — is genuin</w:t>
      </w:r>
      <w:r>
        <w:t>ely Orthodox.</w:t>
      </w:r>
    </w:p>
    <w:p w14:paraId="0D91153D" w14:textId="77777777" w:rsidR="000E133F" w:rsidRDefault="00EC5ECA">
      <w:pPr>
        <w:pStyle w:val="Heading2"/>
      </w:pPr>
      <w:bookmarkStart w:id="12" w:name="_Toc232765239"/>
      <w:r>
        <w:t>1.7 Modern Orthodoxy: Autocephaly, Diaspora, and the Contemporary Landscape</w:t>
      </w:r>
      <w:bookmarkEnd w:id="12"/>
    </w:p>
    <w:p w14:paraId="11E88C7F" w14:textId="77777777" w:rsidR="000E133F" w:rsidRDefault="00EC5ECA">
      <w:pPr>
        <w:spacing w:before="60" w:after="140" w:line="360" w:lineRule="auto"/>
      </w:pPr>
      <w:r>
        <w:t xml:space="preserve">The history of Orthodox Christianity in the modern period is shaped by three decisive developments: the subordination of the Russian church to state authority under Peter </w:t>
      </w:r>
      <w:r>
        <w:lastRenderedPageBreak/>
        <w:t>the Great, the catastrophic Soviet persecution, and the emergence of complex disputes over canonical jurisdiction in the post-Soviet world and in the Orthodox diaspora.</w:t>
      </w:r>
    </w:p>
    <w:p w14:paraId="2162949E" w14:textId="77777777" w:rsidR="000E133F" w:rsidRDefault="00EC5ECA">
      <w:pPr>
        <w:spacing w:before="60" w:after="140" w:line="360" w:lineRule="auto"/>
      </w:pPr>
      <w:r>
        <w:t>Peter I (r. 1682–1725) was the Tsar who most systematically attempted to modernize Russia along Western European lines, and his ecclesiastical reforms were the most dramatic assault on the institutional independence of the Russian Orthodox Church since the Mongol conquest. In 1721, Peter abolished the Moscow Patriarchate — vacant since the death of Patriarch Adrian in 1700, Peter having consistently blocked the election of a successor — and replaced it with the Holy Synod, a collegial body of bishops govern</w:t>
      </w:r>
      <w:r>
        <w:t xml:space="preserve">ed by a lay Ober-Procurator appointed by the Tsar. The theological basis for this restructuring was provided by Feofan Prokopovich, a theologian deeply influenced by Protestant ecclesiology, who in his </w:t>
      </w:r>
      <w:r>
        <w:rPr>
          <w:i/>
          <w:iCs/>
        </w:rPr>
        <w:t>Ecclesiastical Regulation</w:t>
      </w:r>
      <w:r>
        <w:t xml:space="preserve"> (</w:t>
      </w:r>
      <w:r>
        <w:rPr>
          <w:i/>
          <w:iCs/>
        </w:rPr>
        <w:t>Dukhovnyi Reglament</w:t>
      </w:r>
      <w:r>
        <w:t xml:space="preserve">) of 1721 argued that a single patriarchal head was more susceptible to arrogance and tyranny than a collegial synod, and that the Tsar's role as the protector of the Church required him to exercise supervision over ecclesiastical affairs. The result was a church </w:t>
      </w:r>
      <w:r>
        <w:t>that functioned, in effect, as a department of the imperial bureaucracy for two centuries.</w:t>
      </w:r>
    </w:p>
    <w:p w14:paraId="5DEC38E1" w14:textId="77777777" w:rsidR="000E133F" w:rsidRDefault="00EC5ECA">
      <w:pPr>
        <w:spacing w:before="60" w:after="140" w:line="360" w:lineRule="auto"/>
      </w:pPr>
      <w:r>
        <w:t>The restoration of the Moscow Patriarchate in 1917 — just days before the Bolshevik seizure of power — came too late to prevent the catastrophe of Soviet persecution. Patriarch Tikhon (elected October 1917) immediately faced the challenge of the new revolutionary government's determined assault on the institutional church: the Decree on the Separation of Church and State (January 1918) dissolved the legal basis of church property, nationalized church lands and buildings, and removed religious education from</w:t>
      </w:r>
      <w:r>
        <w:t xml:space="preserve"> schools. By 1921, the Soviet government had confiscated church treasuries under the pretext of famine relief, and the show trial of Metropolitan Benjamin of Petrograd (executed 1922) signaled the beginning of systematic clergy execution. The Catacomb Church — underground parishes that refused to register with the Soviet state — continued to exist throughout the Soviet period, at enormous cost in martyrdom, and represents one of the most extraordinary examples of Christian witness in modern history.</w:t>
      </w:r>
    </w:p>
    <w:p w14:paraId="4A4EF484" w14:textId="77777777" w:rsidR="000E133F" w:rsidRDefault="00EC5ECA">
      <w:pPr>
        <w:spacing w:before="60" w:after="140" w:line="360" w:lineRule="auto"/>
      </w:pPr>
      <w:r>
        <w:t xml:space="preserve">The Ukrainian autocephaly crisis of 2018–2019 represents the most significant contemporary rupture in Orthodox canonical order. Following the Maidan revolution of </w:t>
      </w:r>
      <w:r>
        <w:lastRenderedPageBreak/>
        <w:t xml:space="preserve">2014, the Russian military intervention in eastern Ukraine, and the annexation of Crimea, the Ukrainian government under President Poroshenko strongly lobbied the Ecumenical Patriarchate of Constantinople to grant autocephaly to a unified Ukrainian Orthodox church. In October 2018, Ecumenical Patriarch Bartholomew I of Constantinople issued a </w:t>
      </w:r>
      <w:r>
        <w:rPr>
          <w:i/>
          <w:iCs/>
        </w:rPr>
        <w:t>tomos</w:t>
      </w:r>
      <w:r>
        <w:t xml:space="preserve"> (patriarchal decree) granting autocephaly to the Orthodox Church of Ukraine (OCU), unifying two previously uncanonical bodies (the Ukrainian Orthodox Church of t</w:t>
      </w:r>
      <w:r>
        <w:t xml:space="preserve">he Kyivan Patriarchate and the Ukrainian Autocephalous Orthodox Church) into a single canonical church. The Moscow Patriarchate immediately severed communion with Constantinople, accusing the Ecumenical Patriarchate of an uncanonical invasion of its territory (since the Ukrainian church had been under Moscow's jurisdiction since 1686). The dispute has divided the Orthodox world, with some autocephalous churches recognizing the OCU (Constantinople, Alexandria, the Church of Greece, the Church of Cyprus, the </w:t>
      </w:r>
      <w:r>
        <w:t>Albanian church) and others maintaining communion only with the Moscow Patriarchate's Ukrainian church (Moscow, Serbia, Bulgaria, and others).</w:t>
      </w:r>
    </w:p>
    <w:p w14:paraId="5207518E" w14:textId="77777777" w:rsidR="000E133F" w:rsidRDefault="00EC5ECA">
      <w:pPr>
        <w:spacing w:before="60" w:after="140" w:line="360" w:lineRule="auto"/>
      </w:pPr>
      <w:r>
        <w:t xml:space="preserve">The theological stakes of this dispute extend well beyond Ukraine. It raises fundamental questions about who has the authority to grant autocephaly, what the canonical boundaries of patriarchal jurisdiction are, and — most fundamentally — whether the Ecumenical Patriarchate of Constantinople has a special prerogative of primacy within Orthodoxy that goes beyond the </w:t>
      </w:r>
      <w:r>
        <w:rPr>
          <w:i/>
          <w:iCs/>
        </w:rPr>
        <w:t>primus inter pares</w:t>
      </w:r>
      <w:r>
        <w:t xml:space="preserve"> status recognized by all, extending to a kind of jurisdictional initiative analogous (though not identical) to the role the Vatican plays in Roman Catholicism. Patriarch Bartholomew has, particularly in recent years, articulated an increasingly robust theology of the Ecumenical Patriarchate's unique prerogatives — its role as "first without equals" within Orthodoxy, its special responsibility for the diaspora, its prerogative of receiving appeals from other Orthodox churches. The Moscow P</w:t>
      </w:r>
      <w:r>
        <w:t>atriarchate, and a significant number of other Orthodox churches, regard these claims as a novelty without canonical basis, a creeping "Eastern papism" that threatens the collegial structure of Orthodoxy.</w:t>
      </w:r>
    </w:p>
    <w:p w14:paraId="7DD09A1C" w14:textId="77777777" w:rsidR="000E133F" w:rsidRDefault="00EC5ECA">
      <w:pPr>
        <w:spacing w:before="60" w:after="140" w:line="360" w:lineRule="auto"/>
      </w:pPr>
      <w:r>
        <w:t>The contemporary Orthodox world comprises the following autocephalous churches, listed in canonical order with approximate membership:</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380"/>
        <w:gridCol w:w="3380"/>
      </w:tblGrid>
      <w:tr w:rsidR="000E133F" w14:paraId="63968207" w14:textId="77777777">
        <w:tblPrEx>
          <w:tblCellMar>
            <w:top w:w="0" w:type="dxa"/>
            <w:bottom w:w="0" w:type="dxa"/>
          </w:tblCellMar>
        </w:tblPrEx>
        <w:tc>
          <w:tcPr>
            <w:tcW w:w="2600" w:type="dxa"/>
            <w:tcBorders>
              <w:top w:val="single" w:sz="4" w:space="0" w:color="AAAAAA"/>
              <w:left w:val="single" w:sz="4" w:space="0" w:color="AAAAAA"/>
              <w:bottom w:val="single" w:sz="4" w:space="0" w:color="AAAAAA"/>
              <w:right w:val="single" w:sz="4" w:space="0" w:color="AAAAAA"/>
            </w:tcBorders>
            <w:shd w:val="clear" w:color="auto" w:fill="1E3A4F"/>
            <w:tcMar>
              <w:top w:w="80" w:type="dxa"/>
              <w:left w:w="120" w:type="dxa"/>
              <w:bottom w:w="80" w:type="dxa"/>
              <w:right w:w="120" w:type="dxa"/>
            </w:tcMar>
          </w:tcPr>
          <w:p w14:paraId="46B52918" w14:textId="77777777" w:rsidR="000E133F" w:rsidRDefault="00EC5ECA">
            <w:r>
              <w:rPr>
                <w:b/>
                <w:bCs/>
                <w:color w:val="FFFFFF"/>
                <w:sz w:val="20"/>
                <w:szCs w:val="20"/>
              </w:rPr>
              <w:lastRenderedPageBreak/>
              <w:t>Church</w:t>
            </w:r>
          </w:p>
        </w:tc>
        <w:tc>
          <w:tcPr>
            <w:tcW w:w="3380" w:type="dxa"/>
            <w:tcBorders>
              <w:top w:val="single" w:sz="4" w:space="0" w:color="AAAAAA"/>
              <w:left w:val="single" w:sz="4" w:space="0" w:color="AAAAAA"/>
              <w:bottom w:val="single" w:sz="4" w:space="0" w:color="AAAAAA"/>
              <w:right w:val="single" w:sz="4" w:space="0" w:color="AAAAAA"/>
            </w:tcBorders>
            <w:shd w:val="clear" w:color="auto" w:fill="1E3A4F"/>
            <w:tcMar>
              <w:top w:w="80" w:type="dxa"/>
              <w:left w:w="120" w:type="dxa"/>
              <w:bottom w:w="80" w:type="dxa"/>
              <w:right w:w="120" w:type="dxa"/>
            </w:tcMar>
          </w:tcPr>
          <w:p w14:paraId="2EF6608D" w14:textId="77777777" w:rsidR="000E133F" w:rsidRDefault="00EC5ECA">
            <w:r>
              <w:rPr>
                <w:b/>
                <w:bCs/>
                <w:color w:val="FFFFFF"/>
                <w:sz w:val="20"/>
                <w:szCs w:val="20"/>
              </w:rPr>
              <w:t>See</w:t>
            </w:r>
          </w:p>
        </w:tc>
        <w:tc>
          <w:tcPr>
            <w:tcW w:w="3380" w:type="dxa"/>
            <w:tcBorders>
              <w:top w:val="single" w:sz="4" w:space="0" w:color="AAAAAA"/>
              <w:left w:val="single" w:sz="4" w:space="0" w:color="AAAAAA"/>
              <w:bottom w:val="single" w:sz="4" w:space="0" w:color="AAAAAA"/>
              <w:right w:val="single" w:sz="4" w:space="0" w:color="AAAAAA"/>
            </w:tcBorders>
            <w:shd w:val="clear" w:color="auto" w:fill="1E3A4F"/>
            <w:tcMar>
              <w:top w:w="80" w:type="dxa"/>
              <w:left w:w="120" w:type="dxa"/>
              <w:bottom w:w="80" w:type="dxa"/>
              <w:right w:w="120" w:type="dxa"/>
            </w:tcMar>
          </w:tcPr>
          <w:p w14:paraId="3CE2CB1A" w14:textId="77777777" w:rsidR="000E133F" w:rsidRDefault="00EC5ECA">
            <w:r>
              <w:rPr>
                <w:b/>
                <w:bCs/>
                <w:color w:val="FFFFFF"/>
                <w:sz w:val="20"/>
                <w:szCs w:val="20"/>
              </w:rPr>
              <w:t>Approximate Membership</w:t>
            </w:r>
          </w:p>
        </w:tc>
      </w:tr>
      <w:tr w:rsidR="000E133F" w14:paraId="0C0AD7C0" w14:textId="77777777">
        <w:tblPrEx>
          <w:tblCellMar>
            <w:top w:w="0" w:type="dxa"/>
            <w:bottom w:w="0" w:type="dxa"/>
          </w:tblCellMar>
        </w:tblPrEx>
        <w:tc>
          <w:tcPr>
            <w:tcW w:w="26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00741BA" w14:textId="77777777" w:rsidR="000E133F" w:rsidRDefault="00EC5ECA">
            <w:r>
              <w:t>Ecumenical Patriarchate of Constantinople</w:t>
            </w:r>
          </w:p>
        </w:tc>
        <w:tc>
          <w:tcPr>
            <w:tcW w:w="33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517147B9" w14:textId="77777777" w:rsidR="000E133F" w:rsidRDefault="00EC5ECA">
            <w:r>
              <w:t>Istanbul (Phanar)</w:t>
            </w:r>
          </w:p>
        </w:tc>
        <w:tc>
          <w:tcPr>
            <w:tcW w:w="33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1D9652B" w14:textId="77777777" w:rsidR="000E133F" w:rsidRDefault="00EC5ECA">
            <w:r>
              <w:t>5 million worldwide</w:t>
            </w:r>
          </w:p>
        </w:tc>
      </w:tr>
      <w:tr w:rsidR="000E133F" w14:paraId="3B6C3572" w14:textId="77777777">
        <w:tblPrEx>
          <w:tblCellMar>
            <w:top w:w="0" w:type="dxa"/>
            <w:bottom w:w="0" w:type="dxa"/>
          </w:tblCellMar>
        </w:tblPrEx>
        <w:tc>
          <w:tcPr>
            <w:tcW w:w="260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17038BEA" w14:textId="77777777" w:rsidR="000E133F" w:rsidRDefault="00EC5ECA">
            <w:r>
              <w:t>Greek Orthodox Patriarchate of Alexandria</w:t>
            </w:r>
          </w:p>
        </w:tc>
        <w:tc>
          <w:tcPr>
            <w:tcW w:w="338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7E1B4C16" w14:textId="77777777" w:rsidR="000E133F" w:rsidRDefault="00EC5ECA">
            <w:r>
              <w:t>Alexandria / Cairo</w:t>
            </w:r>
          </w:p>
        </w:tc>
        <w:tc>
          <w:tcPr>
            <w:tcW w:w="338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7842F2DE" w14:textId="77777777" w:rsidR="000E133F" w:rsidRDefault="00EC5ECA">
            <w:r>
              <w:t>6 million</w:t>
            </w:r>
          </w:p>
        </w:tc>
      </w:tr>
      <w:tr w:rsidR="000E133F" w14:paraId="2D569D6D" w14:textId="77777777">
        <w:tblPrEx>
          <w:tblCellMar>
            <w:top w:w="0" w:type="dxa"/>
            <w:bottom w:w="0" w:type="dxa"/>
          </w:tblCellMar>
        </w:tblPrEx>
        <w:tc>
          <w:tcPr>
            <w:tcW w:w="26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14B2790" w14:textId="77777777" w:rsidR="000E133F" w:rsidRDefault="00EC5ECA">
            <w:r>
              <w:t>Greek Orthodox Patriarchate of Antioch</w:t>
            </w:r>
          </w:p>
        </w:tc>
        <w:tc>
          <w:tcPr>
            <w:tcW w:w="33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B398E49" w14:textId="77777777" w:rsidR="000E133F" w:rsidRDefault="00EC5ECA">
            <w:r>
              <w:t>Damascus</w:t>
            </w:r>
          </w:p>
        </w:tc>
        <w:tc>
          <w:tcPr>
            <w:tcW w:w="33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A147197" w14:textId="77777777" w:rsidR="000E133F" w:rsidRDefault="00EC5ECA">
            <w:r>
              <w:t>5 million</w:t>
            </w:r>
          </w:p>
        </w:tc>
      </w:tr>
      <w:tr w:rsidR="000E133F" w14:paraId="76088DF8" w14:textId="77777777">
        <w:tblPrEx>
          <w:tblCellMar>
            <w:top w:w="0" w:type="dxa"/>
            <w:bottom w:w="0" w:type="dxa"/>
          </w:tblCellMar>
        </w:tblPrEx>
        <w:tc>
          <w:tcPr>
            <w:tcW w:w="260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6EE223D4" w14:textId="77777777" w:rsidR="000E133F" w:rsidRDefault="00EC5ECA">
            <w:r>
              <w:t>Greek Orthodox Patriarchate of Jerusalem</w:t>
            </w:r>
          </w:p>
        </w:tc>
        <w:tc>
          <w:tcPr>
            <w:tcW w:w="338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748575EC" w14:textId="77777777" w:rsidR="000E133F" w:rsidRDefault="00EC5ECA">
            <w:r>
              <w:t>Jerusalem</w:t>
            </w:r>
          </w:p>
        </w:tc>
        <w:tc>
          <w:tcPr>
            <w:tcW w:w="338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3F09CCF4" w14:textId="77777777" w:rsidR="000E133F" w:rsidRDefault="00EC5ECA">
            <w:r>
              <w:t>130,000</w:t>
            </w:r>
          </w:p>
        </w:tc>
      </w:tr>
      <w:tr w:rsidR="000E133F" w14:paraId="73A68ACB" w14:textId="77777777">
        <w:tblPrEx>
          <w:tblCellMar>
            <w:top w:w="0" w:type="dxa"/>
            <w:bottom w:w="0" w:type="dxa"/>
          </w:tblCellMar>
        </w:tblPrEx>
        <w:tc>
          <w:tcPr>
            <w:tcW w:w="26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13B616C" w14:textId="77777777" w:rsidR="000E133F" w:rsidRDefault="00EC5ECA">
            <w:r>
              <w:t>Russian Orthodox Church (Moscow Patriarchate)</w:t>
            </w:r>
          </w:p>
        </w:tc>
        <w:tc>
          <w:tcPr>
            <w:tcW w:w="33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1E154FAB" w14:textId="77777777" w:rsidR="000E133F" w:rsidRDefault="00EC5ECA">
            <w:r>
              <w:t>Moscow</w:t>
            </w:r>
          </w:p>
        </w:tc>
        <w:tc>
          <w:tcPr>
            <w:tcW w:w="33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329E0806" w14:textId="77777777" w:rsidR="000E133F" w:rsidRDefault="00EC5ECA">
            <w:r>
              <w:t>100–150 million</w:t>
            </w:r>
          </w:p>
        </w:tc>
      </w:tr>
      <w:tr w:rsidR="000E133F" w14:paraId="7B1563DE" w14:textId="77777777">
        <w:tblPrEx>
          <w:tblCellMar>
            <w:top w:w="0" w:type="dxa"/>
            <w:bottom w:w="0" w:type="dxa"/>
          </w:tblCellMar>
        </w:tblPrEx>
        <w:tc>
          <w:tcPr>
            <w:tcW w:w="260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57278BED" w14:textId="77777777" w:rsidR="000E133F" w:rsidRDefault="00EC5ECA">
            <w:r>
              <w:t>Serbian Orthodox Church</w:t>
            </w:r>
          </w:p>
        </w:tc>
        <w:tc>
          <w:tcPr>
            <w:tcW w:w="338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232FD871" w14:textId="77777777" w:rsidR="000E133F" w:rsidRDefault="00EC5ECA">
            <w:r>
              <w:t>Belgrade</w:t>
            </w:r>
          </w:p>
        </w:tc>
        <w:tc>
          <w:tcPr>
            <w:tcW w:w="338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7D8F3C9E" w14:textId="77777777" w:rsidR="000E133F" w:rsidRDefault="00EC5ECA">
            <w:r>
              <w:t>8–12 million</w:t>
            </w:r>
          </w:p>
        </w:tc>
      </w:tr>
      <w:tr w:rsidR="000E133F" w14:paraId="206B2C62" w14:textId="77777777">
        <w:tblPrEx>
          <w:tblCellMar>
            <w:top w:w="0" w:type="dxa"/>
            <w:bottom w:w="0" w:type="dxa"/>
          </w:tblCellMar>
        </w:tblPrEx>
        <w:tc>
          <w:tcPr>
            <w:tcW w:w="26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EA54031" w14:textId="77777777" w:rsidR="000E133F" w:rsidRDefault="00EC5ECA">
            <w:r>
              <w:t>Romanian Orthodox Church</w:t>
            </w:r>
          </w:p>
        </w:tc>
        <w:tc>
          <w:tcPr>
            <w:tcW w:w="33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49CA471" w14:textId="77777777" w:rsidR="000E133F" w:rsidRDefault="00EC5ECA">
            <w:r>
              <w:t>Bucharest</w:t>
            </w:r>
          </w:p>
        </w:tc>
        <w:tc>
          <w:tcPr>
            <w:tcW w:w="33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85D5AA5" w14:textId="77777777" w:rsidR="000E133F" w:rsidRDefault="00EC5ECA">
            <w:r>
              <w:t>18–20 million</w:t>
            </w:r>
          </w:p>
        </w:tc>
      </w:tr>
      <w:tr w:rsidR="000E133F" w14:paraId="56FE8CF7" w14:textId="77777777">
        <w:tblPrEx>
          <w:tblCellMar>
            <w:top w:w="0" w:type="dxa"/>
            <w:bottom w:w="0" w:type="dxa"/>
          </w:tblCellMar>
        </w:tblPrEx>
        <w:tc>
          <w:tcPr>
            <w:tcW w:w="260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4A92672B" w14:textId="77777777" w:rsidR="000E133F" w:rsidRDefault="00EC5ECA">
            <w:r>
              <w:t>Bulgarian Orthodox Church</w:t>
            </w:r>
          </w:p>
        </w:tc>
        <w:tc>
          <w:tcPr>
            <w:tcW w:w="338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6D8CC5F8" w14:textId="77777777" w:rsidR="000E133F" w:rsidRDefault="00EC5ECA">
            <w:r>
              <w:t>Sofia</w:t>
            </w:r>
          </w:p>
        </w:tc>
        <w:tc>
          <w:tcPr>
            <w:tcW w:w="338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4C93A3C5" w14:textId="77777777" w:rsidR="000E133F" w:rsidRDefault="00EC5ECA">
            <w:r>
              <w:t>6–8 million</w:t>
            </w:r>
          </w:p>
        </w:tc>
      </w:tr>
      <w:tr w:rsidR="000E133F" w14:paraId="1289D0FC" w14:textId="77777777">
        <w:tblPrEx>
          <w:tblCellMar>
            <w:top w:w="0" w:type="dxa"/>
            <w:bottom w:w="0" w:type="dxa"/>
          </w:tblCellMar>
        </w:tblPrEx>
        <w:tc>
          <w:tcPr>
            <w:tcW w:w="26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E72B5BF" w14:textId="77777777" w:rsidR="000E133F" w:rsidRDefault="00EC5ECA">
            <w:r>
              <w:t>Georgian Orthodox Church</w:t>
            </w:r>
          </w:p>
        </w:tc>
        <w:tc>
          <w:tcPr>
            <w:tcW w:w="33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11B34E4F" w14:textId="77777777" w:rsidR="000E133F" w:rsidRDefault="00EC5ECA">
            <w:r>
              <w:t>Tbilisi</w:t>
            </w:r>
          </w:p>
        </w:tc>
        <w:tc>
          <w:tcPr>
            <w:tcW w:w="33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6CFF229" w14:textId="77777777" w:rsidR="000E133F" w:rsidRDefault="00EC5ECA">
            <w:r>
              <w:t>3.5 million</w:t>
            </w:r>
          </w:p>
        </w:tc>
      </w:tr>
      <w:tr w:rsidR="000E133F" w14:paraId="1FE4444A" w14:textId="77777777">
        <w:tblPrEx>
          <w:tblCellMar>
            <w:top w:w="0" w:type="dxa"/>
            <w:bottom w:w="0" w:type="dxa"/>
          </w:tblCellMar>
        </w:tblPrEx>
        <w:tc>
          <w:tcPr>
            <w:tcW w:w="260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4C230EF7" w14:textId="77777777" w:rsidR="000E133F" w:rsidRDefault="00EC5ECA">
            <w:r>
              <w:t>Orthodox Church of Cyprus</w:t>
            </w:r>
          </w:p>
        </w:tc>
        <w:tc>
          <w:tcPr>
            <w:tcW w:w="338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7801F524" w14:textId="77777777" w:rsidR="000E133F" w:rsidRDefault="00EC5ECA">
            <w:r>
              <w:t>Nicosia</w:t>
            </w:r>
          </w:p>
        </w:tc>
        <w:tc>
          <w:tcPr>
            <w:tcW w:w="338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7E2656FE" w14:textId="77777777" w:rsidR="000E133F" w:rsidRDefault="00EC5ECA">
            <w:r>
              <w:t>700,000</w:t>
            </w:r>
          </w:p>
        </w:tc>
      </w:tr>
      <w:tr w:rsidR="000E133F" w14:paraId="7F655C51" w14:textId="77777777">
        <w:tblPrEx>
          <w:tblCellMar>
            <w:top w:w="0" w:type="dxa"/>
            <w:bottom w:w="0" w:type="dxa"/>
          </w:tblCellMar>
        </w:tblPrEx>
        <w:tc>
          <w:tcPr>
            <w:tcW w:w="26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131C81A9" w14:textId="77777777" w:rsidR="000E133F" w:rsidRDefault="00EC5ECA">
            <w:r>
              <w:t>Church of Greece</w:t>
            </w:r>
          </w:p>
        </w:tc>
        <w:tc>
          <w:tcPr>
            <w:tcW w:w="33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7A6DB67" w14:textId="77777777" w:rsidR="000E133F" w:rsidRDefault="00EC5ECA">
            <w:r>
              <w:t>Athens</w:t>
            </w:r>
          </w:p>
        </w:tc>
        <w:tc>
          <w:tcPr>
            <w:tcW w:w="33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73BE24C" w14:textId="77777777" w:rsidR="000E133F" w:rsidRDefault="00EC5ECA">
            <w:r>
              <w:t>10 million</w:t>
            </w:r>
          </w:p>
        </w:tc>
      </w:tr>
      <w:tr w:rsidR="000E133F" w14:paraId="753FF154" w14:textId="77777777">
        <w:tblPrEx>
          <w:tblCellMar>
            <w:top w:w="0" w:type="dxa"/>
            <w:bottom w:w="0" w:type="dxa"/>
          </w:tblCellMar>
        </w:tblPrEx>
        <w:tc>
          <w:tcPr>
            <w:tcW w:w="260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6E93800A" w14:textId="77777777" w:rsidR="000E133F" w:rsidRDefault="00EC5ECA">
            <w:r>
              <w:t>Albanian Orthodox Church</w:t>
            </w:r>
          </w:p>
        </w:tc>
        <w:tc>
          <w:tcPr>
            <w:tcW w:w="338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2BA40023" w14:textId="77777777" w:rsidR="000E133F" w:rsidRDefault="00EC5ECA">
            <w:r>
              <w:t>Tirana</w:t>
            </w:r>
          </w:p>
        </w:tc>
        <w:tc>
          <w:tcPr>
            <w:tcW w:w="338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4DA605F9" w14:textId="77777777" w:rsidR="000E133F" w:rsidRDefault="00EC5ECA">
            <w:r>
              <w:t>700,000</w:t>
            </w:r>
          </w:p>
        </w:tc>
      </w:tr>
      <w:tr w:rsidR="000E133F" w14:paraId="43E2918F" w14:textId="77777777">
        <w:tblPrEx>
          <w:tblCellMar>
            <w:top w:w="0" w:type="dxa"/>
            <w:bottom w:w="0" w:type="dxa"/>
          </w:tblCellMar>
        </w:tblPrEx>
        <w:tc>
          <w:tcPr>
            <w:tcW w:w="26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311A157C" w14:textId="77777777" w:rsidR="000E133F" w:rsidRDefault="00EC5ECA">
            <w:r>
              <w:t>Polish Orthodox Church</w:t>
            </w:r>
          </w:p>
        </w:tc>
        <w:tc>
          <w:tcPr>
            <w:tcW w:w="33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50B6F429" w14:textId="77777777" w:rsidR="000E133F" w:rsidRDefault="00EC5ECA">
            <w:r>
              <w:t>Warsaw</w:t>
            </w:r>
          </w:p>
        </w:tc>
        <w:tc>
          <w:tcPr>
            <w:tcW w:w="33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15C1B8FD" w14:textId="77777777" w:rsidR="000E133F" w:rsidRDefault="00EC5ECA">
            <w:r>
              <w:t>500,000</w:t>
            </w:r>
          </w:p>
        </w:tc>
      </w:tr>
      <w:tr w:rsidR="000E133F" w14:paraId="0B8D4C45" w14:textId="77777777">
        <w:tblPrEx>
          <w:tblCellMar>
            <w:top w:w="0" w:type="dxa"/>
            <w:bottom w:w="0" w:type="dxa"/>
          </w:tblCellMar>
        </w:tblPrEx>
        <w:tc>
          <w:tcPr>
            <w:tcW w:w="260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65F6F802" w14:textId="77777777" w:rsidR="000E133F" w:rsidRDefault="00EC5ECA">
            <w:r>
              <w:t>Orthodox Church of the Czech Lands and Slovakia</w:t>
            </w:r>
          </w:p>
        </w:tc>
        <w:tc>
          <w:tcPr>
            <w:tcW w:w="338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4E95557E" w14:textId="77777777" w:rsidR="000E133F" w:rsidRDefault="00EC5ECA">
            <w:r>
              <w:t>Prague / Prešov</w:t>
            </w:r>
          </w:p>
        </w:tc>
        <w:tc>
          <w:tcPr>
            <w:tcW w:w="338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51FDAAC6" w14:textId="77777777" w:rsidR="000E133F" w:rsidRDefault="00EC5ECA">
            <w:r>
              <w:t>100,000</w:t>
            </w:r>
          </w:p>
        </w:tc>
      </w:tr>
      <w:tr w:rsidR="000E133F" w14:paraId="475EA3AB" w14:textId="77777777">
        <w:tblPrEx>
          <w:tblCellMar>
            <w:top w:w="0" w:type="dxa"/>
            <w:bottom w:w="0" w:type="dxa"/>
          </w:tblCellMar>
        </w:tblPrEx>
        <w:tc>
          <w:tcPr>
            <w:tcW w:w="26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6B39A7B" w14:textId="77777777" w:rsidR="000E133F" w:rsidRDefault="00EC5ECA">
            <w:r>
              <w:t>Orthodox Church in America (OCA)</w:t>
            </w:r>
          </w:p>
        </w:tc>
        <w:tc>
          <w:tcPr>
            <w:tcW w:w="33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33A28FD" w14:textId="77777777" w:rsidR="000E133F" w:rsidRDefault="00EC5ECA">
            <w:r>
              <w:t>Washington DC</w:t>
            </w:r>
          </w:p>
        </w:tc>
        <w:tc>
          <w:tcPr>
            <w:tcW w:w="33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1943569E" w14:textId="77777777" w:rsidR="000E133F" w:rsidRDefault="00EC5ECA">
            <w:r>
              <w:t>1–2 million (disputed)</w:t>
            </w:r>
          </w:p>
        </w:tc>
      </w:tr>
      <w:tr w:rsidR="000E133F" w14:paraId="6AB5FB30" w14:textId="77777777">
        <w:tblPrEx>
          <w:tblCellMar>
            <w:top w:w="0" w:type="dxa"/>
            <w:bottom w:w="0" w:type="dxa"/>
          </w:tblCellMar>
        </w:tblPrEx>
        <w:tc>
          <w:tcPr>
            <w:tcW w:w="260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14B9C0C6" w14:textId="77777777" w:rsidR="000E133F" w:rsidRDefault="00EC5ECA">
            <w:r>
              <w:lastRenderedPageBreak/>
              <w:t>Orthodox Church of Ukraine (OCU)</w:t>
            </w:r>
          </w:p>
        </w:tc>
        <w:tc>
          <w:tcPr>
            <w:tcW w:w="338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352523C1" w14:textId="77777777" w:rsidR="000E133F" w:rsidRDefault="00EC5ECA">
            <w:r>
              <w:t>Kyiv</w:t>
            </w:r>
          </w:p>
        </w:tc>
        <w:tc>
          <w:tcPr>
            <w:tcW w:w="338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6CD962F3" w14:textId="77777777" w:rsidR="000E133F" w:rsidRDefault="00EC5ECA">
            <w:r>
              <w:t>5–7 million (disputed)</w:t>
            </w:r>
          </w:p>
        </w:tc>
      </w:tr>
    </w:tbl>
    <w:p w14:paraId="62724477" w14:textId="77777777" w:rsidR="000E133F" w:rsidRDefault="00EC5ECA">
      <w:r>
        <w:t xml:space="preserve"> </w:t>
      </w:r>
    </w:p>
    <w:p w14:paraId="54B975E0" w14:textId="77777777" w:rsidR="000E133F" w:rsidRDefault="00EC5ECA">
      <w:pPr>
        <w:spacing w:before="60" w:after="140" w:line="360" w:lineRule="auto"/>
      </w:pPr>
      <w:r>
        <w:t>In addition to these autocephalous churches, several autonomous churches exist under the canonical protection of various patriarchates: the Finnish Orthodox Church (under Constantinople), the Estonian Apostolic Orthodox Church (under Constantinople, disputed with Moscow), the Macedonian Orthodox Church (declared autocephalous 1967, recognized by some churches only after 2022), and others. The existence of multiple overlapping jurisdictions in the same territory — particularly in Western Europe and North Ame</w:t>
      </w:r>
      <w:r>
        <w:t>rica, where Greek Orthodox, Russian Orthodox, Antiochian Orthodox, and other jurisdictions all operate simultaneously in the same cities — represents a canonical anomaly that the Orthodox church has long recognized as ecclesiologically problematic (since canonically, there should be only one bishop in each place) but has been unable to resolve due to the political complexities of diaspora life and inter-Orthodox relations.</w:t>
      </w:r>
    </w:p>
    <w:p w14:paraId="69EBFABF" w14:textId="77777777" w:rsidR="000E133F" w:rsidRDefault="00EC5ECA">
      <w:pPr>
        <w:spacing w:before="60" w:after="140" w:line="360" w:lineRule="auto"/>
      </w:pPr>
      <w:r>
        <w:t>The total number of Eastern Orthodox Christians worldwide is estimated at between 220 and 260 million, making Orthodoxy the third-largest Christian communion after Roman Catholicism and Protestantism. The overwhelming majority — approximately two-thirds — live in Russia and the former Soviet republics. The remainder are distributed across the Balkans, the Middle East (where ancient Patriarchates of Alexandria, Antioch, and Jerusalem survive in increasingly difficult circumstances), sub-Saharan Africa (where</w:t>
      </w:r>
      <w:r>
        <w:t xml:space="preserve"> the Patriarchate of Alexandria has experienced remarkable growth, claiming up to 6 million faithful, largely in sub-Saharan Africa), and the diaspora communities of Western Europe, North America, and Australia.</w:t>
      </w:r>
    </w:p>
    <w:p w14:paraId="1CFF7291" w14:textId="77777777" w:rsidR="000E133F" w:rsidRDefault="00EC5ECA">
      <w:pPr>
        <w:pStyle w:val="Heading1"/>
        <w:pageBreakBefore/>
      </w:pPr>
      <w:bookmarkStart w:id="13" w:name="_Toc232765240"/>
      <w:r>
        <w:lastRenderedPageBreak/>
        <w:t>CHAPTER TWO</w:t>
      </w:r>
      <w:bookmarkEnd w:id="13"/>
    </w:p>
    <w:p w14:paraId="0EDADDD9" w14:textId="77777777" w:rsidR="000E133F" w:rsidRDefault="00EC5ECA">
      <w:pPr>
        <w:pStyle w:val="Heading1"/>
        <w:pageBreakBefore/>
      </w:pPr>
      <w:bookmarkStart w:id="14" w:name="_Toc232765241"/>
      <w:r>
        <w:lastRenderedPageBreak/>
        <w:t>ORTHODOX ECCLESIOLOGY — CONCILIARITY, PENTARCHY, AND THE SEVEN COUNCILS</w:t>
      </w:r>
      <w:bookmarkEnd w:id="14"/>
    </w:p>
    <w:p w14:paraId="7D7D9802" w14:textId="77777777" w:rsidR="000E133F" w:rsidRDefault="00EC5ECA">
      <w:pPr>
        <w:pStyle w:val="Heading2"/>
      </w:pPr>
      <w:bookmarkStart w:id="15" w:name="_Toc232765242"/>
      <w:r>
        <w:t>2.1 The Theology of the Local Church and the Eucharistic Ecclesiology of Zizioulas</w:t>
      </w:r>
      <w:bookmarkEnd w:id="15"/>
    </w:p>
    <w:p w14:paraId="563D7E2F" w14:textId="77777777" w:rsidR="000E133F" w:rsidRDefault="00EC5ECA">
      <w:pPr>
        <w:spacing w:before="60" w:after="140" w:line="360" w:lineRule="auto"/>
      </w:pPr>
      <w:r>
        <w:t xml:space="preserve">No figure in contemporary Orthodox theology has done more to articulate the theoretical foundations of Orthodox ecclesiology in terms accessible to modern academic discourse than John Zizioulas, Metropolitan of Pergamon, whose work </w:t>
      </w:r>
      <w:r>
        <w:rPr>
          <w:i/>
          <w:iCs/>
        </w:rPr>
        <w:t>Being as Communion: Studies in Personhood and the Church</w:t>
      </w:r>
      <w:r>
        <w:t xml:space="preserve"> (1985) has become one of the most influential works in ecumenical theology of the late twentieth century. Zizioulas's thesis is deceptively simple in its formulation but extraordinarily rich in its implications: the Church is not a collection of individuals who come together to form a community, but a eucharistic community that is, in each act of gathering for the Eucharist, the fullness of the Body of Christ in a particular place. This thesis, which </w:t>
      </w:r>
      <w:r>
        <w:t>Zizioulas develops with extensive reference to Ignatius of Antioch, the Pauline epistles, and modern Orthodox theologians, represents the most sophisticated contemporary articulation of an ecclesiology that goes back to the earliest documents of Christianity.</w:t>
      </w:r>
    </w:p>
    <w:p w14:paraId="101EBBDA" w14:textId="77777777" w:rsidR="000E133F" w:rsidRDefault="00EC5ECA">
      <w:pPr>
        <w:spacing w:before="60" w:after="140" w:line="360" w:lineRule="auto"/>
      </w:pPr>
      <w:r>
        <w:t>The heart of Zizioulas's argument is a distinction between two modes of being: what he calls "biological" or "individual" being, which is the being of persons as members of a species, constituted by birth and therefore mortal and subject to the tyranny of nature; and "hypostatic" or "ecclesial" being, which is the being of persons as members of Christ's Body, constituted by baptism and the Eucharist and therefore participating in the divine mode of being which is communion. For Zizioulas, drawing on the Cap</w:t>
      </w:r>
      <w:r>
        <w:t>padocian theology of the Trinity, the fundamental structure of divine being is not substance (what God is in Himself) but communion (the mutual indwelling of the three Persons). God is not first a substance and then a being-in-relation; God is constitutively relational — the divine being subsists as communion. The Church participates in this divine mode of being precisely in the Eucharist: the gathering of the faithful around the bishop for the Eucharist is not the assembly of individuals who happen to have</w:t>
      </w:r>
      <w:r>
        <w:t xml:space="preserve"> the same religion, but the actualization in space and time of the divine communion of Persons.</w:t>
      </w:r>
    </w:p>
    <w:p w14:paraId="06194775" w14:textId="77777777" w:rsidR="000E133F" w:rsidRDefault="00EC5ECA">
      <w:pPr>
        <w:spacing w:before="60" w:after="140" w:line="360" w:lineRule="auto"/>
      </w:pPr>
      <w:r>
        <w:lastRenderedPageBreak/>
        <w:t>The bishop, in Zizioulas's ecclesiology, is the icon of Christ presiding at the Eucharistic assembly. He writes: "The bishop is not just the administrator of a diocese; he is the one who makes present in the eucharistic community the fullness of the Church of God. In him, the local church is the Church — not a part of the Church, not a branch of the Church, but the Church in its catholicity made present in this place." This is the decisive claim: the local church, gathered with its bishop for the Eucharist,</w:t>
      </w:r>
      <w:r>
        <w:t xml:space="preserve"> is the Catholic Church — not a fragment of it, not a partial manifestation of it, but the fullness of it, present in particular place and time. The universal Church is not a super-entity that exists over and above the local churches; it is the communion of local churches, each of which is already fully the Church.</w:t>
      </w:r>
    </w:p>
    <w:p w14:paraId="12D6FBE5" w14:textId="77777777" w:rsidR="000E133F" w:rsidRDefault="00EC5ECA">
      <w:pPr>
        <w:spacing w:before="60" w:after="140" w:line="360" w:lineRule="auto"/>
      </w:pPr>
      <w:r>
        <w:t>The implications of this ecclesiology are far-reaching. If the local church is already the fullness of the Church, then episcopal authority is primarily local: the bishop governs his local church because he is the president of its Eucharistic assembly, the one through whom the whole tradition of the apostles is transmitted to this particular people in this particular place. His authority does not derive from a delegation by a higher authority (whether a patriarch or a pope); it derives from his ordination b</w:t>
      </w:r>
      <w:r>
        <w:t>y fellow bishops in apostolic succession, which places him within the continuous life of the Church universal. The relationship between local churches, and therefore between their bishops, is not one of subordination but of communion: each bishop is equal in his episcopal dignity, and the ordering among them — the primacy of one over others — exists for the service of their communion, not as the expression of a monarchical jurisdiction.</w:t>
      </w:r>
    </w:p>
    <w:p w14:paraId="5C8A2FFF" w14:textId="77777777" w:rsidR="000E133F" w:rsidRDefault="00EC5ECA">
      <w:pPr>
        <w:spacing w:before="60" w:after="140" w:line="360" w:lineRule="auto"/>
      </w:pPr>
      <w:r>
        <w:t xml:space="preserve">Zizioulas's eucharistic ecclesiology has not been without its critics within Orthodoxy. Alexander Schmemann, who developed his own distinct but related liturgical theology at St. Vladimir's Seminary until his death in 1983, welcomed much of Zizioulas's work while expressing reservations about what he saw as an excessive separation between the local and the universal Church. Schmemann's own contribution, most fully developed in </w:t>
      </w:r>
      <w:r>
        <w:rPr>
          <w:i/>
          <w:iCs/>
        </w:rPr>
        <w:t>The Eucharist: Sacrament of the Kingdom</w:t>
      </w:r>
      <w:r>
        <w:t xml:space="preserve"> (1988), shares with Zizioulas the conviction that the Eucharist is the constitutive act of the Church and that the liturgical assembly is the locus of the Church's life. But Schmemann insists more strongly on the eschatological dimension of the Eucharist: the liturgy is not primarily the expression of the community's present life but the anticipation and foretaste of the Kingdom of God </w:t>
      </w:r>
      <w:r>
        <w:lastRenderedPageBreak/>
        <w:t xml:space="preserve">that is to come. The Church exists in the tension between its present reality as a </w:t>
      </w:r>
      <w:r>
        <w:t>gathered community and its eschatological reality as the Kingdom already present. This eschatological emphasis, which Schmemann traces through the entire history of Orthodox liturgical theology, leads him to a somewhat different assessment of the relationship between the local and the universal: the Church is always moving toward the fullness of the Kingdom, and this movement is not merely local but universal and cosmic.</w:t>
      </w:r>
    </w:p>
    <w:p w14:paraId="3C601F21" w14:textId="77777777" w:rsidR="000E133F" w:rsidRDefault="00EC5ECA">
      <w:pPr>
        <w:spacing w:before="60" w:after="140" w:line="360" w:lineRule="auto"/>
      </w:pPr>
      <w:r>
        <w:t>The disagreement between Zizioulas and Schmemann is not a disagreement about the importance of the Eucharist or about the fundamental character of the Church as a eucharistic community. It is a disagreement about emphasis and ultimate grounding: Zizioulas grounds ecclesiology primarily in ontology (the Church participates in the divine mode of being-as-communion), while Schmemann grounds it primarily in eschatology (the Church is the foretaste of the Kingdom). Both perspectives are authentically Orthodox an</w:t>
      </w:r>
      <w:r>
        <w:t>d mutually enriching, and both have been enormously productive in ecumenical dialogue.</w:t>
      </w:r>
    </w:p>
    <w:p w14:paraId="4E97187E" w14:textId="77777777" w:rsidR="000E133F" w:rsidRDefault="00EC5ECA">
      <w:pPr>
        <w:pStyle w:val="Heading2"/>
      </w:pPr>
      <w:bookmarkStart w:id="16" w:name="_Toc232765243"/>
      <w:r>
        <w:t>2.2 Conciliarity (*Sobornost*) and the Reception of Truth</w:t>
      </w:r>
      <w:bookmarkEnd w:id="16"/>
    </w:p>
    <w:p w14:paraId="15937C02" w14:textId="77777777" w:rsidR="000E133F" w:rsidRDefault="00EC5ECA">
      <w:pPr>
        <w:spacing w:before="60" w:after="140" w:line="360" w:lineRule="auto"/>
      </w:pPr>
      <w:r>
        <w:t xml:space="preserve">The theological concept that most distinctively characterizes Orthodox ecclesiology, in distinction from both Roman Catholic and Protestant understandings of the Church, is conciliarity — in Russian theology, </w:t>
      </w:r>
      <w:r>
        <w:rPr>
          <w:i/>
          <w:iCs/>
        </w:rPr>
        <w:t>sobornost</w:t>
      </w:r>
      <w:r>
        <w:t>. The concept was given its most influential modern articulation by Alexei Stepanovich Khomiakov (1804–1860), the lay Slavophile theologian who was the most original and productive Russian theological mind of the nineteenth century. Khomiakov's essay "The Church Is One," written around 1840 and published posthumously, is the founding document of modern Orthodox sobornost theology, and it merits careful reading.</w:t>
      </w:r>
    </w:p>
    <w:p w14:paraId="56091139" w14:textId="77777777" w:rsidR="000E133F" w:rsidRDefault="00EC5ECA">
      <w:pPr>
        <w:spacing w:before="60" w:after="140" w:line="360" w:lineRule="auto"/>
      </w:pPr>
      <w:r>
        <w:t>Khomiakov defines the Church as "the unity of the Spirit of God in the bond of peace in the multiplicity of rational creatures, submitting voluntarily to grace, and living with one and the same divine life." This definition is immediately notable for what it excludes: the Church is not defined institutionally (as the body subject to a particular hierarchy), juridically (as those who have accepted particular doctrines), or sociologically (as a voluntary association of like-minded religious individuals). It i</w:t>
      </w:r>
      <w:r>
        <w:t xml:space="preserve">s defined ontologically </w:t>
      </w:r>
      <w:r>
        <w:lastRenderedPageBreak/>
        <w:t xml:space="preserve">and pneumatologically: as the unity effected by the Holy Spirit in those who have voluntarily submitted to grace. The qualifier "voluntarily" is crucial: Khomiakov is deeply committed to the principle that genuine unity must be unity in freedom, not uniformity imposed by external authority. The Roman Catholic model, as he reads it, secures unity by imposing a juridical uniformity from above, through the authority of the Pope; the Protestant model, as he reads it, disintegrates unity </w:t>
      </w:r>
      <w:r>
        <w:t>into the private judgments of individuals. Both are distortions: the one substitutes external compulsion for inner freedom, the other substitutes individual reason for the life of the Spirit.</w:t>
      </w:r>
    </w:p>
    <w:p w14:paraId="34E68FE6" w14:textId="77777777" w:rsidR="000E133F" w:rsidRDefault="00EC5ECA">
      <w:pPr>
        <w:spacing w:before="60" w:after="140" w:line="360" w:lineRule="auto"/>
      </w:pPr>
      <w:r>
        <w:t>Sobornost, for Khomiakov, is the organic unity of the Church as a living community of love, in which each member participates fully in the life of the whole while retaining genuine personal identity and freedom. This is not a vague spiritual metaphor; it has specific implications for the way doctrine is discerned and authority is exercised. In the Orthodox understanding, doctrinal truth is not the possession of any individual, any office, or any institution. It is the possession of the whole Church, which t</w:t>
      </w:r>
      <w:r>
        <w:t>he Holy Spirit guides into all truth. The task of the bishops gathered in council is not to create or legislate doctrine but to discern and articulate what the Church already believes and has always believed. The criterion of authentic doctrine is therefore not the authority of the council as such — not the fact that the right bishops were canonically convoked and the decisions properly enacted — but the reception of the council's definitions by the whole body of the Church across time.</w:t>
      </w:r>
    </w:p>
    <w:p w14:paraId="0C2B3C61" w14:textId="77777777" w:rsidR="000E133F" w:rsidRDefault="00EC5ECA">
      <w:pPr>
        <w:spacing w:before="60" w:after="140" w:line="360" w:lineRule="auto"/>
      </w:pPr>
      <w:r>
        <w:t>The distinction between a council that is genuinely ecumenical and a council that is not — what Orthodoxy calls a "robber council" (</w:t>
      </w:r>
      <w:r>
        <w:rPr>
          <w:i/>
          <w:iCs/>
        </w:rPr>
        <w:t>latrocinium</w:t>
      </w:r>
      <w:r>
        <w:t>) — is not simply a matter of canonical procedure. It is a matter of reception. The Second Council of Ephesus (449), convoked by the same emperor and with the same formal procedures as the Council of Ephesus (431), produced decisions that the whole Church subsequently refused to receive; it is therefore called a "robber synod" (</w:t>
      </w:r>
      <w:r>
        <w:rPr>
          <w:i/>
          <w:iCs/>
        </w:rPr>
        <w:t>latrocinium</w:t>
      </w:r>
      <w:r>
        <w:t>, in Pope Leo's phrase) and counted as no council at all. Conversely, the Council of Ephesus (431) was genuinely ecumenical not merely because the proper bishop</w:t>
      </w:r>
      <w:r>
        <w:t xml:space="preserve">s assembled and voted correctly but because the whole Church — bishops, clergy, monks, and people — received its definition of Mary as Theotokos. The famous account of the popular reaction in Ephesus itself, preserved in several ancient sources, describes the assembled people escorting the </w:t>
      </w:r>
      <w:r>
        <w:lastRenderedPageBreak/>
        <w:t>bishops from the council hall by torchlight through the streets of the city, celebrating the definition with hymns and lights: a vivid image of conciliar reception as a communal, organic act.</w:t>
      </w:r>
    </w:p>
    <w:p w14:paraId="71B81633" w14:textId="77777777" w:rsidR="000E133F" w:rsidRDefault="00EC5ECA">
      <w:pPr>
        <w:spacing w:before="60" w:after="140" w:line="360" w:lineRule="auto"/>
      </w:pPr>
      <w:r>
        <w:t>Georges Florovsky developed the theology of reception with characteristic rigor in his essay "The Authority of the Ancient Councils and the Tradition of the Fathers." For Florovsky, the ecumenical authority of the Seven Councils rests not on their canonical convocation or their imperial sanction — both of which are, historically speaking, accidents of the Byzantine period — but on their reception by the Church as authentic expressions of apostolic faith. He writes: "The councils were not 'constitutional con</w:t>
      </w:r>
      <w:r>
        <w:t>ventions' of the Church but occasions of the Spirit's guidance. Their authority is not legislative but witnessing. They do not create the faith; they witness to what the Church has always believed." This is a subtle but enormously important point. The councils do not make doctrine; they identify and define what the Church already knows. Their authority is not prospective (binding the Church to what they decide for the future) but retrospective (expressing what the Church has always believed). This is why Or</w:t>
      </w:r>
      <w:r>
        <w:t>thodox theology can hold that the definitions of the ecumenical councils are infallible — not because of any individual or institutional quality of the councils themselves, but because they have been received by the whole Church as authentic expressions of the faith once delivered to the saints.</w:t>
      </w:r>
    </w:p>
    <w:p w14:paraId="3E388EE0" w14:textId="77777777" w:rsidR="000E133F" w:rsidRDefault="00EC5ECA">
      <w:pPr>
        <w:pStyle w:val="Heading2"/>
      </w:pPr>
      <w:bookmarkStart w:id="17" w:name="_Toc232765244"/>
      <w:r>
        <w:t>2.3 The Seven Ecumenical Councils: Full Account of Each</w:t>
      </w:r>
      <w:bookmarkEnd w:id="17"/>
    </w:p>
    <w:p w14:paraId="1ACDF407" w14:textId="77777777" w:rsidR="000E133F" w:rsidRDefault="00EC5ECA">
      <w:pPr>
        <w:pStyle w:val="Heading3"/>
      </w:pPr>
      <w:bookmarkStart w:id="18" w:name="_Toc232765245"/>
      <w:r>
        <w:t>Council I — Nicaea I (325)</w:t>
      </w:r>
      <w:bookmarkEnd w:id="18"/>
    </w:p>
    <w:p w14:paraId="6A178369" w14:textId="77777777" w:rsidR="000E133F" w:rsidRDefault="00EC5ECA">
      <w:pPr>
        <w:spacing w:before="60" w:after="140" w:line="360" w:lineRule="auto"/>
      </w:pPr>
      <w:r>
        <w:t>The First Ecumenical Council assembled at Nicaea in Bithynia in May–June 325, convoked by Emperor Constantine I — the first Christian emperor, whose embrace of Christianity in 312 had transformed the situation of the Church with one decisive act of political will. The council was called primarily to address the crisis created by the Alexandrian priest Arius (c. 256–336), whose theological teaching about the Son of God had been spreading through the Eastern churches since approximately 318 with explosive and</w:t>
      </w:r>
      <w:r>
        <w:t xml:space="preserve"> divisive effect.</w:t>
      </w:r>
    </w:p>
    <w:p w14:paraId="23194F4E" w14:textId="77777777" w:rsidR="000E133F" w:rsidRDefault="00EC5ECA">
      <w:pPr>
        <w:spacing w:before="60" w:after="140" w:line="360" w:lineRule="auto"/>
      </w:pPr>
      <w:r>
        <w:lastRenderedPageBreak/>
        <w:t>Arius's theology was, in its own terms, a carefully reasoned attempt to protect divine transcendence while affirming Christian belief in the Son. His argument proceeded from a rigorous monotheism: God is absolutely one, absolutely simple, without beginning, and without composition. The Son, whom Arius acknowledged as the supreme creature through whom God created the world, was genuinely divine in a secondary sense — the highest and most perfect of all beings — but could not be fully God in the same sense as</w:t>
      </w:r>
      <w:r>
        <w:t xml:space="preserve"> the Father. His most notorious formulation was: "There was when he was not" — the Son had a beginning, even if that beginning was before the creation of the world. Arius used the philosophical vocabulary of his time to draw a sharp line between the transcendent, ingenerate God and the generated Son: the Son is </w:t>
      </w:r>
      <w:r>
        <w:rPr>
          <w:i/>
          <w:iCs/>
        </w:rPr>
        <w:t>heteroousios</w:t>
      </w:r>
      <w:r>
        <w:t xml:space="preserve"> (of a different essence) from the Father. In a secondary sense, Arius allowed that the Son was divine, even "God" in a stretched sense, but not in the full and proper sense of the word.</w:t>
      </w:r>
    </w:p>
    <w:p w14:paraId="1D0415FD" w14:textId="77777777" w:rsidR="000E133F" w:rsidRDefault="00EC5ECA">
      <w:pPr>
        <w:spacing w:before="60" w:after="140" w:line="360" w:lineRule="auto"/>
      </w:pPr>
      <w:r>
        <w:t xml:space="preserve">The council, under the decisive influence of Alexander of Alexandria and especially his young deacon Athanasius (who would carry the anti-Arian cause for the next half-century with enormous tenacity), defined the Son as </w:t>
      </w:r>
      <w:r>
        <w:rPr>
          <w:i/>
          <w:iCs/>
        </w:rPr>
        <w:t>homoousios</w:t>
      </w:r>
      <w:r>
        <w:t xml:space="preserve"> — of the same essence — as the Father. This term, which does not appear in Scripture and had a checkered history in earlier theology (having been associated with Sabellianism, which Orthodoxy rejected), was chosen precisely because no Arian could accept it. The Nicene Creed, as produced by the council, reads in its original form: "We believe in one God, the Father Almighty, maker of all things visible and invisible; and in one Lord Jesus Christ, the Son of God, the only-begotten of the Father, th</w:t>
      </w:r>
      <w:r>
        <w:t>at is of the substance of the Father, God of God, light of light, true God of true God, begotten not made, of the same substance (</w:t>
      </w:r>
      <w:r>
        <w:rPr>
          <w:i/>
          <w:iCs/>
        </w:rPr>
        <w:t>homoousios</w:t>
      </w:r>
      <w:r>
        <w:t>) as the Father, through whom all things were made, both in heaven and on earth; who for us and for our salvation came down, was made flesh, was made man, suffered and rose again the third day, ascended into heaven, and cometh to judge the living and the dead; and in the Holy Spirit."</w:t>
      </w:r>
    </w:p>
    <w:p w14:paraId="40CC5CA8" w14:textId="77777777" w:rsidR="000E133F" w:rsidRDefault="00EC5ECA">
      <w:pPr>
        <w:spacing w:before="60" w:after="140" w:line="360" w:lineRule="auto"/>
      </w:pPr>
      <w:r>
        <w:t>To this positive creedal statement, the council appended explicit anathemas against the Arian formulas: "But those who say 'There was a time when He was not,' and 'He was not before He was made,' and 'He was made out of nothing,' or who say that He is of another substance or of another essence, or that the Son of God is created, or mutable, or variable — the Catholic and Apostolic Church anathematizes."</w:t>
      </w:r>
    </w:p>
    <w:p w14:paraId="7B0B7963" w14:textId="77777777" w:rsidR="000E133F" w:rsidRDefault="00EC5ECA">
      <w:pPr>
        <w:spacing w:before="60" w:after="140" w:line="360" w:lineRule="auto"/>
      </w:pPr>
      <w:r>
        <w:lastRenderedPageBreak/>
        <w:t>Among the canons produced at Nicaea, Canons 6 and 7 are of particular ecclesiological significance. Canon 6 reads: "Let the ancient customs in Egypt, Libya and Pentapolis prevail, that the Bishop of Alexandria have jurisdiction in all these, since the like is customary for the Bishop of Rome also. Likewise in Antioch and the other provinces, let the Churches retain their privileges. And this is to be universally understood, that if any one be made bishop without the consent of the Metropolitan, the great Sy</w:t>
      </w:r>
      <w:r>
        <w:t>nod has declared that such a man ought not to be a bishop. If, however, two or three bishops shall from natural love of contradiction, oppose the common suffrage of the rest, it being reasonable and in accordance with the ecclesiastical law, then let the choice of the majority prevail." This canon is the founding text of the patriarchal system in canonical law, and its logic is important: the authority of the great bishops (Alexandria, Rome, Antioch) is rooted in "ancient custom" — in the practice of the Ch</w:t>
      </w:r>
      <w:r>
        <w:t>urch from its beginnings — not in any divinely instituted jurisdictional hierarchy. The canon acknowledges these customary authorities without defining or limiting them precisely, and it insists that the consent of the Metropolitan is required for valid episcopal elections — establishing the principle that no bishop can be imposed on a church without the involvement of his peers.</w:t>
      </w:r>
    </w:p>
    <w:p w14:paraId="023CBB70" w14:textId="77777777" w:rsidR="000E133F" w:rsidRDefault="00EC5ECA">
      <w:pPr>
        <w:spacing w:before="60" w:after="140" w:line="360" w:lineRule="auto"/>
      </w:pPr>
      <w:r>
        <w:t>Canon 7 of Nicaea reads: "Since custom and ancient tradition have prevailed that the Bishop of Aelia [Jerusalem] should be honored, let him have the next place of honor, after the Metropolitan, saving his due dignity to the Metropolis." The theological significance of this canon is that it acknowledges Jerusalem's honor on grounds that are explicitly not canonical (Jerusalem is not a metropolis in the administrative sense) but theological and historical: it is honored because of what happened there.</w:t>
      </w:r>
    </w:p>
    <w:p w14:paraId="6EEF5D86" w14:textId="77777777" w:rsidR="000E133F" w:rsidRDefault="00EC5ECA">
      <w:pPr>
        <w:pStyle w:val="Heading3"/>
      </w:pPr>
      <w:bookmarkStart w:id="19" w:name="_Toc232765246"/>
      <w:r>
        <w:t>Council II — Constantinople I (381)</w:t>
      </w:r>
      <w:bookmarkEnd w:id="19"/>
    </w:p>
    <w:p w14:paraId="6FE3D377" w14:textId="77777777" w:rsidR="000E133F" w:rsidRDefault="00EC5ECA">
      <w:pPr>
        <w:spacing w:before="60" w:after="140" w:line="360" w:lineRule="auto"/>
      </w:pPr>
      <w:r>
        <w:t xml:space="preserve">The First Council of Constantinople, convoked by Emperor Theodosius I in May 381, addressed the heresy of Macedonianism (also called Pneumatomachianism, "Spirit-fighting") — the denial of the Holy Spirit's full divinity. The Pneumatomachians, including the deposed Bishop Macedonius of Constantinople, acknowledged the Son's full divinity (accepting the Nicene </w:t>
      </w:r>
      <w:r>
        <w:rPr>
          <w:i/>
          <w:iCs/>
        </w:rPr>
        <w:t>homoousios</w:t>
      </w:r>
      <w:r>
        <w:t xml:space="preserve">) but resisted applying the same </w:t>
      </w:r>
      <w:r>
        <w:lastRenderedPageBreak/>
        <w:t>terminology to the Holy Spirit, preferring to describe the Spirit as a supreme creature or as divine in an intermediate sense between full divinity and creaturely status.</w:t>
      </w:r>
    </w:p>
    <w:p w14:paraId="123481D5" w14:textId="77777777" w:rsidR="000E133F" w:rsidRDefault="00EC5ECA">
      <w:pPr>
        <w:spacing w:before="60" w:after="140" w:line="360" w:lineRule="auto"/>
      </w:pPr>
      <w:r>
        <w:t>The council expanded the Nicene Creed to include an explicit pneumatology, producing what is now called the Niceno-Constantinopolitan Creed — the creed still used in every Orthodox Divine Liturgy and recited by all Orthodox Christians at baptism. The relevant additions to the Nicene Creed concern the Holy Spirit: "And in the Holy Spirit, the Lord and Giver of life, who proceeds from the Father, who together with the Father and the Son is worshipped and glorified, who spoke through the prophets." The three p</w:t>
      </w:r>
      <w:r>
        <w:t>hrases are carefully chosen. "Lord" (</w:t>
      </w:r>
      <w:r>
        <w:rPr>
          <w:i/>
          <w:iCs/>
        </w:rPr>
        <w:t>Kyrios</w:t>
      </w:r>
      <w:r>
        <w:t>) is a divine title, the same word used of Christ, identifying the Spirit as fully divine. "Giver of life" asserts the Spirit's creative and sustaining role in all created life. "Who proceeds from the Father" (</w:t>
      </w:r>
      <w:r>
        <w:rPr>
          <w:i/>
          <w:iCs/>
        </w:rPr>
        <w:t>to ek tou Patros ekporeuomenon</w:t>
      </w:r>
      <w:r>
        <w:t>) is the phrase that would be at the center of the Filioque controversy: the Spirit proceeds from the Father — from the Father alone, in the Eastern reading — and not from the Father and the Son. "Who together with the Father and</w:t>
      </w:r>
      <w:r>
        <w:t xml:space="preserve"> the Son is worshipped and glorified" is the co-equal divine dignity of the Spirit expressed in terms of liturgical practice: the Spirit receives the same worship as the Father and the Son. "Who spoke through the prophets" asserts the Spirit's work in salvation history before the Incarnation. The council also anathematized the Arian remnants (Eunomians, who denied the homoousios) and the Pneumatomachians, and it confirmed the reception of the Nicene theology.</w:t>
      </w:r>
    </w:p>
    <w:p w14:paraId="036576C3" w14:textId="77777777" w:rsidR="000E133F" w:rsidRDefault="00EC5ECA">
      <w:pPr>
        <w:spacing w:before="60" w:after="140" w:line="360" w:lineRule="auto"/>
      </w:pPr>
      <w:r>
        <w:t>Canon 3 of Constantinople I establishes the precedence of Constantinople: "The Bishop of Constantinople, however, shall have the prerogative of honor after the Bishop of Rome; because Constantinople is New Rome." The reasoning is political-ecclesiastical, and it would become the basis for all subsequent Orthodox arguments about the nature of primacy within the Church.</w:t>
      </w:r>
    </w:p>
    <w:p w14:paraId="6689DB06" w14:textId="77777777" w:rsidR="000E133F" w:rsidRDefault="00EC5ECA">
      <w:pPr>
        <w:pStyle w:val="Heading3"/>
      </w:pPr>
      <w:bookmarkStart w:id="20" w:name="_Toc232765247"/>
      <w:r>
        <w:t>Council III — Ephesus (431)</w:t>
      </w:r>
      <w:bookmarkEnd w:id="20"/>
    </w:p>
    <w:p w14:paraId="51A45A42" w14:textId="77777777" w:rsidR="000E133F" w:rsidRDefault="00EC5ECA">
      <w:pPr>
        <w:spacing w:before="60" w:after="140" w:line="360" w:lineRule="auto"/>
      </w:pPr>
      <w:r>
        <w:t xml:space="preserve">The Third Ecumenical Council, held at Ephesus in June–July 431, addressed the controversy surrounding Nestorius, Patriarch of Constantinople, and specifically his refusal to apply the title </w:t>
      </w:r>
      <w:r>
        <w:rPr>
          <w:i/>
          <w:iCs/>
        </w:rPr>
        <w:t>Theotokos</w:t>
      </w:r>
      <w:r>
        <w:t xml:space="preserve"> ("God-bearer," "Mother of God") to the Virgin Mary. Nestorius preferred </w:t>
      </w:r>
      <w:r>
        <w:rPr>
          <w:i/>
          <w:iCs/>
        </w:rPr>
        <w:t>Christotokos</w:t>
      </w:r>
      <w:r>
        <w:t xml:space="preserve"> ("Christ-bearer") on the theological grounds that Mary </w:t>
      </w:r>
      <w:r>
        <w:lastRenderedPageBreak/>
        <w:t>bore Christ's human nature, not his divinity. This distinction reflected a Christological framework (associated with the Antiochene school) that emphasized the distinction between Christ's two natures to such a degree that it seemed to imply two subjects, two persons — one divine and one human — united only by a moral union of will.</w:t>
      </w:r>
    </w:p>
    <w:p w14:paraId="29277117" w14:textId="77777777" w:rsidR="000E133F" w:rsidRDefault="00EC5ECA">
      <w:pPr>
        <w:spacing w:before="60" w:after="140" w:line="360" w:lineRule="auto"/>
      </w:pPr>
      <w:r>
        <w:t>Cyril of Alexandria, who presided at the council (technically without the Western legates, who arrived late, but with the support of the majority of bishops), produced the decisive theological response in his Third Letter to Nestorius, which culminated in the Twelve Anathemas. The theological core of Cyril's argument is the doctrine of the communicatio idiomatum: because Christ is one Person — one hypostasis, one subject — the attributes and actions of both natures are properly attributed to that single sub</w:t>
      </w:r>
      <w:r>
        <w:t xml:space="preserve">ject. Therefore Mary is truly </w:t>
      </w:r>
      <w:r>
        <w:rPr>
          <w:i/>
          <w:iCs/>
        </w:rPr>
        <w:t>Theotokos</w:t>
      </w:r>
      <w:r>
        <w:t>: she bore not merely a human individual with whom the divine Word was associated, but the one divine Person, the eternal Son of God, who had made human nature his own in the Incarnation. The relevant anathemas of Cyril's Third Letter include: "If anyone will not confess that the Word of God the Father is united hypostatically to flesh... let him be anathema" (Anathema I); "If anyone shall divide between two persons or subsistences those expressions which are contained</w:t>
      </w:r>
      <w:r>
        <w:t xml:space="preserve"> in the Evangelical and Apostolical writings, or which are said of Christ by the Saints, or by Himself of Himself, and shall apply some to him as to a man separate from the Word of God, and shall apply others to the only Word of God the Father, on the ground that they are fit to be applied to God alone: let him be anathema" (Anathema IV); "If anyone shall dare to say that Christ was a theophoros [God-bearing] man and not rather God in truth, being by nature one Son, even as 'the Word became flesh,' and is m</w:t>
      </w:r>
      <w:r>
        <w:t>ade partaker of blood and flesh precisely like to us: let him be anathema" (Anathema V).</w:t>
      </w:r>
    </w:p>
    <w:p w14:paraId="692A5466" w14:textId="77777777" w:rsidR="000E133F" w:rsidRDefault="00EC5ECA">
      <w:pPr>
        <w:spacing w:before="60" w:after="140" w:line="360" w:lineRule="auto"/>
      </w:pPr>
      <w:r>
        <w:t xml:space="preserve">The council defined that Mary is truly and properly </w:t>
      </w:r>
      <w:r>
        <w:rPr>
          <w:i/>
          <w:iCs/>
        </w:rPr>
        <w:t>Theotokos</w:t>
      </w:r>
      <w:r>
        <w:t>, deposed Nestorius, and confirmed Cyril's theology as orthodox. Canon 7 of Ephesus produced one of the most significant canonical prohibitions in conciliar history: "The holy Synod decrees that it is not lawful for any man to bring forward, or to write, or to compose a different (</w:t>
      </w:r>
      <w:r>
        <w:rPr>
          <w:i/>
          <w:iCs/>
        </w:rPr>
        <w:t>heteron</w:t>
      </w:r>
      <w:r>
        <w:t xml:space="preserve">) Faith as a rival to that established by the holy Fathers assembled with the Holy Ghost at Nicaea. But those who shall dare to compose a different faith, or to introduce or offer it to persons desiring to turn to </w:t>
      </w:r>
      <w:r>
        <w:t xml:space="preserve">the acknowledgment of the truth... shall be deposed, if </w:t>
      </w:r>
      <w:r>
        <w:lastRenderedPageBreak/>
        <w:t xml:space="preserve">they happen to be bishops or clergymen; bishops from the episcopate and clergymen from the clergy; and if they be laymen, they shall be anathematized." This canon — prohibiting any </w:t>
      </w:r>
      <w:r>
        <w:rPr>
          <w:i/>
          <w:iCs/>
        </w:rPr>
        <w:t>heteron</w:t>
      </w:r>
      <w:r>
        <w:t xml:space="preserve">, any different or rival faith — would become the centerpiece of the Orthodox argument against the Filioque: the Filioque is a </w:t>
      </w:r>
      <w:r>
        <w:rPr>
          <w:i/>
          <w:iCs/>
        </w:rPr>
        <w:t>heteron</w:t>
      </w:r>
      <w:r>
        <w:t xml:space="preserve"> creed, an unauthorized addition to the Creed defined at Nicaea and expanded at Constantinople, and its imposition upon the whole Chur</w:t>
      </w:r>
      <w:r>
        <w:t>ch violates this canon directly.</w:t>
      </w:r>
    </w:p>
    <w:p w14:paraId="17F4AD1E" w14:textId="77777777" w:rsidR="000E133F" w:rsidRDefault="00EC5ECA">
      <w:pPr>
        <w:pStyle w:val="Heading3"/>
      </w:pPr>
      <w:bookmarkStart w:id="21" w:name="_Toc232765248"/>
      <w:r>
        <w:t>Council IV — Chalcedon (451)</w:t>
      </w:r>
      <w:bookmarkEnd w:id="21"/>
    </w:p>
    <w:p w14:paraId="20A20622" w14:textId="77777777" w:rsidR="000E133F" w:rsidRDefault="00EC5ECA">
      <w:pPr>
        <w:spacing w:before="60" w:after="140" w:line="360" w:lineRule="auto"/>
      </w:pPr>
      <w:r>
        <w:t>The Fourth Ecumenical Council, held at Chalcedon in October–November 451, is the most theologically consequential of the seven councils and the one whose reception has been most fraught — both because of the Oriental Orthodox churches that rejected it and because of the ongoing debate about the precise theological meaning of its definitions. The council was called to address the heresy of Eutyches, an archimandrite in Constantinople whose teaching, in reaction against Nestorianism, swung to the opposite ext</w:t>
      </w:r>
      <w:r>
        <w:t>reme: if Nestorius appeared to divide Christ into two persons, Eutyches appeared to fuse Christ's two natures into one, a single divine-human nature resulting from the Incarnation. This position, called Monophysitism ("one nature"), was condemned at the Council of Chalcedon.</w:t>
      </w:r>
    </w:p>
    <w:p w14:paraId="02D1FC9B" w14:textId="77777777" w:rsidR="000E133F" w:rsidRDefault="00EC5ECA">
      <w:pPr>
        <w:spacing w:before="60" w:after="140" w:line="360" w:lineRule="auto"/>
      </w:pPr>
      <w:r>
        <w:t xml:space="preserve">The council received and endorsed the </w:t>
      </w:r>
      <w:r>
        <w:rPr>
          <w:i/>
          <w:iCs/>
        </w:rPr>
        <w:t>Tomos</w:t>
      </w:r>
      <w:r>
        <w:t xml:space="preserve"> of Pope Leo I — his letter to the Flavian of Constantinople setting out the Western theological position on Christ's two natures. Leo's Tomos includes the famous passage: "Therefore, following the holy Fathers, we all with one voice teach the confession of one and the same Son, our Lord Jesus Christ: the same perfect in divinity and perfect in humanity, the same truly God and truly man, of a rational soul and a body; consubstantial with the Father as regards his divinity, and the same consubstantial w</w:t>
      </w:r>
      <w:r>
        <w:t xml:space="preserve">ith us as regards his humanity; like us in all respects except for sin; begotten before the ages from the Father as regards his divinity, and in the last days the same for us and for our salvation from Mary, the virgin God-bearer, as regards his humanity; one and the same Christ, Son, Lord, only-begotten, acknowledged in two natures which undergo no confusion, no change, no division, no separation; at no point was the difference between the natures taken away through the union, but rather the </w:t>
      </w:r>
      <w:r>
        <w:lastRenderedPageBreak/>
        <w:t>property of bo</w:t>
      </w:r>
      <w:r>
        <w:t>th natures is preserved and comes together into a single person and a single subsistent being (</w:t>
      </w:r>
      <w:r>
        <w:rPr>
          <w:i/>
          <w:iCs/>
        </w:rPr>
        <w:t>hypostasis</w:t>
      </w:r>
      <w:r>
        <w:t>)."</w:t>
      </w:r>
    </w:p>
    <w:p w14:paraId="4CD466E7" w14:textId="77777777" w:rsidR="000E133F" w:rsidRDefault="00EC5ECA">
      <w:pPr>
        <w:spacing w:before="60" w:after="140" w:line="360" w:lineRule="auto"/>
      </w:pPr>
      <w:r>
        <w:t>The Definition of Chalcedon is one of the most carefully crafted theological documents in history, designed to exclude simultaneously both Nestorianism (which divides the natures into two persons) and Monophysitism (which confuses the natures into one): Christ is "one and the same Son, the same perfect in divinity and the same perfect in humanity... acknowledged in two natures which undergo no confusion, no change, no division, no separation." The four negative adverbs — without confusion (</w:t>
      </w:r>
      <w:r>
        <w:rPr>
          <w:i/>
          <w:iCs/>
        </w:rPr>
        <w:t>asygchytos</w:t>
      </w:r>
      <w:r>
        <w:t>), without change (</w:t>
      </w:r>
      <w:r>
        <w:rPr>
          <w:i/>
          <w:iCs/>
        </w:rPr>
        <w:t>atreptos</w:t>
      </w:r>
      <w:r>
        <w:t>), without division (</w:t>
      </w:r>
      <w:r>
        <w:rPr>
          <w:i/>
          <w:iCs/>
        </w:rPr>
        <w:t>adiairetos</w:t>
      </w:r>
      <w:r>
        <w:t>), without separation (</w:t>
      </w:r>
      <w:r>
        <w:rPr>
          <w:i/>
          <w:iCs/>
        </w:rPr>
        <w:t>achoristos</w:t>
      </w:r>
      <w:r>
        <w:t>) — define the hypostatic union by what it is not, respecting the apophatic discipline that governs Orthodox theological speech about divine matters. The Oriental Orthodox churches (Coptic, Armenian, Ethiopian, Syriac) rejected the Chalcedonian definition at the time, reading it as crypto-Nestorianism, and have remained separate from Eastern Orthodoxy ever since. Modern ecumenical dialogue has reached signif</w:t>
      </w:r>
      <w:r>
        <w:t>icant agreement that the difference between Oriental and Eastern Orthodox Christology may be more terminological than substantive, though full communion has not been restored.</w:t>
      </w:r>
    </w:p>
    <w:p w14:paraId="0B7C864A" w14:textId="77777777" w:rsidR="000E133F" w:rsidRDefault="00EC5ECA">
      <w:pPr>
        <w:spacing w:before="60" w:after="140" w:line="360" w:lineRule="auto"/>
      </w:pPr>
      <w:r>
        <w:t>Canon 28 of Chalcedon, as discussed in Section 1.2, elevated Constantinople to second place in honor in the universal Church, granting it jurisdictional authority over the Pontic, Asian, and Thracian dioceses. Rome's rejection of this canon established the canonical fault line that would eventually produce the Great Schism.</w:t>
      </w:r>
    </w:p>
    <w:p w14:paraId="43386B3F" w14:textId="77777777" w:rsidR="000E133F" w:rsidRDefault="00EC5ECA">
      <w:pPr>
        <w:pStyle w:val="Heading3"/>
      </w:pPr>
      <w:bookmarkStart w:id="22" w:name="_Toc232765249"/>
      <w:r>
        <w:t>Council V — Constantinople II (553)</w:t>
      </w:r>
      <w:bookmarkEnd w:id="22"/>
    </w:p>
    <w:p w14:paraId="667729B9" w14:textId="77777777" w:rsidR="000E133F" w:rsidRDefault="00EC5ECA">
      <w:pPr>
        <w:spacing w:before="60" w:after="140" w:line="360" w:lineRule="auto"/>
      </w:pPr>
      <w:r>
        <w:t>The Fifth Ecumenical Council, held at Constantinople in 553 under Emperor Justinian I, addressed the "Three Chapters" controversy — a complex theological dispute arising from Justinian's attempt to reconcile the Monophysite churches with the Chalcedonian settlement. The "Three Chapters" were three theological texts (or rather, three bodies of work by three theologians): the person and writings of Theodore of Mopsuestia (d. 428), certain writings of Theodoret of Cyrrhus against Cyril of Alexandria, and a let</w:t>
      </w:r>
      <w:r>
        <w:t xml:space="preserve">ter of Ibas of Edessa to the Persian bishop Maris. All three were associated with the Antiochene theological tradition and had been points of objection for the Monophysites, who argued </w:t>
      </w:r>
      <w:r>
        <w:lastRenderedPageBreak/>
        <w:t>that Chalcedon, by rehabilitating Nestorian theologians, had effectively endorsed Nestorianism.</w:t>
      </w:r>
    </w:p>
    <w:p w14:paraId="0488963F" w14:textId="77777777" w:rsidR="000E133F" w:rsidRDefault="00EC5ECA">
      <w:pPr>
        <w:spacing w:before="60" w:after="140" w:line="360" w:lineRule="auto"/>
      </w:pPr>
      <w:r>
        <w:t xml:space="preserve">Justinian, in a series of imperial edicts (543–553), condemned the Three Chapters post-mortem — condemning, that is, not living persons but documents produced by men who had died in the communion of the Church. This posthumous condemnation was theologically and canonically novel and deeply controversial. Pope Vigilius, who had initially agreed to the condemnation under enormous imperial pressure but subsequently reversed himself, was physically imprisoned in Constantinople for years, forced into exile, and </w:t>
      </w:r>
      <w:r>
        <w:t>eventually compelled to accept the council's decisions. The council condemned the Three Chapters, posthumously anathematized Theodore of Mopsuestia by name, and also included a condemnation of the Origenist cosmological speculation that had been circulating in monastic circles — particularly the speculations about the pre-existence of souls and the apokatastasis (universal salvation).</w:t>
      </w:r>
    </w:p>
    <w:p w14:paraId="06F8A1EB" w14:textId="77777777" w:rsidR="000E133F" w:rsidRDefault="00EC5ECA">
      <w:pPr>
        <w:spacing w:before="60" w:after="140" w:line="360" w:lineRule="auto"/>
      </w:pPr>
      <w:r>
        <w:t>The significance of the Fifth Council for Orthodox theology includes: (1) its confirmation that ecumenical councils can retroactively define the orthodoxy of deceased theologians, extending the conciliar principle backward into the tradition; (2) its demonstration of the complex relationship between imperial power and conciliar authority — Justinian's theological sophistication and his willingness to use force to achieve theological outcomes creates an ambiguous legacy; and (3) its condemnation of Origenism</w:t>
      </w:r>
      <w:r>
        <w:t>, which closed off certain speculative trajectories that had been influential in the Alexandrian tradition.</w:t>
      </w:r>
    </w:p>
    <w:p w14:paraId="0B685C3D" w14:textId="77777777" w:rsidR="000E133F" w:rsidRDefault="00EC5ECA">
      <w:pPr>
        <w:pStyle w:val="Heading3"/>
      </w:pPr>
      <w:bookmarkStart w:id="23" w:name="_Toc232765250"/>
      <w:r>
        <w:t>Council VI — Constantinople III (680–681)</w:t>
      </w:r>
      <w:bookmarkEnd w:id="23"/>
    </w:p>
    <w:p w14:paraId="3DA7358D" w14:textId="77777777" w:rsidR="000E133F" w:rsidRDefault="00EC5ECA">
      <w:pPr>
        <w:spacing w:before="60" w:after="140" w:line="360" w:lineRule="auto"/>
      </w:pPr>
      <w:r>
        <w:t>The Sixth Ecumenical Council, held at Constantinople from 680 to 681, addressed Monothelitism — the doctrine that Christ, while possessing two natures, had only one will (</w:t>
      </w:r>
      <w:r>
        <w:rPr>
          <w:i/>
          <w:iCs/>
        </w:rPr>
        <w:t>thelema</w:t>
      </w:r>
      <w:r>
        <w:t>) and one mode of activity (</w:t>
      </w:r>
      <w:r>
        <w:rPr>
          <w:i/>
          <w:iCs/>
        </w:rPr>
        <w:t>energeia</w:t>
      </w:r>
      <w:r>
        <w:t xml:space="preserve">). Monothelitism was developed in the seventh century as a compromise position intended to reconcile the Monophysites with the Chalcedonian settlement: by affirming two natures but one will, it was hoped to find a middle path acceptable to both parties. The papally sponsored formula of the </w:t>
      </w:r>
      <w:r>
        <w:rPr>
          <w:i/>
          <w:iCs/>
        </w:rPr>
        <w:t>Ekthesis</w:t>
      </w:r>
      <w:r>
        <w:t xml:space="preserve"> (638) of Emperor Heraclius and the </w:t>
      </w:r>
      <w:r>
        <w:rPr>
          <w:i/>
          <w:iCs/>
        </w:rPr>
        <w:t>Typos</w:t>
      </w:r>
      <w:r>
        <w:t xml:space="preserve"> (648) of Emperor Constans II attempted to enforce this compromise.</w:t>
      </w:r>
    </w:p>
    <w:p w14:paraId="52BE2E33" w14:textId="77777777" w:rsidR="000E133F" w:rsidRDefault="00EC5ECA">
      <w:pPr>
        <w:spacing w:before="60" w:after="140" w:line="360" w:lineRule="auto"/>
      </w:pPr>
      <w:r>
        <w:lastRenderedPageBreak/>
        <w:t>The decisive theological opposition to Monothelitism came from Maximus the Confessor (c. 580–662), the greatest theologian of the seventh century, who argued with extraordinary metaphysical precision that a genuine humanity without a genuine human will is no humanity at all. Christ's humanity, to be saving, must include the full range of human faculties — including the will, which is precisely the faculty in which human persons had fallen into sin. If Christ has no human will, then human will has not been a</w:t>
      </w:r>
      <w:r>
        <w:t xml:space="preserve">ssumed and healed by the Incarnation; it remains unredeemed. Maximus distinguishes between the </w:t>
      </w:r>
      <w:r>
        <w:rPr>
          <w:i/>
          <w:iCs/>
        </w:rPr>
        <w:t>gnomic will</w:t>
      </w:r>
      <w:r>
        <w:t xml:space="preserve"> — the deliberating, choosing will that is the seat of human sinfulness — and the </w:t>
      </w:r>
      <w:r>
        <w:rPr>
          <w:i/>
          <w:iCs/>
        </w:rPr>
        <w:t>natural will</w:t>
      </w:r>
      <w:r>
        <w:t xml:space="preserve"> (</w:t>
      </w:r>
      <w:r>
        <w:rPr>
          <w:i/>
          <w:iCs/>
        </w:rPr>
        <w:t>thelema physikon</w:t>
      </w:r>
      <w:r>
        <w:t>) — the will as a faculty of the human nature, oriented by nature toward the good. Christ has a genuine human natural will, but it is always freely and perfectly conformed to his divine will; there is no conflict between them. The human will of Christ is not overcome by his divine will; it freely chooses what the divine will wills, precisely because it is an unfallen, perfectly purified</w:t>
      </w:r>
      <w:r>
        <w:t xml:space="preserve"> human will.</w:t>
      </w:r>
    </w:p>
    <w:p w14:paraId="64FF3B68" w14:textId="77777777" w:rsidR="000E133F" w:rsidRDefault="00EC5ECA">
      <w:pPr>
        <w:spacing w:before="60" w:after="140" w:line="360" w:lineRule="auto"/>
      </w:pPr>
      <w:r>
        <w:t>The Sixth Council condemned Monothelitism and, in an act of extraordinary canonical significance, anathematized Pope Honorius I (r. 625–638) by name for having approved the Monothelite formula in his letters to Patriarch Sergius of Constantinople. This is the only case in history in which an Ecumenical Council anathematized a Roman bishop, and it has been a perennial point of reference in discussions of papal infallibility — the First Vatican Council's definition of papal infallibility (1870) required caref</w:t>
      </w:r>
      <w:r>
        <w:t>ul theological explanation of how a pope could be anathematized by an Ecumenical Council if papal pronouncements on faith and morals are infallible.</w:t>
      </w:r>
    </w:p>
    <w:p w14:paraId="2E96FFAA" w14:textId="77777777" w:rsidR="000E133F" w:rsidRDefault="00EC5ECA">
      <w:pPr>
        <w:spacing w:before="60" w:after="140" w:line="360" w:lineRule="auto"/>
      </w:pPr>
      <w:r>
        <w:t>The Council defined: "We likewise define that in him are two natural wills and two natural operations indivisibly, inconvertibly, inseparably, inconfusedly... His two natural wills are not (as some impious heretics say) contrary the one to the other... but his human will follows, and not as resisting or reluctant, but rather as subject to his divine and omnipotent will."</w:t>
      </w:r>
    </w:p>
    <w:p w14:paraId="71DAF266" w14:textId="77777777" w:rsidR="000E133F" w:rsidRDefault="00EC5ECA">
      <w:pPr>
        <w:pStyle w:val="Heading3"/>
      </w:pPr>
      <w:bookmarkStart w:id="24" w:name="_Toc232765251"/>
      <w:r>
        <w:t>Council VII — Nicaea II (787)</w:t>
      </w:r>
      <w:bookmarkEnd w:id="24"/>
    </w:p>
    <w:p w14:paraId="7792247E" w14:textId="77777777" w:rsidR="000E133F" w:rsidRDefault="00EC5ECA">
      <w:pPr>
        <w:spacing w:before="60" w:after="140" w:line="360" w:lineRule="auto"/>
      </w:pPr>
      <w:r>
        <w:t xml:space="preserve">The Seventh and final Ecumenical Council, held at Nicaea in 787, addressed the crisis of Iconoclasm — the theological movement, begun under Emperor Leo III (r. 717–741) in </w:t>
      </w:r>
      <w:r>
        <w:lastRenderedPageBreak/>
        <w:t>726, that ordered the destruction of all religious images and the cessation of the veneration (</w:t>
      </w:r>
      <w:r>
        <w:rPr>
          <w:i/>
          <w:iCs/>
        </w:rPr>
        <w:t>proskynesis</w:t>
      </w:r>
      <w:r>
        <w:t>) offered to them. The iconoclast movement had theological motivations: a concern about idolatry, influenced partly by Jewish and Muslim critiques of image veneration; a rigorist reading of the Old Testament prohibition of graven images; and a philosophical difficulty with depicting the divine in material form.</w:t>
      </w:r>
    </w:p>
    <w:p w14:paraId="3C8EF647" w14:textId="77777777" w:rsidR="000E133F" w:rsidRDefault="00EC5ECA">
      <w:pPr>
        <w:spacing w:before="60" w:after="140" w:line="360" w:lineRule="auto"/>
      </w:pPr>
      <w:r>
        <w:t xml:space="preserve">The theological defense of icons had been most powerfully articulated by John of Damascus (c. 675–749) in his </w:t>
      </w:r>
      <w:r>
        <w:rPr>
          <w:i/>
          <w:iCs/>
        </w:rPr>
        <w:t>Three Treatises on the Divine Images</w:t>
      </w:r>
      <w:r>
        <w:t xml:space="preserve">, written before the council during the first wave of iconoclasm. John's argument is fundamentally incarnational: "I do not venerate matter; I venerate the fashioner of matter, who became matter for my sake, who willed to take his abode in matter; who worked out my salvation through matter... I will not cease from honoring that matter which works my salvation." The Incarnation is the ultimate theological grounding for icon veneration: because God himself took on material </w:t>
      </w:r>
      <w:r>
        <w:t>form in the Incarnation, matter has been sanctified as the vehicle of divine presence. To refuse icons on the grounds that God cannot be depicted is implicitly to deny the reality of the Incarnation — to imply that Christ's humanity was not genuinely visible and material. The iconoclasts' position, from this perspective, is a form of practical docetism.</w:t>
      </w:r>
    </w:p>
    <w:p w14:paraId="538AC90D" w14:textId="77777777" w:rsidR="000E133F" w:rsidRDefault="00EC5ECA">
      <w:pPr>
        <w:spacing w:before="60" w:after="140" w:line="360" w:lineRule="auto"/>
      </w:pPr>
      <w:r>
        <w:t xml:space="preserve">The Council of Nicaea II defined the veneration of icons as theologically legitimate and canonically required, and drew the crucial distinction between </w:t>
      </w:r>
      <w:r>
        <w:rPr>
          <w:i/>
          <w:iCs/>
        </w:rPr>
        <w:t>latreia</w:t>
      </w:r>
      <w:r>
        <w:t xml:space="preserve"> (worship, adoration — due to God alone) and </w:t>
      </w:r>
      <w:r>
        <w:rPr>
          <w:i/>
          <w:iCs/>
        </w:rPr>
        <w:t>proskynesis</w:t>
      </w:r>
      <w:r>
        <w:t xml:space="preserve"> (veneration, honor — legitimately offered to icons, relics, the cross, and the saints). The council's definition reads: "We define with all certitude and accuracy that just as the figure of the precious and life-giving Cross, so also the venerable and holy images, as well in painting and mosaic as of other fit materials, should be set forth in the holy churches of God, and on the sacred vessels and on the vestments and on hangings and in pictur</w:t>
      </w:r>
      <w:r>
        <w:t>es both in houses and by the wayside, to wit, the figure of our Lord God and Saviour Jesus Christ, of our spotless Lady, the Mother of God, of the honorable Angels, of all Saints and of all pious people. For by so much more frequently as they are seen in artistic representation, by so much more readily are men lifted up to the memory of their prototypes, and to a longing after them; and to these should be given due salutation and honorable reverence (</w:t>
      </w:r>
      <w:r>
        <w:rPr>
          <w:i/>
          <w:iCs/>
        </w:rPr>
        <w:t>aspasmon kai timetiken proskynesin</w:t>
      </w:r>
      <w:r>
        <w:t>), not indeed that true</w:t>
      </w:r>
      <w:r>
        <w:t xml:space="preserve"> worship of faith (</w:t>
      </w:r>
      <w:r>
        <w:rPr>
          <w:i/>
          <w:iCs/>
        </w:rPr>
        <w:t>latreia</w:t>
      </w:r>
      <w:r>
        <w:t xml:space="preserve">) which </w:t>
      </w:r>
      <w:r>
        <w:lastRenderedPageBreak/>
        <w:t>pertains alone to the divine nature; but to these, as to the figure of the precious and life-giving Cross and to the Book of the Gospels and to the other holy objects, incense and lights may be offered according to ancient pious custom."</w:t>
      </w:r>
    </w:p>
    <w:p w14:paraId="0E4FC799" w14:textId="77777777" w:rsidR="000E133F" w:rsidRDefault="00EC5ECA">
      <w:pPr>
        <w:spacing w:before="60" w:after="140" w:line="360" w:lineRule="auto"/>
      </w:pPr>
      <w:r>
        <w:t xml:space="preserve">Empress Irene, who served as regent for her son Constantine VI, convoked the council and played a decisive role in restoring icon veneration — a role that was not without controversy, since she subsequently imprisoned and blinded her son to maintain her own hold on power. The theological significance of Nicaea II extends beyond the specific question of icons: it defined the relationship between visible matter and divine presence in a way that has shaped Orthodox theology of creation, of the sacraments, and </w:t>
      </w:r>
      <w:r>
        <w:t>of the human body in prayer.</w:t>
      </w:r>
    </w:p>
    <w:p w14:paraId="25A90430" w14:textId="77777777" w:rsidR="000E133F" w:rsidRDefault="00EC5ECA">
      <w:pPr>
        <w:pStyle w:val="Heading2"/>
      </w:pPr>
      <w:bookmarkStart w:id="25" w:name="_Toc232765252"/>
      <w:r>
        <w:t>2.4 Apostolic Succession: Its Theological Meaning in Orthodox Thought</w:t>
      </w:r>
      <w:bookmarkEnd w:id="25"/>
    </w:p>
    <w:p w14:paraId="6012637A" w14:textId="77777777" w:rsidR="000E133F" w:rsidRDefault="00EC5ECA">
      <w:pPr>
        <w:spacing w:before="60" w:after="140" w:line="360" w:lineRule="auto"/>
      </w:pPr>
      <w:r>
        <w:t>The Orthodox doctrine of apostolic succession is one of the most misunderstood concepts in Christian ecclesiology, frequently reduced in popular discussion to a "pipeline theory" — the idea that valid sacraments require an unbroken chain of ordinations going back to the apostles, like water flowing through a pipe. This mechanical understanding was already criticizable in antiquity, and Orthodox theology has consistently maintained a richer and more complex account of what succession means and why it matters</w:t>
      </w:r>
      <w:r>
        <w:t>.</w:t>
      </w:r>
    </w:p>
    <w:p w14:paraId="3C7F2872" w14:textId="77777777" w:rsidR="000E133F" w:rsidRDefault="00EC5ECA">
      <w:pPr>
        <w:spacing w:before="60" w:after="140" w:line="360" w:lineRule="auto"/>
      </w:pPr>
      <w:r>
        <w:t xml:space="preserve">The classical statement of apostolic succession in the patristic period comes from Irenaeus of Lyons (c. 130–202), who developed it in </w:t>
      </w:r>
      <w:r>
        <w:rPr>
          <w:i/>
          <w:iCs/>
        </w:rPr>
        <w:t>Adversus Haereses</w:t>
      </w:r>
      <w:r>
        <w:t xml:space="preserve"> (Against Heresies, c. 180) as a response to the Gnostic sects that claimed to possess a secret tradition of apostolic teaching handed down alongside the public tradition of the Church. For Irenaeus, the great sees founded by apostles — above all Rome, "founded and organized by the two most glorious apostles, Peter and Paul" — preserve and transmit the authentic apostolic teaching precisely because their succession is public, verifiable, and continuous. He writes: "We are in a position to r</w:t>
      </w:r>
      <w:r>
        <w:t xml:space="preserve">eckon up those who were by the apostles instituted bishops in the Churches, and to demonstrate the succession of these men to our own times; those who neither taught nor knew of anything like what these [heretics] rave about. For if the apostles had known hidden mysteries, which they </w:t>
      </w:r>
      <w:r>
        <w:lastRenderedPageBreak/>
        <w:t>were in the habit of imparting to 'the perfect' apart and privily from the rest, they would have delivered them especially to those to whom they were also committing the Churches themselves" (</w:t>
      </w:r>
      <w:r>
        <w:rPr>
          <w:i/>
          <w:iCs/>
        </w:rPr>
        <w:t>Adversus Haereses</w:t>
      </w:r>
      <w:r>
        <w:t xml:space="preserve"> III.3.1). The arg</w:t>
      </w:r>
      <w:r>
        <w:t>ument is epistemological and public: the apostles gave everything they received to the churches they founded, and the bishops of those churches stand as public guarantors of the authentic tradition.</w:t>
      </w:r>
    </w:p>
    <w:p w14:paraId="753F712E" w14:textId="77777777" w:rsidR="000E133F" w:rsidRDefault="00EC5ECA">
      <w:pPr>
        <w:spacing w:before="60" w:after="140" w:line="360" w:lineRule="auto"/>
      </w:pPr>
      <w:r>
        <w:t xml:space="preserve">But Irenaeus does not understand apostolic succession as merely a succession of valid ordinations. The succession he has in mind is a succession of faith, of teaching, of the whole apostolic life of the Church. The bishop succeeds not only to the episcopal office but to the apostolic chair — the </w:t>
      </w:r>
      <w:r>
        <w:rPr>
          <w:i/>
          <w:iCs/>
        </w:rPr>
        <w:t>cathedra</w:t>
      </w:r>
      <w:r>
        <w:t xml:space="preserve"> — which is the seat of authentic teaching in a particular church. The bishop who sits in Peter's chair in Rome does not merely hold a valid ordination; he holds the tradition of faith that Peter and Paul left there. This is why Irenaeus's argument works only for sees with actual apostolic foundations: the succession of teaching is the primary thing, and the succession of ordinations is its vehicle and guarantee.</w:t>
      </w:r>
    </w:p>
    <w:p w14:paraId="1DE5F4C3" w14:textId="77777777" w:rsidR="000E133F" w:rsidRDefault="00EC5ECA">
      <w:pPr>
        <w:spacing w:before="60" w:after="140" w:line="360" w:lineRule="auto"/>
      </w:pPr>
      <w:r>
        <w:t>The Orthodox theologian's understanding of what is transmitted in apostolic succession goes beyond both the purely juridical account (succession as a chain of valid ordinations) and the purely doctrinalist account (succession as mere fidelity to apostolic teaching). What is transmitted is the totality of the apostolic life of the Church: the faith expressed in the Creed, the sacramental life of the community, the structure of worship, the moral and ascetic tradition, the pattern of prayer. This is what Flor</w:t>
      </w:r>
      <w:r>
        <w:t>ovsky means when he speaks of apostolicity as a quality of the whole Church's life, not merely a property of its hierarchy: "Apostolicity is not simply a historical relationship between the contemporary Church and the apostolic foundation. It is a theological reality: the Church is apostolic because it lives by the apostolic Spirit, moves in the apostolic direction, keeps the apostolic faith."</w:t>
      </w:r>
    </w:p>
    <w:p w14:paraId="19EBAAD8" w14:textId="77777777" w:rsidR="000E133F" w:rsidRDefault="00EC5ECA">
      <w:pPr>
        <w:spacing w:before="60" w:after="140" w:line="360" w:lineRule="auto"/>
      </w:pPr>
      <w:r>
        <w:t xml:space="preserve">The Orthodox understanding of what is lacking in Protestant communities is not simply valid orders — not simply the absence of an unbroken chain of episcopal ordinations. What is lacking is the totality of the apostolic life: the sacramental structure (especially the Eucharist, which requires episcopal succession), the living tradition of worship and prayer, the patristic theology transmitted through the liturgy, and the organic continuity </w:t>
      </w:r>
      <w:r>
        <w:lastRenderedPageBreak/>
        <w:t>with the whole Church across time. From the Orthodox perspective, Protestantism represents not merely an institutional rupture but a theological discontinuity that affects not only ecclesial structure but the content of the faith itself — since, in the Orthodox understanding, the faith cannot be adequately transmitted apart from its proper liturgical and sacramental context.</w:t>
      </w:r>
    </w:p>
    <w:p w14:paraId="0105D752" w14:textId="77777777" w:rsidR="000E133F" w:rsidRDefault="00EC5ECA">
      <w:pPr>
        <w:spacing w:before="60" w:after="140" w:line="360" w:lineRule="auto"/>
      </w:pPr>
      <w:r>
        <w:t>This does not mean that Orthodox theologians deny all spiritual reality in Protestant communities, or that they claim Protestant Christians have no genuine relationship with God. Orthodox theology distinguishes carefully between the boundaries of the canonical Church and the boundaries of God's saving action: "The Spirit blows where it wills" (John 3:8), and the canons that define the structure of the Church's sacramental life do not define the scope of divine mercy. What Orthodox theology denies is that Pr</w:t>
      </w:r>
      <w:r>
        <w:t>otestant communities, as communities, possess the structural conditions for the full transmission of the apostolic life — not that individuals within those communities cannot have genuine faith and genuine relationship with God.</w:t>
      </w:r>
    </w:p>
    <w:p w14:paraId="582216C4" w14:textId="77777777" w:rsidR="000E133F" w:rsidRDefault="00EC5ECA">
      <w:pPr>
        <w:pStyle w:val="Heading2"/>
      </w:pPr>
      <w:bookmarkStart w:id="26" w:name="_Toc232765253"/>
      <w:r>
        <w:t>2.5 The Quinisext Council (692) and the Canonical Tradition</w:t>
      </w:r>
      <w:bookmarkEnd w:id="26"/>
    </w:p>
    <w:p w14:paraId="2ED03CF7" w14:textId="77777777" w:rsidR="000E133F" w:rsidRDefault="00EC5ECA">
      <w:pPr>
        <w:spacing w:before="60" w:after="140" w:line="360" w:lineRule="auto"/>
      </w:pPr>
      <w:r>
        <w:t>No account of Orthodox ecclesiology is complete without attention to the council that produced the single most comprehensive body of canonical legislation in the history of Eastern Christianity: the Quinisext Council, held in the domed hall (</w:t>
      </w:r>
      <w:r>
        <w:rPr>
          <w:i/>
          <w:iCs/>
        </w:rPr>
        <w:t>trullus</w:t>
      </w:r>
      <w:r>
        <w:t>) of the imperial palace in Constantinople in 692, and therefore known also as the Trullan Council or the Council in Trullo. Though not numbered among the Seven Ecumenical Councils (it was not called to define dogma but to supply the canonical legislation that the Fifth and Sixth Councils had omitted), its 102 canons are accepted as binding canonical authority by the entire Orthodox church and represent the most detailed expression of the Orthodox canonical tradition.</w:t>
      </w:r>
    </w:p>
    <w:p w14:paraId="05BF93EB" w14:textId="77777777" w:rsidR="000E133F" w:rsidRDefault="00EC5ECA">
      <w:pPr>
        <w:spacing w:before="60" w:after="140" w:line="360" w:lineRule="auto"/>
      </w:pPr>
      <w:r>
        <w:t>The council was convoked by Emperor Justinian II and attended by approximately 211 bishops, almost entirely from the Eastern churches. The Roman delegates were present but did not sign the canons; Pope Sergius I subsequently refused to approve the council's decisions — a refusal that is ecclesiologically significant, since it illustrates the Roman church's resistance to the Eastern canonical tradition in several specific areas.</w:t>
      </w:r>
    </w:p>
    <w:p w14:paraId="219A5D17" w14:textId="77777777" w:rsidR="000E133F" w:rsidRDefault="00EC5ECA">
      <w:pPr>
        <w:spacing w:before="60" w:after="140" w:line="360" w:lineRule="auto"/>
      </w:pPr>
      <w:r>
        <w:lastRenderedPageBreak/>
        <w:t>The Trullan canons address an enormous range of ecclesiastical discipline: the manner of episcopal elections; the canonical age requirements for ordination; the prohibition of simony (purchasing church offices); the regulation of marriage among clergy (married men may be ordained to the diaconate and presbyterate, but bishops must be celibate or widowed); the observance of fasting on Wednesdays and Fridays throughout the year; the prohibition of clerics from entering taverns; the regulation of the liturgica</w:t>
      </w:r>
      <w:r>
        <w:t>l calendar; and numerous other matters of church order. Several of the canons address specifically the divergences between Eastern and Western practice, and it is these canons that caused the Roman rejection.</w:t>
      </w:r>
    </w:p>
    <w:p w14:paraId="39F1F01B" w14:textId="77777777" w:rsidR="000E133F" w:rsidRDefault="00EC5ECA">
      <w:pPr>
        <w:spacing w:before="60" w:after="140" w:line="360" w:lineRule="auto"/>
      </w:pPr>
      <w:r>
        <w:t>Canon 36 of the Quinisext Council restates and clarifies Canon 28 of Chalcedon, asserting Constantinople's co-equal privilege with Rome: "Renewing the decrees made by the one hundred and fifty God-bearing Fathers who met in this imperial city, and those made by the six hundred and thirty who met in Chalcedon: we decree that the see of Constantinople shall enjoy equal privileges (</w:t>
      </w:r>
      <w:r>
        <w:rPr>
          <w:i/>
          <w:iCs/>
        </w:rPr>
        <w:t>isa presbeia</w:t>
      </w:r>
      <w:r>
        <w:t>) with the see of old Rome, and shall be as highly magnified as that one in ecclesiastical affairs; being second after it. After Constantinople, let the see of Alexandria be ranked, then that of Antioch, and after all of these the see of Jerusalem." The claim to "equal privileges" — not merely "second place" — represents a maximalist reading of the canonical tradition from the Eastern perspective: Constantinople is Rome's equal in honor, differing only in the order of enumeration.</w:t>
      </w:r>
    </w:p>
    <w:p w14:paraId="119510DB" w14:textId="77777777" w:rsidR="000E133F" w:rsidRDefault="00EC5ECA">
      <w:pPr>
        <w:spacing w:before="60" w:after="140" w:line="360" w:lineRule="auto"/>
      </w:pPr>
      <w:r>
        <w:t>Canon 55 prohibited the Roman practice of fasting on Saturdays during Great Lent (except for Holy Saturday), insisting that the apostolic canons required only Wednesdays and Fridays as fast days. Canon 67 prohibited the consumption of blood and strangled animals (referring to the apostolic prohibition of Acts 15:29). Canon 82, theologically one of the most significant, prohibited the representation of Christ as a lamb (</w:t>
      </w:r>
      <w:r>
        <w:rPr>
          <w:i/>
          <w:iCs/>
        </w:rPr>
        <w:t>Agnus Dei</w:t>
      </w:r>
      <w:r>
        <w:t xml:space="preserve">), commanding instead that Christ be depicted in His human form: "In some pictures of the venerable icons, a lamb is painted to which the Precursor points his finger, which is received as a type of grace, indicating beforehand through the Law our true Lamb, Christ our God. Embracing therefore the ancient types and shadows as symbols of the truth, and patterns given to the Church, we prefer grace and truth, receiving it as the fulfillment of the Law. In order therefore that perfection may be </w:t>
      </w:r>
      <w:r>
        <w:lastRenderedPageBreak/>
        <w:t>delinea</w:t>
      </w:r>
      <w:r>
        <w:t>ted to the eyes of all, at least in colored expression, we decree that the figure in human form of the Lamb who taketh away the sin of the world, Christ our God, be henceforth exhibited in images, instead of the ancient lamb, so that all may understand by means of it the depths of the humiliation of the Word of God, and that we may recall to our memory his conversation in the flesh, his passion and salutary death, and his redemption which was wrought for the whole world."</w:t>
      </w:r>
    </w:p>
    <w:p w14:paraId="1EB45B41" w14:textId="77777777" w:rsidR="000E133F" w:rsidRDefault="00EC5ECA">
      <w:pPr>
        <w:spacing w:before="60" w:after="140" w:line="360" w:lineRule="auto"/>
      </w:pPr>
      <w:r>
        <w:t>This canon is a remarkable instance of the Council doing theology through canonical legislation: it insists that the incarnational realism of Christianity requires that Christ be depicted in His actual human nature, not symbolized by a figure (the lamb) that represents His divinity. The argument is the same one John of Damascus would make more explicitly decades later in his defense of icons: the Incarnation is the theological ground for material representation of the divine.</w:t>
      </w:r>
    </w:p>
    <w:p w14:paraId="081DA136" w14:textId="77777777" w:rsidR="000E133F" w:rsidRDefault="00EC5ECA">
      <w:pPr>
        <w:pStyle w:val="Heading2"/>
      </w:pPr>
      <w:bookmarkStart w:id="27" w:name="_Toc232765254"/>
      <w:r>
        <w:t>2.6 The Bishop in Orthodox Theology: Ordination, Authority, and Accountability</w:t>
      </w:r>
      <w:bookmarkEnd w:id="27"/>
    </w:p>
    <w:p w14:paraId="73BE4ADD" w14:textId="77777777" w:rsidR="000E133F" w:rsidRDefault="00EC5ECA">
      <w:pPr>
        <w:spacing w:before="60" w:after="140" w:line="360" w:lineRule="auto"/>
      </w:pPr>
      <w:r>
        <w:t>The Orthodox theology of the episcopate is inseparable from the eucharistic ecclesiology developed in sections 2.1 and 2.4. The bishop is not, in the Orthodox understanding, primarily an administrator who happens also to preside at certain liturgical functions. He is constitutively the high priest of his local church, the president of the eucharistic assembly, the teacher of the apostolic faith, and the judge of his flock in matters of canonical discipline — all of these functions being unified in the singl</w:t>
      </w:r>
      <w:r>
        <w:t>e vocation of presiding as the image of Christ in the midst of his people.</w:t>
      </w:r>
    </w:p>
    <w:p w14:paraId="664AED9B" w14:textId="77777777" w:rsidR="000E133F" w:rsidRDefault="00EC5ECA">
      <w:pPr>
        <w:spacing w:before="60" w:after="140" w:line="360" w:lineRule="auto"/>
      </w:pPr>
      <w:r>
        <w:t xml:space="preserve">The bishop receives his office through ordination — the laying on of hands by two or three fellow bishops in apostolic succession, accompanied by the prayer of epiclesis that invokes the Holy Spirit upon the ordinand. This act is not merely juridical — not merely a formal conferral of authority — but sacramental: it communicates the grace of the Holy Spirit that constitutes the episcopal ministry. Canon 4 of Nicaea I establishes the canonical minimum: "A bishop should be appointed by all the bishops in the </w:t>
      </w:r>
      <w:r>
        <w:t xml:space="preserve">province; but if this is difficult, either because of urgent necessity or because of distance, three at least should meet together, and the absent bishops should participate by voting in writing; and then the ordination should be performed. But in each province the </w:t>
      </w:r>
      <w:r>
        <w:lastRenderedPageBreak/>
        <w:t>ratification of what is done should be left to the Metropolitan." The requirement of multiple bishops in the ordaining act is not merely practical; it expresses the collegial character of the episcopate: no bishop is ordained by a single individu</w:t>
      </w:r>
      <w:r>
        <w:t>al (which would reduce the ordination to a personal act) but by the college of bishops, which represents the whole Church.</w:t>
      </w:r>
    </w:p>
    <w:p w14:paraId="638A2DBF" w14:textId="77777777" w:rsidR="000E133F" w:rsidRDefault="00EC5ECA">
      <w:pPr>
        <w:spacing w:before="60" w:after="140" w:line="360" w:lineRule="auto"/>
      </w:pPr>
      <w:r>
        <w:t>The Orthodox theology of episcopal accountability is, in one sense, more demanding than either the Roman Catholic or Protestant models. The bishop is accountable: to the synod of bishops of his church (which may discipline, suspend, or depose him); to the canons of the Ecumenical Councils (which define the boundaries of legitimate episcopal action); to his own people (whose reception or rejection of his teaching is itself a form of theological judgment on his teaching); and ultimately to God, before whom he</w:t>
      </w:r>
      <w:r>
        <w:t xml:space="preserve"> will give an account for every soul entrusted to his care (Hebrews 13:17). The canons describe specific grounds for episcopal deposition: heresy, moral failure, arbitrary tyranny over the clergy and people, and various canonical offenses enumerated in the apostolic canons and the canons of local councils received by the whole church. The principle that no bishop is above the law of the Church — that even the Patriarch of Constantinople or the Patriarch of Moscow is subject to conciliar judgment — is a cons</w:t>
      </w:r>
      <w:r>
        <w:t>titutional principle of Orthodoxy, not merely a pious aspiration.</w:t>
      </w:r>
    </w:p>
    <w:p w14:paraId="4709DB71" w14:textId="77777777" w:rsidR="000E133F" w:rsidRDefault="00EC5ECA">
      <w:pPr>
        <w:spacing w:before="60" w:after="140" w:line="360" w:lineRule="auto"/>
      </w:pPr>
      <w:r>
        <w:t>The tension between this principle and the practical realities of church governance has been a permanent feature of Orthodox ecclesial life. Patriarchs have been deposed for both theological and political reasons; some depositions have been legitimate applications of canon law, others have been capitulations to imperial (or later, Soviet) power. The principle remains, even when it is violated: the Church is governed not by the will of any individual hierarch but by the conciliar mind of the bishops acting t</w:t>
      </w:r>
      <w:r>
        <w:t>ogether within the canonical tradition.</w:t>
      </w:r>
    </w:p>
    <w:p w14:paraId="60345CD5" w14:textId="77777777" w:rsidR="000E133F" w:rsidRDefault="00EC5ECA">
      <w:pPr>
        <w:pStyle w:val="Heading1"/>
        <w:pageBreakBefore/>
      </w:pPr>
      <w:bookmarkStart w:id="28" w:name="_Toc232765255"/>
      <w:r>
        <w:lastRenderedPageBreak/>
        <w:t>CHAPTER THREE</w:t>
      </w:r>
      <w:bookmarkEnd w:id="28"/>
    </w:p>
    <w:p w14:paraId="53DA4EF7" w14:textId="77777777" w:rsidR="000E133F" w:rsidRDefault="00EC5ECA">
      <w:pPr>
        <w:pStyle w:val="Heading1"/>
        <w:pageBreakBefore/>
      </w:pPr>
      <w:bookmarkStart w:id="29" w:name="_Toc232765256"/>
      <w:r>
        <w:lastRenderedPageBreak/>
        <w:t>ORTHODOX THEOLOGY PROPER — GOD, TRINITY, AND THE ESSENCE-ENERGIES DISTINCTION</w:t>
      </w:r>
      <w:bookmarkEnd w:id="29"/>
    </w:p>
    <w:p w14:paraId="79142FAC" w14:textId="77777777" w:rsidR="000E133F" w:rsidRDefault="00EC5ECA">
      <w:pPr>
        <w:pStyle w:val="Heading2"/>
      </w:pPr>
      <w:bookmarkStart w:id="30" w:name="_Toc232765257"/>
      <w:r>
        <w:t>3.1 Apophatic Theology: The Unknowability of the Divine Essence</w:t>
      </w:r>
      <w:bookmarkEnd w:id="30"/>
    </w:p>
    <w:p w14:paraId="1675C070" w14:textId="77777777" w:rsidR="000E133F" w:rsidRDefault="00EC5ECA">
      <w:pPr>
        <w:spacing w:before="60" w:after="140" w:line="360" w:lineRule="auto"/>
      </w:pPr>
      <w:r>
        <w:t>There is, at the heart of Eastern Orthodox theological method, a discipline that is both more ancient than the Eastern tradition itself and more thoroughly appropriated by it than by any other branch of Christian theology: the discipline of negative, or apophatic, theology. To say that God is unknowable is, by itself, nothing unusual in the history of religion or philosophy. The genuinely remarkable claim of the Orthodox apophatic tradition is more precise and more demanding: God's essence (</w:t>
      </w:r>
      <w:r>
        <w:rPr>
          <w:i/>
          <w:iCs/>
        </w:rPr>
        <w:t>ousia</w:t>
      </w:r>
      <w:r>
        <w:t>) is not merely difficult to know, not merely beyond the current capacity of finite minds, but absolutely, constitutively incommunicable — not by reason of any limitation in the knower alone, but by reason of what God is in Himself. The divine essence is beyond being, beyond goodness, beyond unity, beyond all the transcendentals that philosophical theology has used as its highest categories. This is not a counsel of silence or a retreat into agnosticism; it is a rigorous theological claim about the nat</w:t>
      </w:r>
      <w:r>
        <w:t>ure of God, and it has profound implications for every dimension of Christian theology.</w:t>
      </w:r>
    </w:p>
    <w:p w14:paraId="3E645258" w14:textId="77777777" w:rsidR="000E133F" w:rsidRDefault="00EC5ECA">
      <w:pPr>
        <w:spacing w:before="60" w:after="140" w:line="360" w:lineRule="auto"/>
      </w:pPr>
      <w:r>
        <w:t xml:space="preserve">The foundational text of the Christian apophatic tradition is the body of writings associated with the name Dionysius the Areopagite — the </w:t>
      </w:r>
      <w:r>
        <w:rPr>
          <w:i/>
          <w:iCs/>
        </w:rPr>
        <w:t>Corpus Dionysiacum</w:t>
      </w:r>
      <w:r>
        <w:t xml:space="preserve">, most probably composed in Syria around 500 AD and attributed to Paul's convert mentioned in Acts 17:34. Whether or not the attribution is historically accurate (modern scholarship has conclusively established it is not), the influence of these writings on the whole of Eastern and Western Christian theology is immeasurable. In </w:t>
      </w:r>
      <w:r>
        <w:rPr>
          <w:i/>
          <w:iCs/>
        </w:rPr>
        <w:t>The Mystical Theology</w:t>
      </w:r>
      <w:r>
        <w:t>, Dionysius addresses his disciple Timothy: "My counsel to thee, as thou goest about this task, is to leave behind thee everything perceived an</w:t>
      </w:r>
      <w:r>
        <w:t xml:space="preserve">d understood, everything perceptible and understandable, all that is not and all that is, and, with thy understanding laid aside, to strive upward as much as thou canst toward union with him who is beyond all being and knowledge. By an undivided and absolute abandonment of thyself and everything, shedding all and freed from all, thou wilt be uplifted to the ray of </w:t>
      </w:r>
      <w:r>
        <w:lastRenderedPageBreak/>
        <w:t>the divine shadow which is above everything that is." The language is simultaneously precise and paradoxical: "the divine shadow" is "above every</w:t>
      </w:r>
      <w:r>
        <w:t>thing that is" — that is, above being as we understand it, transcendent even to the categories of existence and non-existence.</w:t>
      </w:r>
    </w:p>
    <w:p w14:paraId="29B7C2A7" w14:textId="77777777" w:rsidR="000E133F" w:rsidRDefault="00EC5ECA">
      <w:pPr>
        <w:spacing w:before="60" w:after="140" w:line="360" w:lineRule="auto"/>
      </w:pPr>
      <w:r>
        <w:t xml:space="preserve">Dionysius develops this with greater philosophical precision in </w:t>
      </w:r>
      <w:r>
        <w:rPr>
          <w:i/>
          <w:iCs/>
        </w:rPr>
        <w:t>The Divine Names</w:t>
      </w:r>
      <w:r>
        <w:t>, where he distinguishes between the cataphatic (affirmative) theology that speaks of God through the names revealed in Scripture and the apophatic theology that negates all names: "We must not dare to resort to words or conceptions concerning that hidden divinity which transcends being, apart from what the sacred scriptures have divinely revealed... Since the unknowing of what is beyond being is above and beyond speech, mind, or being itself... In the diligent exercise of mystical contempla</w:t>
      </w:r>
      <w:r>
        <w:t>tion, leave behind the senses and the operations of the intellect, and all things sensible and intellectual... and strive upward as much as thou canst toward union with him who is beyond all being and knowledge."</w:t>
      </w:r>
    </w:p>
    <w:p w14:paraId="09B33B7E" w14:textId="77777777" w:rsidR="000E133F" w:rsidRDefault="00EC5ECA">
      <w:pPr>
        <w:spacing w:before="60" w:after="140" w:line="360" w:lineRule="auto"/>
      </w:pPr>
      <w:r>
        <w:t xml:space="preserve">The apophatic tradition is not, however, merely a philosophical exercise borrowed from Neoplatonism (though it clearly draws on Neoplatonic categories). It is grounded in the specific theological claim about who God is as revealed in Christ and in the experience of prayer. Gregory of Nyssa (c. 335–394), one of the three great Cappadocian Fathers and perhaps the most philosophically sophisticated of them, developed the apophatic tradition from within the biblical narrative in his </w:t>
      </w:r>
      <w:r>
        <w:rPr>
          <w:i/>
          <w:iCs/>
        </w:rPr>
        <w:t>Life of Moses</w:t>
      </w:r>
      <w:r>
        <w:t xml:space="preserve"> — a spiritual commentary on the life of Moses that uses the progressive stages of Moses's encounter with God as a map of the soul's journey to union with the divine. The crucial moment is Moses's entry into the "divine darkness" on Mount Sinai: "Moses' vision of God began with light; afterwards God spoke to him in a cloud. But when Moses rose higher and became more perfect, he saw God in the darkness. Now the doctrine we are taught here is this: Our initial withdrawal from wrong and erroneous </w:t>
      </w:r>
      <w:r>
        <w:t xml:space="preserve">ideas of God is a transition from darkness to light. Next comes a closer awareness of hidden things, and by this the soul is guided through sense phenomena to the world of the invisible. And this awareness is a kind of cloud, which overshadows all appearances, and slowly guides and accustoms the soul to look towards what is hidden. Next the soul makes progress through all these stages and goes on higher, and as she leaves below all that human </w:t>
      </w:r>
      <w:r>
        <w:lastRenderedPageBreak/>
        <w:t>nature can attain, she enters within the secret chamber of the di</w:t>
      </w:r>
      <w:r>
        <w:t>vine knowledge, and here she is cut off on all sides by the divine darkness."</w:t>
      </w:r>
    </w:p>
    <w:p w14:paraId="3BFDF471" w14:textId="77777777" w:rsidR="000E133F" w:rsidRDefault="00EC5ECA">
      <w:pPr>
        <w:spacing w:before="60" w:after="140" w:line="360" w:lineRule="auto"/>
      </w:pPr>
      <w:r>
        <w:t xml:space="preserve">This is Gregory's doctrine of </w:t>
      </w:r>
      <w:r>
        <w:rPr>
          <w:i/>
          <w:iCs/>
        </w:rPr>
        <w:t>epektasis</w:t>
      </w:r>
      <w:r>
        <w:t xml:space="preserve"> — the soul's eternal, unending progress toward a God who is always beyond its grasp. What is remarkable about Gregory's account is that union with God, for him, does not mean the cessation of the soul's movement into God; it means the soul's entrance into an infinite forward movement, an eternal progress into the ever-deeper depths of the divine life. God is inexhaustible; the soul's knowledge of God is therefore never complete but always growing, always exceeding itself. This is not the Platonic </w:t>
      </w:r>
      <w:r>
        <w:t>contemplation of a fixed eternal Form; it is the Christian's participation in the living God whose depths cannot be plumbed.</w:t>
      </w:r>
    </w:p>
    <w:p w14:paraId="18975836" w14:textId="77777777" w:rsidR="000E133F" w:rsidRDefault="00EC5ECA">
      <w:pPr>
        <w:spacing w:before="60" w:after="140" w:line="360" w:lineRule="auto"/>
      </w:pPr>
      <w:r>
        <w:t xml:space="preserve">Vladimir Lossky (1903–1958), the great twentieth-century Russian Orthodox theologian in Paris, placed apophatic theology at the very center of his account of Eastern Orthodox thought. In </w:t>
      </w:r>
      <w:r>
        <w:rPr>
          <w:i/>
          <w:iCs/>
        </w:rPr>
        <w:t>The Mystical Theology of the Eastern Church</w:t>
      </w:r>
      <w:r>
        <w:t xml:space="preserve"> (1944, English translation 1957), he writes: "The apophatic way does not lead us to an abstraction or to a silence empty of all content. Rather it leads us to a living encounter with the living God. The mystical theology of the Eastern Church cannot be separated from its dogmatic tradition, as if mysticism were a matter of individual religious experience while dogma belonged to the common faith of the Church. On the contrary, Eastern tradition has never clearly di</w:t>
      </w:r>
      <w:r>
        <w:t>stinguished between mysticism and theology, between personal experience of the divine mysteries and the dogma affirmed by the Church."</w:t>
      </w:r>
    </w:p>
    <w:p w14:paraId="011FDC33" w14:textId="77777777" w:rsidR="000E133F" w:rsidRDefault="00EC5ECA">
      <w:pPr>
        <w:spacing w:before="60" w:after="140" w:line="360" w:lineRule="auto"/>
      </w:pPr>
      <w:r>
        <w:t>Lossky's argument is that apophatic theology is not a supplement to positive theology, a caveat added at the end of a series of affirmations. It is the fundamental methodological requirement that governs all theological speech. Every affirmation about God must be accompanied by a recognition of its inadequacy — not because the affirmation is false, but because the reality of God infinitely exceeds what any finite affirmation can capture. The names of God revealed in Scripture — Father, Son, Spirit, Lord, Wi</w:t>
      </w:r>
      <w:r>
        <w:t>sdom, Word, Life, Truth — are genuine names, not merely poetic metaphors. But they are adequate to the reality they name only when they are understood as pointing beyond themselves to a reality that no name can contain.</w:t>
      </w:r>
    </w:p>
    <w:p w14:paraId="3E4F3611" w14:textId="77777777" w:rsidR="000E133F" w:rsidRDefault="00EC5ECA">
      <w:pPr>
        <w:spacing w:before="60" w:after="140" w:line="360" w:lineRule="auto"/>
      </w:pPr>
      <w:r>
        <w:lastRenderedPageBreak/>
        <w:t xml:space="preserve">John of Damascus, in </w:t>
      </w:r>
      <w:r>
        <w:rPr>
          <w:i/>
          <w:iCs/>
        </w:rPr>
        <w:t>The Fount of Knowledge</w:t>
      </w:r>
      <w:r>
        <w:t xml:space="preserve"> (</w:t>
      </w:r>
      <w:r>
        <w:rPr>
          <w:i/>
          <w:iCs/>
        </w:rPr>
        <w:t>Pege Gnoseos</w:t>
      </w:r>
      <w:r>
        <w:t>), provides perhaps the most systematic treatment of theological language in the patristic tradition. He writes: "It is evident that there is a God. But what He is in His essence and nature is absolutely incomprehensible and unknowable. That He is incorporeal is clear. For how could that be body which is infinite, and boundless, and formless, and intangible and invisible, and simple and uncomposite? How could that be subject to corruption which is immaterial? And how coul</w:t>
      </w:r>
      <w:r>
        <w:t>d that be mortal which is incorporeal and without form? But God does not belong to the class of existing things: not that He has no existence, but that He is above all existing things, nay even above existence itself."</w:t>
      </w:r>
    </w:p>
    <w:p w14:paraId="7FDA0416" w14:textId="77777777" w:rsidR="000E133F" w:rsidRDefault="00EC5ECA">
      <w:pPr>
        <w:spacing w:before="60" w:after="140" w:line="360" w:lineRule="auto"/>
      </w:pPr>
      <w:r>
        <w:t xml:space="preserve">The final sentence encapsulates the apophatic position: God does not belong to the class of existing things, not because He does not exist, but because He transcends existence as understood by creatures. This is the Dionysian inheritance mediated through John: God is </w:t>
      </w:r>
      <w:r>
        <w:rPr>
          <w:i/>
          <w:iCs/>
        </w:rPr>
        <w:t>hyperousios</w:t>
      </w:r>
      <w:r>
        <w:t xml:space="preserve"> — beyond being — beyond all our categories of existence and non-existence alike. And yet this God is not an abstract principle or a philosophical limit-concept; He is the living God who has revealed Himself in Christ and who is encountered in the burning flame of the Divine Liturgy, in the fire of pure prayer, and in the uncreated light that the hesychast monks experience in the silence of the heart.</w:t>
      </w:r>
    </w:p>
    <w:p w14:paraId="69DBCA75" w14:textId="77777777" w:rsidR="000E133F" w:rsidRDefault="00EC5ECA">
      <w:pPr>
        <w:pStyle w:val="Heading2"/>
      </w:pPr>
      <w:bookmarkStart w:id="31" w:name="_Toc232765258"/>
      <w:r>
        <w:t>3.2 The Essence-Energies Distinction of Gregory Palamas: A Full Exposition</w:t>
      </w:r>
      <w:bookmarkEnd w:id="31"/>
    </w:p>
    <w:p w14:paraId="2FF2DE1F" w14:textId="77777777" w:rsidR="000E133F" w:rsidRDefault="00EC5ECA">
      <w:pPr>
        <w:pStyle w:val="Heading3"/>
      </w:pPr>
      <w:bookmarkStart w:id="32" w:name="_Toc232765259"/>
      <w:r>
        <w:t>(a) The Historical Context: The Hesychast Controversy 1337–1351</w:t>
      </w:r>
      <w:bookmarkEnd w:id="32"/>
    </w:p>
    <w:p w14:paraId="13400928" w14:textId="77777777" w:rsidR="000E133F" w:rsidRDefault="00EC5ECA">
      <w:pPr>
        <w:spacing w:before="60" w:after="140" w:line="360" w:lineRule="auto"/>
      </w:pPr>
      <w:r>
        <w:t xml:space="preserve">The hesychast controversy — one of the most profound theological disputes in the history of Christianity — began in 1337 when Barlaam of Calabria (c. 1290–1348), a learned Byzantine philosopher and humanist who had emigrated from Italy and taken up residence in Constantinople, began to attack the theology and practice of the Athonite hesychast monks. The hesychasts were monks who practiced an ancient form of contemplative prayer centered on the continuous repetition of the Jesus Prayer ("Lord Jesus Christ, </w:t>
      </w:r>
      <w:r>
        <w:t>Son of God, have mercy on me, a sinner") coordinated with breathing, and who claimed to experience, in the highest stages of this prayer, a direct vision of uncreated divine light — identified with the light that appeared to the apostles at the Transfiguration of Christ on Mount Tabor (Matthew 17:1–8).</w:t>
      </w:r>
    </w:p>
    <w:p w14:paraId="1AABF85C" w14:textId="77777777" w:rsidR="000E133F" w:rsidRDefault="00EC5ECA">
      <w:pPr>
        <w:spacing w:before="60" w:after="140" w:line="360" w:lineRule="auto"/>
      </w:pPr>
      <w:r>
        <w:lastRenderedPageBreak/>
        <w:t>Barlaam's objections were multiple and formidable. Drawing on the epistemology of Pseudo-Dionysius — and agreeing with the apophatic tradition that God's essence is absolutely unknowable — he argued that no creature can have direct knowledge of God. The divine light that the monks claimed to see must therefore be either a created phenomenon (a physical or psychological effect of their prayer disciplines) or an illusion. He further argued that the monks' claim to see God directly was Messalian — a heresy tha</w:t>
      </w:r>
      <w:r>
        <w:t xml:space="preserve">t had been condemned in antiquity — since the Messalians claimed that through prayer and ascetic practice they could attain to a direct sensory perception of the divine essence. Barlaam also raised a more technical philosophical objection: the hesychasts seemed to describe their experience in terms that implied they were seeing something divine but distinct from God's essence — a divine light that was not the divine essence. But if this light is divine (not created) and yet not the divine essence, then God </w:t>
      </w:r>
      <w:r>
        <w:t>contains a real plurality — a multiplicity of divine realities that would compromise divine simplicity. Either the light is created (and the monks' experience is not genuinely of God), or it is the divine essence (which is impossible for any creature to see), or it introduces a real plurality into the divine being (which violates monotheism).</w:t>
      </w:r>
    </w:p>
    <w:p w14:paraId="52639712" w14:textId="77777777" w:rsidR="000E133F" w:rsidRDefault="00EC5ECA">
      <w:pPr>
        <w:spacing w:before="60" w:after="140" w:line="360" w:lineRule="auto"/>
      </w:pPr>
      <w:r>
        <w:t xml:space="preserve">Gregory Palamas (1296–1359) was at this time a monk of Mount Athos, later to become Archbishop of Thessalonica. He was a theologian of extraordinary depth and precision, the heir of the entire Eastern patristic tradition, and the decisive systematic mind that would transform the hesychast controversy into the central dogmatic debate of Byzantine theology. His response to Barlaam is contained primarily in his </w:t>
      </w:r>
      <w:r>
        <w:rPr>
          <w:i/>
          <w:iCs/>
        </w:rPr>
        <w:t>Triads in Defense of the Holy Hesychasts</w:t>
      </w:r>
      <w:r>
        <w:t xml:space="preserve"> (written 1338–1341) and his </w:t>
      </w:r>
      <w:r>
        <w:rPr>
          <w:i/>
          <w:iCs/>
        </w:rPr>
        <w:t>One Hundred and Fifty Chapters</w:t>
      </w:r>
      <w:r>
        <w:t xml:space="preserve"> (c. 1349–1350).</w:t>
      </w:r>
    </w:p>
    <w:p w14:paraId="51A7697A" w14:textId="77777777" w:rsidR="000E133F" w:rsidRDefault="00EC5ECA">
      <w:pPr>
        <w:pStyle w:val="Heading3"/>
      </w:pPr>
      <w:bookmarkStart w:id="33" w:name="_Toc232765260"/>
      <w:r>
        <w:t>(b) Palamas's Argument from the Triads</w:t>
      </w:r>
      <w:bookmarkEnd w:id="33"/>
    </w:p>
    <w:p w14:paraId="1E86424B" w14:textId="77777777" w:rsidR="000E133F" w:rsidRDefault="00EC5ECA">
      <w:pPr>
        <w:spacing w:before="60" w:after="140" w:line="360" w:lineRule="auto"/>
      </w:pPr>
      <w:r>
        <w:t xml:space="preserve">The central argument of Palamas's </w:t>
      </w:r>
      <w:r>
        <w:rPr>
          <w:i/>
          <w:iCs/>
        </w:rPr>
        <w:t>Triads</w:t>
      </w:r>
      <w:r>
        <w:t xml:space="preserve"> proceeds from a strict application of the apophatic principle. He agrees with Barlaam that God's essence (</w:t>
      </w:r>
      <w:r>
        <w:rPr>
          <w:i/>
          <w:iCs/>
        </w:rPr>
        <w:t>ousia</w:t>
      </w:r>
      <w:r>
        <w:t xml:space="preserve">) is absolutely unknowable and incommunicable — no creature can participate in the divine essence, even in the highest stage of mystical union. But Palamas draws a consequence that Barlaam refused to accept: if the divine essence is absolutely unknowable and incommunicable, and if the monks genuinely see God (not a created image or illusion </w:t>
      </w:r>
      <w:r>
        <w:lastRenderedPageBreak/>
        <w:t>but something genuinely divine), then there must be</w:t>
      </w:r>
      <w:r>
        <w:t xml:space="preserve"> a real distinction in God between His inaccessible essence and His accessible self-communication. Palamas writes in the </w:t>
      </w:r>
      <w:r>
        <w:rPr>
          <w:i/>
          <w:iCs/>
        </w:rPr>
        <w:t>Triads</w:t>
      </w:r>
      <w:r>
        <w:t>: "If the divine and deifying illumination is not a substance, it must then be an accident or an energy of God. But if it is an accident, it is either finite or infinite. If it is a finite accident added to God, then the divine is finite, which is impossible. If it is infinite, then there are infinite accidents, which is even more absurd. The illumination is therefore an energy of G</w:t>
      </w:r>
      <w:r>
        <w:t>od — but an uncreated energy, truly God, yet distinct from the divine essence."</w:t>
      </w:r>
    </w:p>
    <w:p w14:paraId="1FA9E9FA" w14:textId="77777777" w:rsidR="000E133F" w:rsidRDefault="00EC5ECA">
      <w:pPr>
        <w:spacing w:before="60" w:after="140" w:line="360" w:lineRule="auto"/>
      </w:pPr>
      <w:r>
        <w:t>The argument is structured as a dilemma: either the light the monks see is created (in which case it is not God and the monks' experience is not genuinely of God), or it is uncreated (in which case it is genuinely God). If it is uncreated, it cannot be the divine essence (which is absolutely unknowable). Therefore there must be something in God that is genuinely divine — uncreated — yet not the divine essence in its absolute inaccessibility. This something Palamas calls the "divine energies" (</w:t>
      </w:r>
      <w:r>
        <w:rPr>
          <w:i/>
          <w:iCs/>
        </w:rPr>
        <w:t>energeiai</w:t>
      </w:r>
      <w:r>
        <w:t>) or "divine operations" (</w:t>
      </w:r>
      <w:r>
        <w:rPr>
          <w:i/>
          <w:iCs/>
        </w:rPr>
        <w:t>energeiai</w:t>
      </w:r>
      <w:r>
        <w:t>): the uncreated divine activities through which God communicates Himself to the world without communicating His essence.</w:t>
      </w:r>
    </w:p>
    <w:p w14:paraId="5481CE2C" w14:textId="77777777" w:rsidR="000E133F" w:rsidRDefault="00EC5ECA">
      <w:pPr>
        <w:spacing w:before="60" w:after="140" w:line="360" w:lineRule="auto"/>
      </w:pPr>
      <w:r>
        <w:t>Palamas draws on multiple patristic precedents for this distinction. He cites Basil the Great, who distinguished between the divine essence (</w:t>
      </w:r>
      <w:r>
        <w:rPr>
          <w:i/>
          <w:iCs/>
        </w:rPr>
        <w:t>ousia</w:t>
      </w:r>
      <w:r>
        <w:t>), which is unknowable, and the divine operations (</w:t>
      </w:r>
      <w:r>
        <w:rPr>
          <w:i/>
          <w:iCs/>
        </w:rPr>
        <w:t>energeiai</w:t>
      </w:r>
      <w:r>
        <w:t>), which are knowable: "We say that we know our God from His energies, but we do not undertake to approach near to His essence. His energies come down to us, but His essence remains beyond our reach" (</w:t>
      </w:r>
      <w:r>
        <w:rPr>
          <w:i/>
          <w:iCs/>
        </w:rPr>
        <w:t>Letter 234</w:t>
      </w:r>
      <w:r>
        <w:t>). He cites Gregory the Theologian's distinction between the divine nature and the divine processions. He cites Gregory of Nyssa's distinction between what God is in Himself and what He is toward creation. He argues, with extensive patr</w:t>
      </w:r>
      <w:r>
        <w:t>istic documentation, that the essence-energies distinction is not a late Byzantine innovation but the consistent teaching of the Greek Fathers, systematized by him in response to a specific challenge.</w:t>
      </w:r>
    </w:p>
    <w:p w14:paraId="12CF4A39" w14:textId="77777777" w:rsidR="000E133F" w:rsidRDefault="00EC5ECA">
      <w:pPr>
        <w:pStyle w:val="Heading3"/>
      </w:pPr>
      <w:bookmarkStart w:id="34" w:name="_Toc232765261"/>
      <w:r>
        <w:t>(c) The Palamite Distinction Developed: Essence, Hypostases, Energies</w:t>
      </w:r>
      <w:bookmarkEnd w:id="34"/>
    </w:p>
    <w:p w14:paraId="355F3730" w14:textId="77777777" w:rsidR="000E133F" w:rsidRDefault="00EC5ECA">
      <w:pPr>
        <w:spacing w:before="60" w:after="140" w:line="360" w:lineRule="auto"/>
      </w:pPr>
      <w:r>
        <w:t xml:space="preserve">The Palamite theology of God involves a threefold distinction within the divine being that must be stated with the greatest care to avoid misunderstanding. Palamas is not </w:t>
      </w:r>
      <w:r>
        <w:lastRenderedPageBreak/>
        <w:t>dividing God into parts, introducing a plurality within the divine unity, or compromising divine simplicity in the sense of claiming that God is composed of separable elements. He is rather articulating three distinct ways in which the theologian must speak of God:</w:t>
      </w:r>
    </w:p>
    <w:p w14:paraId="20D4F50C" w14:textId="77777777" w:rsidR="000E133F" w:rsidRDefault="00EC5ECA">
      <w:pPr>
        <w:spacing w:before="60" w:after="140" w:line="360" w:lineRule="auto"/>
      </w:pPr>
      <w:r>
        <w:t xml:space="preserve">First, the divine </w:t>
      </w:r>
      <w:r>
        <w:rPr>
          <w:i/>
          <w:iCs/>
        </w:rPr>
        <w:t>essence</w:t>
      </w:r>
      <w:r>
        <w:t xml:space="preserve"> (</w:t>
      </w:r>
      <w:r>
        <w:rPr>
          <w:i/>
          <w:iCs/>
        </w:rPr>
        <w:t>ousia</w:t>
      </w:r>
      <w:r>
        <w:t>): what God is in Himself, in His innermost being. This is the divine nature as it subsists in absolute self-sufficiency, absolutely prior to any relation to the world, absolutely incomprehensible and incommunicable. Even within the Trinity, the divine essence is not shared as between three distinct bearers; it is the one, indivisible, identical being of God, in which the three Persons subsist without division. No creature — no angel, no human person, not even the deified soul in the highest s</w:t>
      </w:r>
      <w:r>
        <w:t xml:space="preserve">tage of theosis — can participate in or know the divine essence as such. This is the absolute apophatic limit: here all language fails, all thought collapses, all images dissolve. The divine essence, Palamas insists, is "more than God" — </w:t>
      </w:r>
      <w:r>
        <w:rPr>
          <w:i/>
          <w:iCs/>
        </w:rPr>
        <w:t>hyper-theos</w:t>
      </w:r>
      <w:r>
        <w:t xml:space="preserve"> — in the sense that even the name "God" (</w:t>
      </w:r>
      <w:r>
        <w:rPr>
          <w:i/>
          <w:iCs/>
        </w:rPr>
        <w:t>Theos</w:t>
      </w:r>
      <w:r>
        <w:t>) belongs to the energies, to God as self-communicating, not to the essence as such.</w:t>
      </w:r>
    </w:p>
    <w:p w14:paraId="24C98136" w14:textId="77777777" w:rsidR="000E133F" w:rsidRDefault="00EC5ECA">
      <w:pPr>
        <w:spacing w:before="60" w:after="140" w:line="360" w:lineRule="auto"/>
      </w:pPr>
      <w:r>
        <w:t xml:space="preserve">Second, the divine </w:t>
      </w:r>
      <w:r>
        <w:rPr>
          <w:i/>
          <w:iCs/>
        </w:rPr>
        <w:t>hypostases</w:t>
      </w:r>
      <w:r>
        <w:t xml:space="preserve"> or Persons: the Father, Son, and Holy Spirit. These are not three parts of the divine essence; they are three distinct modes of subsistence of the one divine essence. The Father is unbegotten (</w:t>
      </w:r>
      <w:r>
        <w:rPr>
          <w:i/>
          <w:iCs/>
        </w:rPr>
        <w:t>agennetos</w:t>
      </w:r>
      <w:r>
        <w:t>); the Son is eternally begotten of the Father (</w:t>
      </w:r>
      <w:r>
        <w:rPr>
          <w:i/>
          <w:iCs/>
        </w:rPr>
        <w:t>gennetos</w:t>
      </w:r>
      <w:r>
        <w:t>); the Spirit eternally proceeds from the Father (</w:t>
      </w:r>
      <w:r>
        <w:rPr>
          <w:i/>
          <w:iCs/>
        </w:rPr>
        <w:t>ekporeuton</w:t>
      </w:r>
      <w:r>
        <w:t>). These are the eternal, constitutive relations within the Trinity — not temporal events but eternal modes of the divine being. The hypostases are fully God; each hypostasis is the o</w:t>
      </w:r>
      <w:r>
        <w:t xml:space="preserve">ne God, not a third of God. This is the doctrine of </w:t>
      </w:r>
      <w:r>
        <w:rPr>
          <w:i/>
          <w:iCs/>
        </w:rPr>
        <w:t>perichoresis</w:t>
      </w:r>
      <w:r>
        <w:t xml:space="preserve"> (mutual indwelling): the Father is wholly in the Son and the Spirit; the Son is wholly in the Father and the Spirit; the Spirit is wholly in the Father and the Son.</w:t>
      </w:r>
    </w:p>
    <w:p w14:paraId="616EC2C4" w14:textId="77777777" w:rsidR="000E133F" w:rsidRDefault="00EC5ECA">
      <w:pPr>
        <w:spacing w:before="60" w:after="140" w:line="360" w:lineRule="auto"/>
      </w:pPr>
      <w:r>
        <w:t xml:space="preserve">Third, the divine </w:t>
      </w:r>
      <w:r>
        <w:rPr>
          <w:i/>
          <w:iCs/>
        </w:rPr>
        <w:t>energies</w:t>
      </w:r>
      <w:r>
        <w:t xml:space="preserve"> (</w:t>
      </w:r>
      <w:r>
        <w:rPr>
          <w:i/>
          <w:iCs/>
        </w:rPr>
        <w:t>energeiai</w:t>
      </w:r>
      <w:r>
        <w:t>): the divine life as it flows outward in self-communication. These are not intermediaries between God and creation — not a created medium, not a lesser divinity, not emanations in the Neoplatonic sense. They are God Himself, truly and fully, in His self-giving. The divine energies are the modalities of the divine life as turned toward the world: divine light, divine life, divine wisdom, divine love, divine mercy, divine creativity, divine foreknowledge. All of these, in Orthodox theology</w:t>
      </w:r>
      <w:r>
        <w:t xml:space="preserve">, are genuinely uncreated — they are not created effects of divine causality, as in </w:t>
      </w:r>
      <w:r>
        <w:lastRenderedPageBreak/>
        <w:t>the Thomistic framework, but divine operations that are themselves divine. Palamas insists: "The divine energy is not a mediator between God and created things... it is God Himself, present and active in His creation." The energies are God in His self-giving mode; the essence is God in His absolute transcendence.</w:t>
      </w:r>
    </w:p>
    <w:p w14:paraId="7132C459" w14:textId="77777777" w:rsidR="000E133F" w:rsidRDefault="00EC5ECA">
      <w:pPr>
        <w:spacing w:before="60" w:after="140" w:line="360" w:lineRule="auto"/>
      </w:pPr>
      <w:r>
        <w:t>The relationship between essence and energies is not that of two parts, two accidents, or two substances. It is the relationship between God as He is in Himself (essence) and God as He communicates Himself (energies). Palamas uses the analogy of the sun: the sun's substance (the solar body itself, in ancient cosmology) is unreachable and blinding in its fullness, but the sun's rays and warmth genuinely communicate the sun's nature and are genuinely solar — they are not the sun itself, and yet they are not o</w:t>
      </w:r>
      <w:r>
        <w:t>ther than the sun. The analogy is, of course, imperfect (as Palamas himself acknowledges), since in God there is no spatial distance between essence and energies; but it captures the crucial point: the energies are genuinely God, not a representation of God or a created effect of God, while the essence remains absolutely transcendent.</w:t>
      </w:r>
    </w:p>
    <w:p w14:paraId="43A380CB" w14:textId="77777777" w:rsidR="000E133F" w:rsidRDefault="00EC5ECA">
      <w:pPr>
        <w:pStyle w:val="Heading3"/>
      </w:pPr>
      <w:bookmarkStart w:id="35" w:name="_Toc232765262"/>
      <w:r>
        <w:t>(d) The Conciliar Reception: Palamism as Orthodox Dogma</w:t>
      </w:r>
      <w:bookmarkEnd w:id="35"/>
    </w:p>
    <w:p w14:paraId="7290CC53" w14:textId="77777777" w:rsidR="000E133F" w:rsidRDefault="00EC5ECA">
      <w:pPr>
        <w:spacing w:before="60" w:after="140" w:line="360" w:lineRule="auto"/>
      </w:pPr>
      <w:r>
        <w:t xml:space="preserve">The Hesychast controversy was resolved not through academic debate alone but through three synods of the Eastern Church that collectively defined Palamism as Orthodox dogma, placing it within the body of officially received theological doctrine. The first Hesychast Synod, held in Constantinople in June 1341, condemned Barlaam and his theological positions, affirmed the distinction between the divine essence and the divine energies, and explicitly upheld the hesychast claim that the divine light seen by the </w:t>
      </w:r>
      <w:r>
        <w:t>monks was genuinely uncreated. The synod was presided over by the Patriarch John XIV Kalekas and attended by Emperor Andronikos III Palaeologos.</w:t>
      </w:r>
    </w:p>
    <w:p w14:paraId="37FB9187" w14:textId="77777777" w:rsidR="000E133F" w:rsidRDefault="00EC5ECA">
      <w:pPr>
        <w:spacing w:before="60" w:after="140" w:line="360" w:lineRule="auto"/>
      </w:pPr>
      <w:r>
        <w:t xml:space="preserve">The second Hesychast Synod, held in February 1347, was more directly political in character — it was convoked in the aftermath of the civil war between John VI Kantakouzenos (who supported Palamas and the hesychasts) and the regency government supporting John V Palaeologos — but its theological decisions confirmed those of 1341, formally condemned the anti-Palamite theologian Akindynos, and elevated Gregory Palamas himself to the archbishopric of Thessalonica. The third and most systematic Hesychast Synod, </w:t>
      </w:r>
      <w:r>
        <w:t xml:space="preserve">held in May 1351 under Emperor John VI </w:t>
      </w:r>
      <w:r>
        <w:lastRenderedPageBreak/>
        <w:t xml:space="preserve">Kantakouzenos, produced the most theologically precise definitions. Its </w:t>
      </w:r>
      <w:r>
        <w:rPr>
          <w:i/>
          <w:iCs/>
        </w:rPr>
        <w:t>Tomos</w:t>
      </w:r>
      <w:r>
        <w:t>, or dogmatic statement, explicitly defines the essence-energies distinction, the uncreated character of the divine energies, and the legitimacy of the hesychasts' claim to experience the uncreated light. It includes anathemas against those who deny the distinction: "If anyone shall say that the divine essence and the divine energy are the same, and shall not confess that the essence is entire</w:t>
      </w:r>
      <w:r>
        <w:t>ly incommunicable while the energy is communicable to the worthy, let him be anathema." Conversely: "If anyone shall say that what is participated in by the saints is a created grace, and not an uncreated energy of God, let him be anathema."</w:t>
      </w:r>
    </w:p>
    <w:p w14:paraId="490AA7CF" w14:textId="77777777" w:rsidR="000E133F" w:rsidRDefault="00EC5ECA">
      <w:pPr>
        <w:spacing w:before="60" w:after="140" w:line="360" w:lineRule="auto"/>
      </w:pPr>
      <w:r>
        <w:t xml:space="preserve">Gregory Palamas was canonized as a saint of the Orthodox Church in 1368 by Patriarch Philotheos Kokkinos, who also composed his </w:t>
      </w:r>
      <w:r>
        <w:rPr>
          <w:i/>
          <w:iCs/>
        </w:rPr>
        <w:t>Life</w:t>
      </w:r>
      <w:r>
        <w:t xml:space="preserve"> and </w:t>
      </w:r>
      <w:r>
        <w:rPr>
          <w:i/>
          <w:iCs/>
        </w:rPr>
        <w:t>Encomium</w:t>
      </w:r>
      <w:r>
        <w:t>. The second Sunday of Great Lent — the Sunday immediately following "Orthodoxy Sunday" (the feast of the Triumph of Orthodoxy, commemorating the restoration of icons in 843) — is dedicated to the commemoration of St. Gregory Palamas in the Orthodox liturgical calendar, an explicit theological signal: Palamism is presented as the fullest doctrinal flowering of what the Triumph of Orthodoxy inaugurated. The definition of icon veneration in 787 established the principle that the divine can ge</w:t>
      </w:r>
      <w:r>
        <w:t>nuinely communicate itself through matter; the definition of Palamism in 1341–1351 established the principle that this communication is genuinely divine — uncreated, not created.</w:t>
      </w:r>
    </w:p>
    <w:p w14:paraId="38D479C8" w14:textId="77777777" w:rsidR="000E133F" w:rsidRDefault="00EC5ECA">
      <w:pPr>
        <w:pStyle w:val="Heading3"/>
      </w:pPr>
      <w:bookmarkStart w:id="36" w:name="_Toc232765263"/>
      <w:r>
        <w:t>(e) The Significance for Soteriology: Theosis as Real Participation</w:t>
      </w:r>
      <w:bookmarkEnd w:id="36"/>
    </w:p>
    <w:p w14:paraId="4A50AF5E" w14:textId="77777777" w:rsidR="000E133F" w:rsidRDefault="00EC5ECA">
      <w:pPr>
        <w:spacing w:before="60" w:after="140" w:line="360" w:lineRule="auto"/>
      </w:pPr>
      <w:r>
        <w:t>The soteriological significance of the Palamite distinction is enormous and cannot be overstated. The fundamental claim of Orthodox soteriology is contained in the formula attributed to Athanasius of Alexandria: "God became man so that man might become God" (</w:t>
      </w:r>
      <w:r>
        <w:rPr>
          <w:i/>
          <w:iCs/>
        </w:rPr>
        <w:t>De Incarnatione</w:t>
      </w:r>
      <w:r>
        <w:t xml:space="preserve"> §54). This formula, which recurs in various formulations throughout the entire patristic tradition (Irenaeus: "The Word of God was made man, and he who was the Son of God became the son of man, in order to make man a participant in the Word of God and to receive the adoption, becoming the son of God"; Maximus the Confessor: "The person who has been deified by grace will be in every respect as God is, except for His very essence"), must be taken with absolute seriousness: it is not a metaphor</w:t>
      </w:r>
      <w:r>
        <w:t xml:space="preserve">, not a moral or relational figure of speech, but an </w:t>
      </w:r>
      <w:r>
        <w:lastRenderedPageBreak/>
        <w:t>ontological claim. The human person, through the process of theosis (deification), genuinely becomes divine — participates genuinely in the divine life.</w:t>
      </w:r>
    </w:p>
    <w:p w14:paraId="14648E74" w14:textId="77777777" w:rsidR="000E133F" w:rsidRDefault="00EC5ECA">
      <w:pPr>
        <w:spacing w:before="60" w:after="140" w:line="360" w:lineRule="auto"/>
      </w:pPr>
      <w:r>
        <w:t>The metaphysical difficulty is obvious: how can a creature genuinely participate in the divine life without either becoming God by nature (which would destroy the distinction between Creator and creature) or participating in nothing genuinely divine (which would reduce theosis to a mere figure of speech)? The Palamite distinction provides the precise philosophical articulation of the ontological middle ground: creatures participate in the divine energies — which are genuinely God, not created intermediaries</w:t>
      </w:r>
      <w:r>
        <w:t xml:space="preserve"> — while the divine essence remains absolutely incommunicable. Theosis is therefore genuine deification: the deified person genuinely partakes of the divine nature (2 Peter 1:4 — "become partakers of the divine nature"), not metaphorically or morally, but ontologically. And yet theosis does not annihilate the creature's creaturely nature or collapse the distinction between God and creation: the deified person is God by grace, by participation in the divine energies, but not God by nature — not God in the ab</w:t>
      </w:r>
      <w:r>
        <w:t>solute sense of sharing the divine essence.</w:t>
      </w:r>
    </w:p>
    <w:p w14:paraId="70B9C1CB" w14:textId="77777777" w:rsidR="000E133F" w:rsidRDefault="00EC5ECA">
      <w:pPr>
        <w:spacing w:before="60" w:after="140" w:line="360" w:lineRule="auto"/>
      </w:pPr>
      <w:r>
        <w:t>Maximus the Confessor, the great seventh-century theologian who is in many respects Palamas's most important predecessor, expresses this with characteristic precision: "The whole of God is participated by the whole of the deified human, and the human being becomes everything that God is, without however participating in his identity of nature" (</w:t>
      </w:r>
      <w:r>
        <w:rPr>
          <w:i/>
          <w:iCs/>
        </w:rPr>
        <w:t>Ambigua</w:t>
      </w:r>
      <w:r>
        <w:t xml:space="preserve"> 41). This paradoxical formulation — "the whole of God is participated, without identity of nature" — is precisely the structure of the Palamite doctrine: the energies are truly God (so that participation in them is participation in the whole of God), and yet the essence remains transcendent (so that the identity of nature — the essence as such — is not communicated).</w:t>
      </w:r>
    </w:p>
    <w:p w14:paraId="214C77CB" w14:textId="77777777" w:rsidR="000E133F" w:rsidRDefault="00EC5ECA">
      <w:pPr>
        <w:pStyle w:val="Heading3"/>
      </w:pPr>
      <w:bookmarkStart w:id="37" w:name="_Toc232765264"/>
      <w:r>
        <w:t>(f) The Western Response: Aquinas, Divine Simplicity, and the Thomistic Alternative</w:t>
      </w:r>
      <w:bookmarkEnd w:id="37"/>
    </w:p>
    <w:p w14:paraId="0D9C61B8" w14:textId="77777777" w:rsidR="000E133F" w:rsidRDefault="00EC5ECA">
      <w:pPr>
        <w:spacing w:before="60" w:after="140" w:line="360" w:lineRule="auto"/>
      </w:pPr>
      <w:r>
        <w:t xml:space="preserve">The primary Western theological challenge to Palamism comes from the Thomistic doctrine of divine simplicity, which constitutes the metaphysical alternative to the essence-energies distinction and represents a genuinely different theological trajectory, not merely a different vocabulary for the same reality. Thomas Aquinas (1225–1274), </w:t>
      </w:r>
      <w:r>
        <w:lastRenderedPageBreak/>
        <w:t xml:space="preserve">whose </w:t>
      </w:r>
      <w:r>
        <w:rPr>
          <w:i/>
          <w:iCs/>
        </w:rPr>
        <w:t>Summa Theologiae</w:t>
      </w:r>
      <w:r>
        <w:t xml:space="preserve"> is the most comprehensive and systematic statement of Western medieval theology, argues for divine simplicity with a rigor that rules out any real distinction within the divine being. In Question 3 of the </w:t>
      </w:r>
      <w:r>
        <w:rPr>
          <w:i/>
          <w:iCs/>
        </w:rPr>
        <w:t>Prima Pars</w:t>
      </w:r>
      <w:r>
        <w:t>, Aquinas argues: "God is altogether simple... since composition implies that the composed thing is caused, and God is uncaused... therefore God is not composed... Since God has no matter, nor is He a form of something else, and since He subsists in Himself, He is pure act,</w:t>
      </w:r>
      <w:r>
        <w:t xml:space="preserve"> having nothing potential in Himself. God's essence and existence are therefore identical" (</w:t>
      </w:r>
      <w:r>
        <w:rPr>
          <w:i/>
          <w:iCs/>
        </w:rPr>
        <w:t>ST</w:t>
      </w:r>
      <w:r>
        <w:t xml:space="preserve"> I.3.7). The argument is that any real distinction within God would imply composition, and composition implies dependence on the components for the composed thing's being; since God is the uncaused first cause, He can have no such dependence. Therefore God's essence, existence, attributes, and will are all really identical, distinguished only by our mode of knowing them (a "virtual" or "rational" distinction), not </w:t>
      </w:r>
      <w:r>
        <w:t>by any reality in God.</w:t>
      </w:r>
    </w:p>
    <w:p w14:paraId="435D8172" w14:textId="77777777" w:rsidR="000E133F" w:rsidRDefault="00EC5ECA">
      <w:pPr>
        <w:spacing w:before="60" w:after="140" w:line="360" w:lineRule="auto"/>
      </w:pPr>
      <w:r>
        <w:t xml:space="preserve">Barlaam of Calabria, the opponent of Palamas, was deeply influenced by this Thomistic framework (absorbed through his Italian training), and his objections to the hesychasts reflect it: if God is absolutely simple, and if every divine attribute is really identical with the divine essence, then there can be no real distinction between the divine essence and the divine energies. The divine energies, if real, would constitute a real distinction in God — which violates simplicity. If they are not real (if they </w:t>
      </w:r>
      <w:r>
        <w:t>are merely conceptual distinctions), then they cannot be genuinely uncreated and genuinely communicable; they reduce to created effects of divine causality.</w:t>
      </w:r>
    </w:p>
    <w:p w14:paraId="753BD5B1" w14:textId="77777777" w:rsidR="000E133F" w:rsidRDefault="00EC5ECA">
      <w:pPr>
        <w:spacing w:before="60" w:after="140" w:line="360" w:lineRule="auto"/>
      </w:pPr>
      <w:r>
        <w:t xml:space="preserve">Palamas's response, developed in the </w:t>
      </w:r>
      <w:r>
        <w:rPr>
          <w:i/>
          <w:iCs/>
        </w:rPr>
        <w:t>One Hundred and Fifty Chapters</w:t>
      </w:r>
      <w:r>
        <w:t xml:space="preserve"> with particular philosophical care, is that the Thomistic understanding of divine simplicity proves too much: it makes it impossible to say anything meaningful about the distinction between the divine Persons of the Trinity. If the divine essence, attributes, and relations are all really identical, then the Father's unbegottenness and the Son's begottenness are also either really identical (which destroys Trinitarian theology) or merely conceptual distinctions (which reduces t</w:t>
      </w:r>
      <w:r>
        <w:t xml:space="preserve">he Trinity to a human mode of speaking about a simple divine monad). The Cappadocian tradition — which Palamas follows — consistently distinguished between the divine essence (one and undivided) and the divine hypostases (genuinely three, genuinely distinct within the Godhead). If real distinction within God </w:t>
      </w:r>
      <w:r>
        <w:lastRenderedPageBreak/>
        <w:t>is permissible in the case of the Persons, then real distinction in the case of essence and energies is not in principle excluded.</w:t>
      </w:r>
    </w:p>
    <w:p w14:paraId="1381DAFE" w14:textId="77777777" w:rsidR="000E133F" w:rsidRDefault="00EC5ECA">
      <w:pPr>
        <w:spacing w:before="60" w:after="140" w:line="360" w:lineRule="auto"/>
      </w:pPr>
      <w:r>
        <w:t xml:space="preserve">John Meyendorff, in his seminal study </w:t>
      </w:r>
      <w:r>
        <w:rPr>
          <w:i/>
          <w:iCs/>
        </w:rPr>
        <w:t>A Study of Gregory Palamas</w:t>
      </w:r>
      <w:r>
        <w:t xml:space="preserve"> (French 1959, English 1964), argues that the real difference between Palamas and Aquinas is not a disagreement about divine transcendence but a disagreement about the nature of theological epistemology: Aquinas, working within an Aristotelian framework, conceives of the divine attributes as analogical extensions of created perfections, known by the intellect's analysis of created effects; Palamas, working within the Dionysian-Cappadocian tradition, insists that the divine energies</w:t>
      </w:r>
      <w:r>
        <w:t xml:space="preserve"> are known not by intellectual analysis but by direct mystical experience — not as conclusions of philosophical arguments but as living realities encountered in the purified heart. David Bradshaw, in </w:t>
      </w:r>
      <w:r>
        <w:rPr>
          <w:i/>
          <w:iCs/>
        </w:rPr>
        <w:t>Aristotle East and West: Metaphysics and the Division of Christendom</w:t>
      </w:r>
      <w:r>
        <w:t xml:space="preserve"> (2004), has traced this divergence to a deeper difference in the reception of Aristotle: the Eastern tradition received Aristotle through a Neoplatonic filter that preserved a robust sense of the divine transcendence and the participatory stru</w:t>
      </w:r>
      <w:r>
        <w:t>cture of reality, while the Western tradition's reception of Aristotle through the twelfth and thirteenth-century translations created a philosophical framework more amenable to the analogy of being (analogia entis) and less to the participatory ontology that grounds the essence-energies distinction.</w:t>
      </w:r>
    </w:p>
    <w:p w14:paraId="77BB0721" w14:textId="77777777" w:rsidR="000E133F" w:rsidRDefault="00EC5ECA">
      <w:pPr>
        <w:pStyle w:val="Heading2"/>
      </w:pPr>
      <w:bookmarkStart w:id="38" w:name="_Toc232765265"/>
      <w:r>
        <w:t>3.3 The Holy Trinity: Processions, Relations, and the Eastern Understanding</w:t>
      </w:r>
      <w:bookmarkEnd w:id="38"/>
    </w:p>
    <w:p w14:paraId="5D0D7A6B" w14:textId="77777777" w:rsidR="000E133F" w:rsidRDefault="00EC5ECA">
      <w:pPr>
        <w:spacing w:before="60" w:after="140" w:line="360" w:lineRule="auto"/>
      </w:pPr>
      <w:r>
        <w:t>The Eastern Orthodox doctrine of the Holy Trinity is the foundation upon which the whole of Orthodox theology rests, and its specific character — above all, its insistence on the monarchy of the Father as the sole principle and cause within the Trinity — marks it as distinct from the Trinitarian theology that developed in the Latin West through Augustine and his successors. The difference is not merely terminological; it reflects a genuine difference in theological method, in the understanding of divine uni</w:t>
      </w:r>
      <w:r>
        <w:t>ty, and in the model of divine personhood.</w:t>
      </w:r>
    </w:p>
    <w:p w14:paraId="691E3768" w14:textId="77777777" w:rsidR="000E133F" w:rsidRDefault="00EC5ECA">
      <w:pPr>
        <w:spacing w:before="60" w:after="140" w:line="360" w:lineRule="auto"/>
      </w:pPr>
      <w:r>
        <w:t xml:space="preserve">The Eastern starting point for Trinitarian theology, in contrast to the Western starting point, is the threeness of the divine Persons as revealed in Scripture and experienced in </w:t>
      </w:r>
      <w:r>
        <w:lastRenderedPageBreak/>
        <w:t xml:space="preserve">salvation history — the Father, the Son, and the Holy Spirit — and the question is then how this threeness is compatible with the absolute unity of the one God. The Western starting point, classically expressed by Augustine in </w:t>
      </w:r>
      <w:r>
        <w:rPr>
          <w:i/>
          <w:iCs/>
        </w:rPr>
        <w:t>De Trinitate</w:t>
      </w:r>
      <w:r>
        <w:t>, is the divine unity — the one simple divine essence — and the question is then how the three Persons are to be distinguished within this unity. For Augustine, the Persons are distinguished by their mutual relations (</w:t>
      </w:r>
      <w:r>
        <w:rPr>
          <w:i/>
          <w:iCs/>
        </w:rPr>
        <w:t>relationes subsistentes</w:t>
      </w:r>
      <w:r>
        <w:t>): the Father is "unbegotten," t</w:t>
      </w:r>
      <w:r>
        <w:t>he Son is "begotten," the Spirit is "given" or "breathed forth." Since the Spirit is the bond of love between Father and Son, the Spirit proceeds from both — this is the Augustinian root of the Filioque. For the Eastern Fathers, following the Cappadocians (Basil of Caesarea, Gregory of Nazianzus, Gregory of Nyssa), the Persons are distinguished not only by their mutual relations but by their respective modes of origin: the Father has no origin; the Son is eternally begotten of the Father; the Spirit eternal</w:t>
      </w:r>
      <w:r>
        <w:t>ly proceeds from the Father. The Father is the sole cause (</w:t>
      </w:r>
      <w:r>
        <w:rPr>
          <w:i/>
          <w:iCs/>
        </w:rPr>
        <w:t>aitia</w:t>
      </w:r>
      <w:r>
        <w:t>) and principle (</w:t>
      </w:r>
      <w:r>
        <w:rPr>
          <w:i/>
          <w:iCs/>
        </w:rPr>
        <w:t>arche</w:t>
      </w:r>
      <w:r>
        <w:t>) within the Trinity — the "fountain of divinity" (</w:t>
      </w:r>
      <w:r>
        <w:rPr>
          <w:i/>
          <w:iCs/>
        </w:rPr>
        <w:t>pege tes theotetos</w:t>
      </w:r>
      <w:r>
        <w:t>), as Gregory of Nazianzus calls him.</w:t>
      </w:r>
    </w:p>
    <w:p w14:paraId="47407722" w14:textId="77777777" w:rsidR="000E133F" w:rsidRDefault="00EC5ECA">
      <w:pPr>
        <w:spacing w:before="60" w:after="140" w:line="360" w:lineRule="auto"/>
      </w:pPr>
      <w:r>
        <w:t xml:space="preserve">Gregory of Nazianzus, called "the Theologian," delivered his five </w:t>
      </w:r>
      <w:r>
        <w:rPr>
          <w:i/>
          <w:iCs/>
        </w:rPr>
        <w:t>Theological Orations</w:t>
      </w:r>
      <w:r>
        <w:t xml:space="preserve"> (Orations 27–31) in Constantinople around 380 — a series of public theological lectures that represent the most brilliant, condensed, and precisely argued defense of Nicene Trinitarianism in the patristic period. On the Son, Gregory writes in Oration 29: "He begat the Only-Begotten; the Only-Begotten is the express image of Him, and is in all respects like unto Him, save that He is begotten. The being unbegotten and the being begotten are the distinctive properties of the Father and the</w:t>
      </w:r>
      <w:r>
        <w:t xml:space="preserve"> Son, and these are what distinguish the one from the other... He Who was to be the perfect Son of a perfect Father, and thus Son in truth, and not in appearance only, and to be that which He is, not as some accidental quality of His, but as God in the fullest sense — He is the image of the Father's goodness, and the seal, and brightness, and the express representation of the Father; no other than the Father in one sense, and wholly the Father in another."</w:t>
      </w:r>
    </w:p>
    <w:p w14:paraId="0F2731D7" w14:textId="77777777" w:rsidR="000E133F" w:rsidRDefault="00EC5ECA">
      <w:pPr>
        <w:spacing w:before="60" w:after="140" w:line="360" w:lineRule="auto"/>
      </w:pPr>
      <w:r>
        <w:t xml:space="preserve">On the Holy Spirit, Gregory develops the Eastern position with particular care in Oration 31, the fifth Theological Oration: "And now the Holy Ghost Himself, which proceedeth from the Father; Who, in as much as He is from Him, is no Creature; and in as much as He is not Begotten is no Son; and in as much as He is between the Unbegotten and the Begotten is God... Thus then is the Father a Father, and not a Son; </w:t>
      </w:r>
      <w:r>
        <w:lastRenderedPageBreak/>
        <w:t>and the Son is a Son, and not a Father; and the Holy Ghost is neither Father nor Son, but only Holy Ghost... And the very fact of His not being originated from the Son, but from the Father, constitutes His distinction, even as it constitutes the Son's peculiarity that He is begotten of the Father and not of any other."</w:t>
      </w:r>
    </w:p>
    <w:p w14:paraId="6DAFBA74" w14:textId="77777777" w:rsidR="000E133F" w:rsidRDefault="00EC5ECA">
      <w:pPr>
        <w:spacing w:before="60" w:after="140" w:line="360" w:lineRule="auto"/>
      </w:pPr>
      <w:r>
        <w:t xml:space="preserve">The crucial distinction in Greek Trinitarian theology is between </w:t>
      </w:r>
      <w:r>
        <w:rPr>
          <w:i/>
          <w:iCs/>
        </w:rPr>
        <w:t>ekporeusis</w:t>
      </w:r>
      <w:r>
        <w:t xml:space="preserve"> (the technical term for the Spirit's specific mode of proceeding from the Father) and </w:t>
      </w:r>
      <w:r>
        <w:rPr>
          <w:i/>
          <w:iCs/>
        </w:rPr>
        <w:t>proienai</w:t>
      </w:r>
      <w:r>
        <w:t xml:space="preserve"> or </w:t>
      </w:r>
      <w:r>
        <w:rPr>
          <w:i/>
          <w:iCs/>
        </w:rPr>
        <w:t>proodos</w:t>
      </w:r>
      <w:r>
        <w:t xml:space="preserve"> (the Spirit's going forth or manifestation through the Son in the economy of salvation). The first — </w:t>
      </w:r>
      <w:r>
        <w:rPr>
          <w:i/>
          <w:iCs/>
        </w:rPr>
        <w:t>ekporeusis</w:t>
      </w:r>
      <w:r>
        <w:t xml:space="preserve"> — is used exclusively of the Spirit's eternal, intra-Trinitarian procession from the Father. The second — </w:t>
      </w:r>
      <w:r>
        <w:rPr>
          <w:i/>
          <w:iCs/>
        </w:rPr>
        <w:t>proodos</w:t>
      </w:r>
      <w:r>
        <w:t xml:space="preserve"> or </w:t>
      </w:r>
      <w:r>
        <w:rPr>
          <w:i/>
          <w:iCs/>
        </w:rPr>
        <w:t>proienai</w:t>
      </w:r>
      <w:r>
        <w:t xml:space="preserve"> — can be used of the Spirit's manifestation or sending in the economy of salvation, and here the Son is indeed involved: the Spirit is sent by the Son, speak</w:t>
      </w:r>
      <w:r>
        <w:t xml:space="preserve">s for the Son, manifests the Son. John 15:26 ("the Spirit of truth, who proceeds from the Father") uses </w:t>
      </w:r>
      <w:r>
        <w:rPr>
          <w:i/>
          <w:iCs/>
        </w:rPr>
        <w:t>ekporeuetai</w:t>
      </w:r>
      <w:r>
        <w:t xml:space="preserve"> (the verb of </w:t>
      </w:r>
      <w:r>
        <w:rPr>
          <w:i/>
          <w:iCs/>
        </w:rPr>
        <w:t>ekporeusis</w:t>
      </w:r>
      <w:r>
        <w:t>), indicating the eternal intratrinitarian procession; John 16:7 ("I will send him to you") uses a different vocabulary, indicating the economic sending. The Eastern tradition has always maintained that this distinction resolves the apparent contradiction between "proceeds from the Father alone" and "the Spirit of the Son" (Romans 8:9): the Spirit's eternal procession is from the Father alone; the Spirit's economic manifestation is "through the Son" or even "from the Son" in the temporal sense.</w:t>
      </w:r>
    </w:p>
    <w:p w14:paraId="0990DA92" w14:textId="77777777" w:rsidR="000E133F" w:rsidRDefault="00EC5ECA">
      <w:pPr>
        <w:spacing w:before="60" w:after="140" w:line="360" w:lineRule="auto"/>
      </w:pPr>
      <w:r>
        <w:t xml:space="preserve">Photius of Constantinople, in his </w:t>
      </w:r>
      <w:r>
        <w:rPr>
          <w:i/>
          <w:iCs/>
        </w:rPr>
        <w:t>Mystagogy of the Holy Spirit</w:t>
      </w:r>
      <w:r>
        <w:t xml:space="preserve"> (written in the 880s, after his second patriarchate), provides the most systematic Eastern patristic argument against the Filioque. His argument proceeds along several distinct lines: the argument from the Father's monarchy (</w:t>
      </w:r>
      <w:r>
        <w:rPr>
          <w:i/>
          <w:iCs/>
        </w:rPr>
        <w:t>monarchia</w:t>
      </w:r>
      <w:r>
        <w:t>), the argument from the unity of the divine essence, the argument from Trinitarian symmetry, and the argument from conciliar authority. The argument from the Father's monarchy is his most fundamental: if the Holy Spirit proceeds from both the Fathe</w:t>
      </w:r>
      <w:r>
        <w:t xml:space="preserve">r and the Son, then either (a) the Father and the Son are one principle of the Spirit's procession (but this would require positing a fourth hypostasis that is Father-and-Son-as-principle), or (b) they are two principles (but this would introduce a diarchy in the Trinity — two unoriginate causes — and would compromise monotheism). The argument from Trinitarian symmetry is the one for which Photius is most famous: if the Spirit proceeds from the Son as well as from the </w:t>
      </w:r>
      <w:r>
        <w:lastRenderedPageBreak/>
        <w:t>Father, then the relations within the T</w:t>
      </w:r>
      <w:r>
        <w:t>rinity are asymmetrical — the Son is involved in the Spirit's procession in a way in which the Spirit is not involved in the Son's generation. Why does the Son not proceed from the Spirit in some analogous sense? The asymmetry is arbitrary and theologically inexplicable unless the cause of all processions within the Trinity is the Father alone, who relates to the Son through generation and to the Spirit through procession, while the Son and Spirit relate to each other through a different kind of relationshi</w:t>
      </w:r>
      <w:r>
        <w:t>p (the Spirit rests in the Son; the Son is manifested through the Spirit) that does not involve procession.</w:t>
      </w:r>
    </w:p>
    <w:p w14:paraId="151DD235" w14:textId="77777777" w:rsidR="000E133F" w:rsidRDefault="00EC5ECA">
      <w:pPr>
        <w:spacing w:before="60" w:after="140" w:line="360" w:lineRule="auto"/>
      </w:pPr>
      <w:r>
        <w:t xml:space="preserve">The argument from conciliar authority has been noted above in the discussion of Ephesus (431) and Canon 7: the insertion of the Filioque into the Creed violates the conciliar prohibition of any alteration or addition to the Nicene Creed, regardless of the theological merits or demerits of the addition. This ecclesiological argument is, in the Orthodox view, not secondary to the theological argument but inseparable from it: the unilateral alteration of the Creed by the Western church is itself a symptom and </w:t>
      </w:r>
      <w:r>
        <w:t>an expression of the ecclesiological error of papal monarchy. A church that operates under a supreme and universal bishop can alter the Creed by papal authority; a church that operates according to the conciliar principle cannot. The Filioque controversy is therefore ultimately not only a Trinitarian dispute but an ecclesiological one: it raises the question of who has authority to define the faith of the whole Church.</w:t>
      </w:r>
    </w:p>
    <w:p w14:paraId="3415F374" w14:textId="77777777" w:rsidR="000E133F" w:rsidRDefault="00EC5ECA">
      <w:pPr>
        <w:pStyle w:val="Heading2"/>
      </w:pPr>
      <w:bookmarkStart w:id="39" w:name="_Toc232765266"/>
      <w:r>
        <w:t>3.4 Divine Simplicity and Palamism: East vs. West</w:t>
      </w:r>
      <w:bookmarkEnd w:id="39"/>
    </w:p>
    <w:p w14:paraId="49296575" w14:textId="77777777" w:rsidR="000E133F" w:rsidRDefault="00EC5ECA">
      <w:pPr>
        <w:spacing w:before="60" w:after="140" w:line="360" w:lineRule="auto"/>
      </w:pPr>
      <w:r>
        <w:t>The question of the relationship between the Thomistic doctrine of divine simplicity and the Palamite essence-energies distinction is perhaps the most important unresolved point of theological contact between Eastern Orthodox and Roman Catholic theology. It is important to be precise about what exactly is at stake, since the debate is frequently conducted at a level of imprecision that prevents genuine theological engagement.</w:t>
      </w:r>
    </w:p>
    <w:p w14:paraId="54261BCF" w14:textId="77777777" w:rsidR="000E133F" w:rsidRDefault="00EC5ECA">
      <w:pPr>
        <w:spacing w:before="60" w:after="140" w:line="360" w:lineRule="auto"/>
      </w:pPr>
      <w:r>
        <w:t xml:space="preserve">Aquinas's doctrine of divine simplicity in the </w:t>
      </w:r>
      <w:r>
        <w:rPr>
          <w:i/>
          <w:iCs/>
        </w:rPr>
        <w:t>Summa Theologiae</w:t>
      </w:r>
      <w:r>
        <w:t xml:space="preserve"> (I.3) is a series of denials: God is not composed of matter and form (I.3.2); God is not composed of nature and supposit (I.3.3); God's essence and His existence are not distinct (I.3.4); there is no composition of genus and difference in God (I.3.5); God is not composed of substance and accidents (I.3.6); God is "altogether simple" (I.3.7). The key argument for our </w:t>
      </w:r>
      <w:r>
        <w:lastRenderedPageBreak/>
        <w:t>purposes is I.3.4: "In everything whose existence differs from its essence, there must be a cause for its existence... But if the cause is dis</w:t>
      </w:r>
      <w:r>
        <w:t>tinct from the subject, then it is posterior to the subject, so the subject would be composite... Therefore, in everything simple, the essence and the existence are not different. Now God is simple. Therefore His existence and His essence are the same." The extension of this argument to attributes and operations: since any real distinction between God's essence and His attributes would introduce a kind of composition into God, and since composition is incompatible with the divine simplicity, all divine attr</w:t>
      </w:r>
      <w:r>
        <w:t>ibutes must be really identical with the divine essence — and with each other.</w:t>
      </w:r>
    </w:p>
    <w:p w14:paraId="5505BA07" w14:textId="77777777" w:rsidR="000E133F" w:rsidRDefault="00EC5ECA">
      <w:pPr>
        <w:spacing w:before="60" w:after="140" w:line="360" w:lineRule="auto"/>
      </w:pPr>
      <w:r>
        <w:t xml:space="preserve">The Palamite objection, as developed by Meyendorff and Bradshaw, is that this argument, if consistently applied, makes positive theology impossible. If God's being, goodness, truth, wisdom, power, love, justice, mercy — all of His attributes — are really identical with each other and with His essence, then our predications of these attributes to God are purely nominal: we are not saying anything distinguishable about God when we call Him good as opposed to calling Him wise as opposed to calling Him loving. </w:t>
      </w:r>
      <w:r>
        <w:t>Each of these names means exactly the same thing — the simple divine essence — and we distinguish them only by reason of our mode of knowing, not by reason of any reality in God. But this seems to hollow out theological language entirely: if "God is love" means exactly the same thing as "God is just," and if both mean nothing more than "God is what He is," then theological language has no purchase on divine reality.</w:t>
      </w:r>
    </w:p>
    <w:p w14:paraId="57BE729D" w14:textId="77777777" w:rsidR="000E133F" w:rsidRDefault="00EC5ECA">
      <w:pPr>
        <w:spacing w:before="60" w:after="140" w:line="360" w:lineRule="auto"/>
      </w:pPr>
      <w:r>
        <w:t>Palamas does not deny divine simplicity in the sense of rejecting the claim that God is not composed of separable parts or dependent on external causes. He denies the specifically Thomistic interpretation of simplicity that requires the real identity of essence and attributes. His counter-argument: the divine energies are not accidents added to God from outside, nor are they parts of God, nor are they subsequent to God's essence. They are the divine life as it naturally and necessarily overflows — the self-</w:t>
      </w:r>
      <w:r>
        <w:t xml:space="preserve">communication that is constitutive of what it means to be the living God. God is not simpler without His self-communication; the self-communication is eternally and necessarily God's own life, not an addition to it. Palamas writes in </w:t>
      </w:r>
      <w:r>
        <w:rPr>
          <w:i/>
          <w:iCs/>
        </w:rPr>
        <w:t>The One Hundred and Fifty Chapters</w:t>
      </w:r>
      <w:r>
        <w:t xml:space="preserve">: "The divine nature is common and singular, but it is participable in its own energies. It gives itself to those who participate, yet undergoes no diminution or </w:t>
      </w:r>
      <w:r>
        <w:lastRenderedPageBreak/>
        <w:t>division. The sun is one, and its light is participated by many; this does not div</w:t>
      </w:r>
      <w:r>
        <w:t>ide the sun, nor is the sun itself participated, but only its ray."</w:t>
      </w:r>
    </w:p>
    <w:p w14:paraId="403FC33B" w14:textId="77777777" w:rsidR="000E133F" w:rsidRDefault="00EC5ECA">
      <w:pPr>
        <w:spacing w:before="60" w:after="140" w:line="360" w:lineRule="auto"/>
      </w:pPr>
      <w:r>
        <w:t xml:space="preserve">The Western objection, repeated by Thomistic theologians from the fourteenth century to the present, is that the Palamite distinction inevitably compromises divine simplicity: if there is a real distinction between essence and energies, even if not a distinction between two separate entities, then God is in some sense composite — He is both what He is in Himself (essence) and what He communicates (energies), and these two are genuinely different. Palamas's response is that this objection applies with equal </w:t>
      </w:r>
      <w:r>
        <w:t>force to the Trinitarian distinctions: if real distinction in God is impossible without composition, then the genuine distinction of the three Persons within the one essence is also impossible. The Cappadocian Fathers insisted on both the real distinction of the Persons (against Sabellianist modalism) and the simplicity and undivided unity of the divine essence (against Arianism's subordinationist division). The essence-energies distinction is, for Palamas, structurally analogous to the hypostatic distincti</w:t>
      </w:r>
      <w:r>
        <w:t>on: not a distinction of parts or components, but a distinction of modes of the one divine being.</w:t>
      </w:r>
    </w:p>
    <w:p w14:paraId="6931923C" w14:textId="77777777" w:rsidR="000E133F" w:rsidRDefault="00EC5ECA">
      <w:pPr>
        <w:spacing w:before="60" w:after="140" w:line="360" w:lineRule="auto"/>
      </w:pPr>
      <w:r>
        <w:t xml:space="preserve">The debate between Thomistic divine simplicity and Palamite essence-energies distinction has been renewed with great vigor in contemporary theology. Bradshaw's </w:t>
      </w:r>
      <w:r>
        <w:rPr>
          <w:i/>
          <w:iCs/>
        </w:rPr>
        <w:t>Aristotle East and West</w:t>
      </w:r>
      <w:r>
        <w:t xml:space="preserve"> traces the historical roots of the divergence to the difference between Eastern and Western receptions of Aristotle's concept of </w:t>
      </w:r>
      <w:r>
        <w:rPr>
          <w:i/>
          <w:iCs/>
        </w:rPr>
        <w:t>energeia</w:t>
      </w:r>
      <w:r>
        <w:t xml:space="preserve"> (actuality, activity): the Eastern tradition maintained a more Neoplatonic reading in which </w:t>
      </w:r>
      <w:r>
        <w:rPr>
          <w:i/>
          <w:iCs/>
        </w:rPr>
        <w:t>energeia</w:t>
      </w:r>
      <w:r>
        <w:t xml:space="preserve"> is a genuinely ontological category — a level of being, a mode of divine self-communication — while the Western tradition through Aquinas developed a more strictly Aristotelian reading in which </w:t>
      </w:r>
      <w:r>
        <w:rPr>
          <w:i/>
          <w:iCs/>
        </w:rPr>
        <w:t>energeia</w:t>
      </w:r>
      <w:r>
        <w:t xml:space="preserve"> is the actualization of potency, and since God</w:t>
      </w:r>
      <w:r>
        <w:t xml:space="preserve"> has no potency, all of God's "activity" is simply identical with His simple act of being. If Bradshaw's historical thesis is correct, then the essence-energies distinction and the Thomistic doctrine of simplicity represent not simply different answers to the same question but different questions arising from different philosophical frameworks — and the dialogue between them requires not simply comparison of conclusions but engagement with the deeper methodological and metaphysical premises that generate th</w:t>
      </w:r>
      <w:r>
        <w:t>ose conclusions.</w:t>
      </w:r>
    </w:p>
    <w:p w14:paraId="2DC405E7" w14:textId="77777777" w:rsidR="000E133F" w:rsidRDefault="00EC5ECA">
      <w:pPr>
        <w:spacing w:before="60" w:after="140" w:line="360" w:lineRule="auto"/>
      </w:pPr>
      <w:r>
        <w:lastRenderedPageBreak/>
        <w:t>The stakes for soteriology are ultimately decisive for the Orthodox evaluation of the Western position. If God's operations in the world are created effects of divine causality — if the light, the grace, the love, the life that God communicates to the world are all created — then the human person, in receiving them, is not receiving anything genuinely divine. Theosis, on the Thomistic model, must ultimately be understood as a created transformation of the creature effected by a created grace (</w:t>
      </w:r>
      <w:r>
        <w:rPr>
          <w:i/>
          <w:iCs/>
        </w:rPr>
        <w:t>gratia creata</w:t>
      </w:r>
      <w:r>
        <w:t>), not as genuine participation in the uncreated divine life. For the Orthodox, this is an inadequate account of salvation: if what the saints receive is created, then they have not become "partakers of the divine nature" (2 Peter 1:4) in any genuine sense; they have merely been elevated above their natural state by a superior creature. But if theosis is genuine — if Athanasius's formula is to be taken seriously — then what is communicated to the deified must be genuinely divine. The Palamite d</w:t>
      </w:r>
      <w:r>
        <w:t>istinction allows this: the divine energies are genuinely God, genuinely uncreated, genuinely participable — and therefore genuine theosis is possible. The Western doctrine of created grace, for Palamas and his successors, makes genuine theosis a philosophical impossibility.</w:t>
      </w:r>
    </w:p>
    <w:p w14:paraId="54233D4B" w14:textId="77777777" w:rsidR="000E133F" w:rsidRDefault="00EC5ECA">
      <w:pPr>
        <w:spacing w:before="60" w:after="140" w:line="360" w:lineRule="auto"/>
      </w:pPr>
      <w:r>
        <w:t>It is important to note that the Roman Catholic Church has never officially condemned Palamism, and a significant number of contemporary Catholic theologians — including Hans Urs von Balthasar, Karl Rahner (in his doctrine of the "uncreated grace"), and more recently the ecumenical theologians engaged in Catholic-Orthodox dialogue — have found significant convergences between Palamite theology and certain trajectories within the Western tradition. The question of whether the East-West divide on this issue i</w:t>
      </w:r>
      <w:r>
        <w:t>s genuinely irreducible or whether it can be overcome through careful theological dialogue remains open, and it is arguably the most important theological question in contemporary ecumenism.</w:t>
      </w:r>
    </w:p>
    <w:p w14:paraId="66F33FEF" w14:textId="77777777" w:rsidR="000E133F" w:rsidRDefault="00EC5ECA">
      <w:pPr>
        <w:pStyle w:val="Heading2"/>
      </w:pPr>
      <w:bookmarkStart w:id="40" w:name="_Toc232765267"/>
      <w:r>
        <w:t>3.5 The Monarchy of the Father and the Critique of the Filioque: A Systematic Statement</w:t>
      </w:r>
      <w:bookmarkEnd w:id="40"/>
    </w:p>
    <w:p w14:paraId="1CE89DED" w14:textId="77777777" w:rsidR="000E133F" w:rsidRDefault="00EC5ECA">
      <w:pPr>
        <w:spacing w:before="60" w:after="140" w:line="360" w:lineRule="auto"/>
      </w:pPr>
      <w:r>
        <w:t xml:space="preserve">The theological dispute over the Filioque — the Latin addition of </w:t>
      </w:r>
      <w:r>
        <w:rPr>
          <w:i/>
          <w:iCs/>
        </w:rPr>
        <w:t>et Filio</w:t>
      </w:r>
      <w:r>
        <w:t xml:space="preserve"> ("and the Son") to the Niceno-Constantinopolitan Creed's affirmation that the Holy Spirit "proceeds from the Father" — has been, since the ninth century, the central dogmatic bone of contention between East and West. It is impossible to understand Orthodox Trinitarian </w:t>
      </w:r>
      <w:r>
        <w:lastRenderedPageBreak/>
        <w:t>theology without understanding this dispute in depth, both its historical background and its philosophical-theological substance. The present section develops the Orthodox arguments against the Filioque in their full systematic form.</w:t>
      </w:r>
    </w:p>
    <w:p w14:paraId="22FF485E" w14:textId="77777777" w:rsidR="000E133F" w:rsidRDefault="00EC5ECA">
      <w:pPr>
        <w:spacing w:before="60" w:after="140" w:line="360" w:lineRule="auto"/>
      </w:pPr>
      <w:r>
        <w:t>The Orthodox doctrine of the monarchy of the Father is a direct inheritance from the Cappadocian Fathers, particularly Basil the Great (</w:t>
      </w:r>
      <w:r>
        <w:rPr>
          <w:i/>
          <w:iCs/>
        </w:rPr>
        <w:t>On the Holy Spirit</w:t>
      </w:r>
      <w:r>
        <w:t xml:space="preserve">) and Gregory of Nazianzus (the </w:t>
      </w:r>
      <w:r>
        <w:rPr>
          <w:i/>
          <w:iCs/>
        </w:rPr>
        <w:t>Theological Orations</w:t>
      </w:r>
      <w:r>
        <w:t xml:space="preserve">). The claim is this: within the Holy Trinity, the Father alone is the unoriginate, uncaused principle and source of the Son's generation and the Spirit's procession. This does not mean the Father is a superior God, or that the Son and Spirit are subordinate to the Father in divinity or dignity — the Cappadocians are consistently and emphatically anti-subordinationist. It means that the Father is the sole principle of </w:t>
      </w:r>
      <w:r>
        <w:rPr>
          <w:i/>
          <w:iCs/>
        </w:rPr>
        <w:t>intra-Trinitarian or</w:t>
      </w:r>
      <w:r>
        <w:rPr>
          <w:i/>
          <w:iCs/>
        </w:rPr>
        <w:t>igination</w:t>
      </w:r>
      <w:r>
        <w:t>: the Son exists because He is eternally begotten of the Father; the Spirit exists because He eternally proceeds from the Father. The Son and the Spirit both derive their being from the Father, not from each other, and not from some anonymous divine essence prior to the three Persons.</w:t>
      </w:r>
    </w:p>
    <w:p w14:paraId="36880BA0" w14:textId="77777777" w:rsidR="000E133F" w:rsidRDefault="00EC5ECA">
      <w:pPr>
        <w:spacing w:before="60" w:after="140" w:line="360" w:lineRule="auto"/>
      </w:pPr>
      <w:r>
        <w:t>This Eastern emphasis on the monarchy of the Father serves a specific theological function: it preserves the unity of the Trinity without appealing to the unity of the essence as the primary unifying principle. In the Cappadocian theology, the unity of God is rooted in the Father as the unique principle from whom both Son and Spirit derive their being and their divinity. The Father gives His whole being to the Son in generation and to the Spirit in procession; Son and Spirit receive this whole being from th</w:t>
      </w:r>
      <w:r>
        <w:t>e Father. The unity is personal-relational, not merely essential: God is one because there is one principle (the Father), not merely because there is one substance.</w:t>
      </w:r>
    </w:p>
    <w:p w14:paraId="1C32CBEC" w14:textId="77777777" w:rsidR="000E133F" w:rsidRDefault="00EC5ECA">
      <w:pPr>
        <w:spacing w:before="60" w:after="140" w:line="360" w:lineRule="auto"/>
      </w:pPr>
      <w:r>
        <w:t xml:space="preserve">The Augustinian approach to Trinitarian theology, by contrast, begins from the divine substance as the primary unifying factor. For Augustine, the Father, Son, and Spirit are distinguished by their mutual relations (the Father is "the one who begets," the Son is "the one who is begotten," the Spirit is "the one who is breathed forth from both"). The Spirit, as the bond of love between Father and Son, naturally proceeds from both. Augustine writes in </w:t>
      </w:r>
      <w:r>
        <w:rPr>
          <w:i/>
          <w:iCs/>
        </w:rPr>
        <w:t>De Trinitate</w:t>
      </w:r>
      <w:r>
        <w:t xml:space="preserve"> XV.17.29: "Why then should we not believe that the Holy Spirit proceeds from the Father and from the Son, seeing that He is the Spirit of both the Father and the Son?" This is the theological root of the Filioque: if the Spirit is </w:t>
      </w:r>
      <w:r>
        <w:lastRenderedPageBreak/>
        <w:t>the bond of love between Father and Son, then His procession expresses precisely that mutual love — which means He proceeds from both.</w:t>
      </w:r>
    </w:p>
    <w:p w14:paraId="63C5EB8F" w14:textId="77777777" w:rsidR="000E133F" w:rsidRDefault="00EC5ECA">
      <w:pPr>
        <w:spacing w:before="60" w:after="140" w:line="360" w:lineRule="auto"/>
      </w:pPr>
      <w:r>
        <w:t xml:space="preserve">Photius's </w:t>
      </w:r>
      <w:r>
        <w:rPr>
          <w:i/>
          <w:iCs/>
        </w:rPr>
        <w:t>Mystagogy of the Holy Spirit</w:t>
      </w:r>
      <w:r>
        <w:t>, the most systematic Eastern patristic argument against the Filioque, is organized around the theme of the Father's monarchy. Its central positive argument is as follows: If the Spirit proceeded from both the Father and the Son, then either (1) the Father and the Son are each partial causes of the Spirit's procession, contributing together to produce a single effect — but this implies that neither the Father nor the Son alone is the complete divine principle, since each requires</w:t>
      </w:r>
      <w:r>
        <w:t xml:space="preserve"> the other to constitute the sufficient cause of the procession; or (2) the Father and the Son each independently and separately cause the Spirit's procession — but this implies two sources, a diarchy within the Trinity that destroys monotheism; or (3) the Father is the principal cause and the Son is a secondary, instrumental, or mediate cause — but this introduces a subordinationism among the divine Persons that compromises their co-equal divinity. None of these options is acceptable; therefore the Spirit </w:t>
      </w:r>
      <w:r>
        <w:t>cannot proceed from both Father and Son.</w:t>
      </w:r>
    </w:p>
    <w:p w14:paraId="3AEAAA16" w14:textId="77777777" w:rsidR="000E133F" w:rsidRDefault="00EC5ECA">
      <w:pPr>
        <w:spacing w:before="60" w:after="140" w:line="360" w:lineRule="auto"/>
      </w:pPr>
      <w:r>
        <w:t>The argument from Trinitarian symmetry — Photius's most famous and frequently cited argument — proceeds differently. If the Spirit proceeds from the Father and the Son, then the Spirit is constituted by a relation to two Persons, while the Son is constituted by a relation to only one Person (the Father). The Trinity is therefore asymmetrical: the Son and the Spirit have different types of relations to the Father and to each other. But why, asks Photius, does the asymmetry run in only one direction? If the S</w:t>
      </w:r>
      <w:r>
        <w:t>on is involved in the Spirit's procession, why is the Spirit not involved in the Son's generation? The Western theologian has no good answer to this question. The only way to maintain genuine Trinitarian symmetry and to give each Person a determinate and unique relationship to the others is to say: the Father begets the Son and breathes forth the Spirit; the Son is begotten of the Father; the Spirit proceeds from the Father. The Son and the Spirit are distinguishable from each other (they are not the same d</w:t>
      </w:r>
      <w:r>
        <w:t>ivine Person) precisely because their relations to the Father are different (generation vs. procession), not because either one is involved in the other's origination.</w:t>
      </w:r>
    </w:p>
    <w:p w14:paraId="578BDF5D" w14:textId="77777777" w:rsidR="000E133F" w:rsidRDefault="00EC5ECA">
      <w:pPr>
        <w:spacing w:before="60" w:after="140" w:line="360" w:lineRule="auto"/>
      </w:pPr>
      <w:r>
        <w:lastRenderedPageBreak/>
        <w:t xml:space="preserve">Gregory Palamas, in his later work, offered what he believed was a mediating position: he distinguished between the Spirit's </w:t>
      </w:r>
      <w:r>
        <w:rPr>
          <w:i/>
          <w:iCs/>
        </w:rPr>
        <w:t>causal procession</w:t>
      </w:r>
      <w:r>
        <w:t xml:space="preserve"> (</w:t>
      </w:r>
      <w:r>
        <w:rPr>
          <w:i/>
          <w:iCs/>
        </w:rPr>
        <w:t>aition ekporeusis</w:t>
      </w:r>
      <w:r>
        <w:t xml:space="preserve">) from the Father alone and the Spirit's </w:t>
      </w:r>
      <w:r>
        <w:rPr>
          <w:i/>
          <w:iCs/>
        </w:rPr>
        <w:t>eternal manifestation</w:t>
      </w:r>
      <w:r>
        <w:t xml:space="preserve"> or </w:t>
      </w:r>
      <w:r>
        <w:rPr>
          <w:i/>
          <w:iCs/>
        </w:rPr>
        <w:t>shining forth</w:t>
      </w:r>
      <w:r>
        <w:t xml:space="preserve"> (</w:t>
      </w:r>
      <w:r>
        <w:rPr>
          <w:i/>
          <w:iCs/>
        </w:rPr>
        <w:t>ekfansis</w:t>
      </w:r>
      <w:r>
        <w:t xml:space="preserve"> or </w:t>
      </w:r>
      <w:r>
        <w:rPr>
          <w:i/>
          <w:iCs/>
        </w:rPr>
        <w:t>proienai</w:t>
      </w:r>
      <w:r>
        <w:t>) through the Son. The Spirit proceeds causally from the Father alone — this is the strict theological claim, the one that the Nicene Creed expresses. But the Spirit also eternally shines forth or manifests through the Son, in the sense that the Son is the eternal mediator of the Spirit's self-expression in the economy of salvation and even, in a non-causal sense, within the eternal life of the Trinity. Palamas believed this distinction could accommodate certain patristic texts that speak of the Spirit proc</w:t>
      </w:r>
      <w:r>
        <w:t>eeding "through the Son" (</w:t>
      </w:r>
      <w:r>
        <w:rPr>
          <w:i/>
          <w:iCs/>
        </w:rPr>
        <w:t>dia Huiou</w:t>
      </w:r>
      <w:r>
        <w:t>) while preserving the strict Eastern claim that the Father alone is the cause of the Spirit's hypostatic existence. This position has been developed in twentieth-century Orthodox theology, particularly by Dumitru Stăniloae (</w:t>
      </w:r>
      <w:r>
        <w:rPr>
          <w:i/>
          <w:iCs/>
        </w:rPr>
        <w:t>Orthodox Dogmatic Theology</w:t>
      </w:r>
      <w:r>
        <w:t>, 3 vols.) and John Meyendorff (</w:t>
      </w:r>
      <w:r>
        <w:rPr>
          <w:i/>
          <w:iCs/>
        </w:rPr>
        <w:t>Byzantine Theology</w:t>
      </w:r>
      <w:r>
        <w:t xml:space="preserve">), who see in the </w:t>
      </w:r>
      <w:r>
        <w:rPr>
          <w:i/>
          <w:iCs/>
        </w:rPr>
        <w:t>dia Huiou</w:t>
      </w:r>
      <w:r>
        <w:t xml:space="preserve"> formula a potential bridge between Eastern and Western positions — provided the West is willing to abandon the claim that "and the Son" describes a </w:t>
      </w:r>
      <w:r>
        <w:t>relationship of causation rather than mere manifestation.</w:t>
      </w:r>
    </w:p>
    <w:p w14:paraId="2C04D6AB" w14:textId="77777777" w:rsidR="000E133F" w:rsidRDefault="00EC5ECA">
      <w:pPr>
        <w:spacing w:before="60" w:after="140" w:line="360" w:lineRule="auto"/>
      </w:pPr>
      <w:r>
        <w:t>The ecumenical implications of this discussion are significant. The joint statement of the Pontifical Council for Promoting Christian Unity and the Pontifical Council for Interreligious Dialogue, "The Greek and Latin Traditions Regarding the Procession of the Holy Spirit" (Vatican, 1995), represents the Catholic Church's most serious attempt to engage the Orthodox objection by distinguishing between the "from the Father and the Son" of the Filioque (understood as expressing the Son's role in the eternal man</w:t>
      </w:r>
      <w:r>
        <w:t>ifestation of the Spirit) and the "from the Father through the Son" formulation (which appears in Greek patristic texts and is more acceptable to the Orthodox). Whether this ecumenical rapprochement represents a genuine convergence or a diplomatic fudge that papers over a genuine theological difference remains contested in both Orthodox and Catholic theological circles.</w:t>
      </w:r>
    </w:p>
    <w:p w14:paraId="50AC1677" w14:textId="77777777" w:rsidR="000E133F" w:rsidRDefault="00EC5ECA">
      <w:pPr>
        <w:spacing w:before="60" w:after="140" w:line="360" w:lineRule="auto"/>
      </w:pPr>
      <w:r>
        <w:t xml:space="preserve">What is not in doubt, from the Orthodox perspective, is the ecclesiological dimension of the Filioque controversy: regardless of the theological merits or demerits of the doctrine, the unilateral alteration of the Creed by the Western church — without the consent of an Ecumenical Council — is itself an ecclesiological act of the highest significance. It </w:t>
      </w:r>
      <w:r>
        <w:lastRenderedPageBreak/>
        <w:t>expresses, in the most concrete canonical form possible, the Western church's claim to possess an authority over the universal Church's doctrinal expression that the East has never conceded. The Filioque is therefore simultaneously a Trinitarian dispute and an ecclesiological dispute, and the resolution of one without the resolution of the other is, from the Orthodox perspective, impossible.</w:t>
      </w:r>
    </w:p>
    <w:p w14:paraId="74E6C3D8" w14:textId="77777777" w:rsidR="000E133F" w:rsidRDefault="00EC5ECA">
      <w:pPr>
        <w:pStyle w:val="Heading1"/>
        <w:pageBreakBefore/>
      </w:pPr>
      <w:bookmarkStart w:id="41" w:name="_Toc232765268"/>
      <w:r>
        <w:lastRenderedPageBreak/>
        <w:t>EASTERN ORTHODOXY: A SEMINARY-LEVEL THEOLOGICAL TREATISE</w:t>
      </w:r>
      <w:bookmarkEnd w:id="41"/>
    </w:p>
    <w:p w14:paraId="53F435E5" w14:textId="77777777" w:rsidR="000E133F" w:rsidRDefault="00EC5ECA">
      <w:pPr>
        <w:pStyle w:val="Heading2"/>
      </w:pPr>
      <w:bookmarkStart w:id="42" w:name="_Toc232765269"/>
      <w:r>
        <w:t>Part I, Chapters 4–6: Soteriology, Sacraments, and Holy Tradition</w:t>
      </w:r>
      <w:bookmarkEnd w:id="42"/>
    </w:p>
    <w:p w14:paraId="5AC478EB" w14:textId="77777777" w:rsidR="000E133F" w:rsidRDefault="00EC5ECA">
      <w:pPr>
        <w:spacing w:before="60" w:after="140" w:line="360" w:lineRule="auto"/>
      </w:pPr>
      <w:r>
        <w:rPr>
          <w:i/>
          <w:iCs/>
        </w:rPr>
        <w:t>A primary-source-driven, argument-by-argument theological exposition</w:t>
      </w:r>
    </w:p>
    <w:p w14:paraId="3E5FAA56" w14:textId="77777777" w:rsidR="000E133F" w:rsidRDefault="00EC5ECA">
      <w:pPr>
        <w:pStyle w:val="Heading1"/>
        <w:pageBreakBefore/>
      </w:pPr>
      <w:bookmarkStart w:id="43" w:name="_Toc232765270"/>
      <w:r>
        <w:lastRenderedPageBreak/>
        <w:t>CHAPTER FOUR: ORTHODOX SOTERIOLOGY — THEOSIS, ANCESTRAL SIN, AND THE ATONEMENT</w:t>
      </w:r>
      <w:bookmarkEnd w:id="43"/>
    </w:p>
    <w:p w14:paraId="77166C59" w14:textId="77777777" w:rsidR="000E133F" w:rsidRDefault="00EC5ECA">
      <w:pPr>
        <w:pStyle w:val="Heading2"/>
      </w:pPr>
      <w:bookmarkStart w:id="44" w:name="_Toc232765271"/>
      <w:r>
        <w:t>Prefatory Remarks on the Orthodox Soteriological Framework</w:t>
      </w:r>
      <w:bookmarkEnd w:id="44"/>
    </w:p>
    <w:p w14:paraId="32477AA2" w14:textId="77777777" w:rsidR="000E133F" w:rsidRDefault="00EC5ECA">
      <w:pPr>
        <w:spacing w:before="60" w:after="140" w:line="360" w:lineRule="auto"/>
      </w:pPr>
      <w:r>
        <w:t>Orthodox soteriology cannot be understood if it is approached with the presuppositions of Western Christian theology already in place. The question that structures Western soteriology — in both its Catholic and Protestant forms — is fundamentally juridical: How can a guilty sinner be declared righteous before a God whose justice demands the punishment of sin? The Anselmian satisfaction theory, the Reformers' penal substitution, and even the Tridentine doctrine of infused grace all operate within a courtroom</w:t>
      </w:r>
      <w:r>
        <w:t xml:space="preserve"> metaphor: there is a debt, there is a judge, there is a verdict, and the central problem is how God can remain just while forgiving sinners. Even the Catholic doctrine of sanctifying grace, poured into the soul at baptism, responds in the first instance to the problem of guilt — it is the grace of justification and forgiveness before it is anything else.</w:t>
      </w:r>
    </w:p>
    <w:p w14:paraId="7B386CB1" w14:textId="77777777" w:rsidR="000E133F" w:rsidRDefault="00EC5ECA">
      <w:pPr>
        <w:spacing w:before="60" w:after="140" w:line="360" w:lineRule="auto"/>
      </w:pPr>
      <w:r>
        <w:t>Eastern Orthodox soteriology inhabits an entirely different conceptual universe. The primary question is not forensic but ontological: How can mortal, corrupted, death-bound creatures be restored to genuine participation in the immortal, incorruptible life of God? The fundamental problem is not guilt but death — not a legal category but a medical and cosmological one. Death entered the world through Adam's transgression (Romans 5:12), and with death came the whole ensemble of corruption: the domination of t</w:t>
      </w:r>
      <w:r>
        <w:t>he passions, the darkening of the intellect, the weakening of the will, the estrangement of the human person from God as the source and sustainer of all life. The Gospel, in the Orthodox reading, addresses this ensemble of devastation directly and ontologically: Christ assumed human nature, healed it from within, conquered death by His death, and opened the way for every human person to participate, through the Holy Spirit and the sacramental life of the Church, in the very life of God.</w:t>
      </w:r>
    </w:p>
    <w:p w14:paraId="3EAECC52" w14:textId="77777777" w:rsidR="000E133F" w:rsidRDefault="00EC5ECA">
      <w:pPr>
        <w:spacing w:before="60" w:after="140" w:line="360" w:lineRule="auto"/>
      </w:pPr>
      <w:r>
        <w:t xml:space="preserve">This soteriological framework has a name: </w:t>
      </w:r>
      <w:r>
        <w:rPr>
          <w:i/>
          <w:iCs/>
        </w:rPr>
        <w:t>theosis</w:t>
      </w:r>
      <w:r>
        <w:t xml:space="preserve"> — deification, divinization, the participatory union of the human person with the divine life. Theosis is not one doctrine </w:t>
      </w:r>
      <w:r>
        <w:lastRenderedPageBreak/>
        <w:t>among many in Orthodox theology. It is the organizing center of the entire edifice. All other doctrines — Trinitarian theology, Christology, ecclesiology, sacramental theology, anthropology — find their soteriological meaning in relation to theosis. To understand why Orthodoxy affirms the Palamite distinction between essence and energies, or why it insists on the full humanity o</w:t>
      </w:r>
      <w:r>
        <w:t>f Christ including His human mind and will, or why it maintains a cosmic and eschatological understanding of the Divine Liturgy — in each case the answer is ultimately the same: because theosis requires it, and theosis is what salvation is.</w:t>
      </w:r>
    </w:p>
    <w:p w14:paraId="52E12FBE" w14:textId="77777777" w:rsidR="000E133F" w:rsidRDefault="00EC5ECA">
      <w:pPr>
        <w:pStyle w:val="Heading2"/>
      </w:pPr>
      <w:bookmarkStart w:id="45" w:name="_Toc232765272"/>
      <w:r>
        <w:t>4.1 Theosis: The Orthodox Doctrine of Salvation as Deification</w:t>
      </w:r>
      <w:bookmarkEnd w:id="45"/>
    </w:p>
    <w:p w14:paraId="23F17094" w14:textId="77777777" w:rsidR="000E133F" w:rsidRDefault="00EC5ECA">
      <w:pPr>
        <w:pStyle w:val="Heading3"/>
      </w:pPr>
      <w:bookmarkStart w:id="46" w:name="_Toc232765273"/>
      <w:r>
        <w:t>4.1.a The Biblical Basis</w:t>
      </w:r>
      <w:bookmarkEnd w:id="46"/>
    </w:p>
    <w:p w14:paraId="0078AE78" w14:textId="77777777" w:rsidR="000E133F" w:rsidRDefault="00EC5ECA">
      <w:pPr>
        <w:spacing w:before="60" w:after="140" w:line="360" w:lineRule="auto"/>
      </w:pPr>
      <w:r>
        <w:t>The doctrine of theosis rests upon a network of scriptural texts that, when read together within the Greek patristic tradition, constitute an unmistakable vision of human destiny as genuine participation in the divine life. The Orthodox do not treat these texts as isolated proof-texts but as a coherent biblical anthropology in which the human person, created in the image and likeness of God (</w:t>
      </w:r>
      <w:r>
        <w:rPr>
          <w:i/>
          <w:iCs/>
        </w:rPr>
        <w:t>kat' eikona kai kath' homoiosin</w:t>
      </w:r>
      <w:r>
        <w:t>, Genesis 1:26), is called to actualize that likeness through progressive union with the God in whose image it is made.</w:t>
      </w:r>
    </w:p>
    <w:p w14:paraId="30C9D6C2" w14:textId="77777777" w:rsidR="000E133F" w:rsidRDefault="00EC5ECA">
      <w:pPr>
        <w:spacing w:before="60" w:after="140" w:line="360" w:lineRule="auto"/>
      </w:pPr>
      <w:r>
        <w:t xml:space="preserve">The foundational text is 2 Peter 1:4, which in the Greek reads: </w:t>
      </w:r>
      <w:r>
        <w:rPr>
          <w:i/>
          <w:iCs/>
        </w:rPr>
        <w:t>hina dia toutōn genēsthe theias koinōnoi phuseōs</w:t>
      </w:r>
      <w:r>
        <w:t xml:space="preserve"> — "that through these you might become partakers (</w:t>
      </w:r>
      <w:r>
        <w:rPr>
          <w:i/>
          <w:iCs/>
        </w:rPr>
        <w:t>koinōnoi</w:t>
      </w:r>
      <w:r>
        <w:t>) of the divine nature (</w:t>
      </w:r>
      <w:r>
        <w:rPr>
          <w:i/>
          <w:iCs/>
        </w:rPr>
        <w:t>theias phuseōs</w:t>
      </w:r>
      <w:r>
        <w:t xml:space="preserve">)." The language here is not metaphorical, not primarily ethical, and not merely relational. The Greek word </w:t>
      </w:r>
      <w:r>
        <w:rPr>
          <w:i/>
          <w:iCs/>
        </w:rPr>
        <w:t>koinōnos</w:t>
      </w:r>
      <w:r>
        <w:t xml:space="preserve"> denotes not simply fellowship or association but genuine sharing, participation, communion in something. One who is </w:t>
      </w:r>
      <w:r>
        <w:rPr>
          <w:i/>
          <w:iCs/>
        </w:rPr>
        <w:t>koinōnos</w:t>
      </w:r>
      <w:r>
        <w:t xml:space="preserve"> of the divine nature actually shares in that nature — not by becoming God by essence (that distinction, essential to Palamism</w:t>
      </w:r>
      <w:r>
        <w:t xml:space="preserve">, is preserved), but by entering into genuine ontological communion with the divine life. The Orthodox theological tradition seizes upon the word </w:t>
      </w:r>
      <w:r>
        <w:rPr>
          <w:i/>
          <w:iCs/>
        </w:rPr>
        <w:t>phuseōs</w:t>
      </w:r>
      <w:r>
        <w:t xml:space="preserve"> — nature — as marking the profundity of what is promised here. This is not a moral improvement, not an improvement in one's standing before a legal tribunal, but a transformation of what one is, a genuine participation in the very mode of being that belongs to God. Vladimir </w:t>
      </w:r>
      <w:r>
        <w:lastRenderedPageBreak/>
        <w:t>Lossky insists that the verse "contains the whole of Christianity" precisely becaus</w:t>
      </w:r>
      <w:r>
        <w:t>e it names the final end of human existence as nothing less than divine: "God wishes to unite Himself with us; He wishes to communicate to us the divine nature. Such is the ultimate aim of all things." The verse's context — the phrase "through these" (</w:t>
      </w:r>
      <w:r>
        <w:rPr>
          <w:i/>
          <w:iCs/>
        </w:rPr>
        <w:t>dia toutōn</w:t>
      </w:r>
      <w:r>
        <w:t>) referring to "his precious and very great promises" and "knowledge of him who called us to his own glory and virtue" — confirms that this participation is mediated through revelation, through the sacramental and ascetic life, through the energies b</w:t>
      </w:r>
      <w:r>
        <w:t>y which God makes Himself genuinely accessible.</w:t>
      </w:r>
    </w:p>
    <w:p w14:paraId="4A40ADEA" w14:textId="77777777" w:rsidR="000E133F" w:rsidRDefault="00EC5ECA">
      <w:pPr>
        <w:spacing w:before="60" w:after="140" w:line="360" w:lineRule="auto"/>
      </w:pPr>
      <w:r>
        <w:t>Psalm 82:6, cited by Christ Himself in John 10:34–35, contributes a complementary dimension: "You are gods (</w:t>
      </w:r>
      <w:r>
        <w:rPr>
          <w:i/>
          <w:iCs/>
        </w:rPr>
        <w:t>theoi</w:t>
      </w:r>
      <w:r>
        <w:t>), sons of the Most High (</w:t>
      </w:r>
      <w:r>
        <w:rPr>
          <w:i/>
          <w:iCs/>
        </w:rPr>
        <w:t>huioi Hypsistou</w:t>
      </w:r>
      <w:r>
        <w:t>), all of you." The Orthodox reading, following the Fathers, understands this not as hyperbole or mere metaphor but as a statement about the ontological destiny that God's Word addresses to those who receive it. Christ's citation of the text in John 10 is significant: He uses it to defend His own claim to be the Son of God, arguing from the lesser to the greater — if those to whom the word of God came could be called "gods," how much more can He who is the etern</w:t>
      </w:r>
      <w:r>
        <w:t>al Word be called the Son of God? The argument works precisely because the Psalm names a genuine, not a fictional, participation in divinity among those addressed by God's word. Cyril of Alexandria, commenting on this passage, understood the Psalmist to be speaking of those who had been transformed by the indwelling of the Holy Spirit; the divine appellation is not a title but a description of a real ontological state produced by grace.</w:t>
      </w:r>
    </w:p>
    <w:p w14:paraId="2E5CBC65" w14:textId="77777777" w:rsidR="000E133F" w:rsidRDefault="00EC5ECA">
      <w:pPr>
        <w:spacing w:before="60" w:after="140" w:line="360" w:lineRule="auto"/>
      </w:pPr>
      <w:r>
        <w:t>John 17:21–23 gives theosis its explicitly Trinitarian and participatory grammar: Christ prays "that they may all be one, just as you, Father, are in me, and I in you, that they also may be in us." The unity being petitioned is calibrated to the unity of the Father and the Son. This is not organizational unity, not doctrinal uniformity, not even moral harmony — it is a participatory union modeled on the perichoretic unity of the divine Persons. "That they may be in us" (</w:t>
      </w:r>
      <w:r>
        <w:rPr>
          <w:i/>
          <w:iCs/>
        </w:rPr>
        <w:t>hina kai autoi en hēmin ōsin</w:t>
      </w:r>
      <w:r>
        <w:t xml:space="preserve">) is the content of the prayer. And verse 22 deepens the claim: "The glory that you have given me I have given to them, that they may be one even as we are one." The </w:t>
      </w:r>
      <w:r>
        <w:rPr>
          <w:i/>
          <w:iCs/>
        </w:rPr>
        <w:t>doxa</w:t>
      </w:r>
      <w:r>
        <w:t xml:space="preserve"> — glory — that belongs to the divine nature is being communicated to human persons. For the Eastern Fathers, this communication of divine glory is not symbolic but real; it is the giving of the </w:t>
      </w:r>
      <w:r>
        <w:lastRenderedPageBreak/>
        <w:t>uncreated divine energies to those who are united to Christ. The very same uncreated light that shone at the Transfigur</w:t>
      </w:r>
      <w:r>
        <w:t>ation — the glory of the divine nature made perceptible — is what Christ is here promising to share with His disciples. Gregory Palamas's entire theological program can be read as a sustained exegesis of this Johannine prayer: if the glory is truly given, and if the glory is genuinely divine and uncreated, then genuine participation in the uncreated divine life is both possible and promised.</w:t>
      </w:r>
    </w:p>
    <w:p w14:paraId="36B42A56" w14:textId="77777777" w:rsidR="000E133F" w:rsidRDefault="00EC5ECA">
      <w:pPr>
        <w:spacing w:before="60" w:after="140" w:line="360" w:lineRule="auto"/>
      </w:pPr>
      <w:r>
        <w:t>First John 3:2 adds the eschatological dimension: "Beloved, we are God's children now, and what we will be has not yet appeared; but we know that when he appears we shall be like him (</w:t>
      </w:r>
      <w:r>
        <w:rPr>
          <w:i/>
          <w:iCs/>
        </w:rPr>
        <w:t>homoioi autō esometha</w:t>
      </w:r>
      <w:r>
        <w:t xml:space="preserve">), because we shall see him as he is." The verb </w:t>
      </w:r>
      <w:r>
        <w:rPr>
          <w:i/>
          <w:iCs/>
        </w:rPr>
        <w:t>homoioi esometha</w:t>
      </w:r>
      <w:r>
        <w:t xml:space="preserve"> — "we shall be like him" — is the eschatological consummation of the likeness (</w:t>
      </w:r>
      <w:r>
        <w:rPr>
          <w:i/>
          <w:iCs/>
        </w:rPr>
        <w:t>homoiōsis</w:t>
      </w:r>
      <w:r>
        <w:t xml:space="preserve">) that was the telos of creation from the beginning, as Gregory of Nyssa demonstrates in his </w:t>
      </w:r>
      <w:r>
        <w:rPr>
          <w:i/>
          <w:iCs/>
        </w:rPr>
        <w:t>Life of Moses</w:t>
      </w:r>
      <w:r>
        <w:t xml:space="preserve">. The Orthodox understanding of this text is that the assimilation to God — the becoming like Him — is not merely a moral conformity or a relational intimacy but an ontological transformation. The reason stated is "because we shall </w:t>
      </w:r>
      <w:r>
        <w:t>see him as he is" (</w:t>
      </w:r>
      <w:r>
        <w:rPr>
          <w:i/>
          <w:iCs/>
        </w:rPr>
        <w:t>hoti opsometha auton kathōs estin</w:t>
      </w:r>
      <w:r>
        <w:t>): the beatific vision itself, in Orthodox theology, is transformative. The soul that truly sees God is transformed into what it sees — not by ceasing to be a creature, but by being penetrated and permeated by the uncreated light that constitutes the divine energies. Maximus the Confessor writes that in the eschatological fulfillment, the saints "will cease their own activities and will be entirely deified, and will be moved by God alone in a manner simila</w:t>
      </w:r>
      <w:r>
        <w:t>r to the way that in the resurrection the body will be entirely taken up by the soul which itself will be entirely taken up by the Spirit."</w:t>
      </w:r>
    </w:p>
    <w:p w14:paraId="38C8EF32" w14:textId="77777777" w:rsidR="000E133F" w:rsidRDefault="00EC5ECA">
      <w:pPr>
        <w:spacing w:before="60" w:after="140" w:line="360" w:lineRule="auto"/>
      </w:pPr>
      <w:r>
        <w:t>Romans 8:29 provides the Christological key to theosis: the predestination (</w:t>
      </w:r>
      <w:r>
        <w:rPr>
          <w:i/>
          <w:iCs/>
        </w:rPr>
        <w:t>proōrise</w:t>
      </w:r>
      <w:r>
        <w:t>) of those whom God foreknew is "to be conformed to the image of his Son (</w:t>
      </w:r>
      <w:r>
        <w:rPr>
          <w:i/>
          <w:iCs/>
        </w:rPr>
        <w:t>summorphous tēs eikonos tou Huiou autou</w:t>
      </w:r>
      <w:r>
        <w:t xml:space="preserve">)." The word </w:t>
      </w:r>
      <w:r>
        <w:rPr>
          <w:i/>
          <w:iCs/>
        </w:rPr>
        <w:t>summorphous</w:t>
      </w:r>
      <w:r>
        <w:t xml:space="preserve"> — conformed, sharing the form — is ontologically pregnant. The image (</w:t>
      </w:r>
      <w:r>
        <w:rPr>
          <w:i/>
          <w:iCs/>
        </w:rPr>
        <w:t>eikōn</w:t>
      </w:r>
      <w:r>
        <w:t>) of the Son is not a moral quality but the very nature of the divine-human Person; to be conformed to that image is to participate in what the Son is. And since the Son is God incarnate, conformation to His image means sharing in His deified humanity — the humanity that, through the Incarn</w:t>
      </w:r>
      <w:r>
        <w:t xml:space="preserve">ation, has been permanently assumed into the life of the Trinity. The Orthodox reading of this text, developed by Maximus the Confessor and taken up by Gregory Palamas, is that </w:t>
      </w:r>
      <w:r>
        <w:lastRenderedPageBreak/>
        <w:t>God's foreordained purpose for humanity is precisely theosis: not simply forgiveness of sins, not merely the avoidance of hell, but the full participation of the human person in the life of the God-Man, who has made the human vocation to deification ontologically possible by uniting humanity to divinity in His own Person.</w:t>
      </w:r>
    </w:p>
    <w:p w14:paraId="0F8D35B9" w14:textId="77777777" w:rsidR="000E133F" w:rsidRDefault="00EC5ECA">
      <w:pPr>
        <w:pStyle w:val="Heading3"/>
      </w:pPr>
      <w:bookmarkStart w:id="47" w:name="_Toc232765274"/>
      <w:r>
        <w:t>4.1.b The Patristic Development</w:t>
      </w:r>
      <w:bookmarkEnd w:id="47"/>
    </w:p>
    <w:p w14:paraId="3752A48B" w14:textId="77777777" w:rsidR="000E133F" w:rsidRDefault="00EC5ECA">
      <w:pPr>
        <w:spacing w:before="60" w:after="140" w:line="360" w:lineRule="auto"/>
      </w:pPr>
      <w:r>
        <w:t xml:space="preserve">The patristic articulation of theosis begins, in its classic formulation, with Athanasius of Alexandria. In the fifty-fourth chapter of </w:t>
      </w:r>
      <w:r>
        <w:rPr>
          <w:i/>
          <w:iCs/>
        </w:rPr>
        <w:t>On the Incarnation</w:t>
      </w:r>
      <w:r>
        <w:t xml:space="preserve"> (</w:t>
      </w:r>
      <w:r>
        <w:rPr>
          <w:i/>
          <w:iCs/>
        </w:rPr>
        <w:t>De Incarnatione</w:t>
      </w:r>
      <w:r>
        <w:t>), he writes with crystalline directness: "He was made man that we might be made God (</w:t>
      </w:r>
      <w:r>
        <w:rPr>
          <w:i/>
          <w:iCs/>
        </w:rPr>
        <w:t>autos gar enēnthrōpēsen hina hēmeis theopoiēthōmen</w:t>
      </w:r>
      <w:r>
        <w:t xml:space="preserve">); and He manifested Himself by a body that we might receive the idea of the unseen Father; and He endured the insolence of men that we might inherit immortality." The sentence is not a rhetorical flourish. It is the logical culmination of the entire argument of </w:t>
      </w:r>
      <w:r>
        <w:rPr>
          <w:i/>
          <w:iCs/>
        </w:rPr>
        <w:t>De Incarnatione</w:t>
      </w:r>
      <w:r>
        <w:t>, which begins with the observation that humanity was made in t</w:t>
      </w:r>
      <w:r>
        <w:t>he image of God, fell into corruption and death by turning away from God, and required a rescue that could only come from God Himself becoming what humanity is in order to restore what humanity was made to be. Athanasius's earlier chapters develop the theme with equal force: "Because of the Word dwelling with them, even their natural corruption did not come near them, as Wisdom also says: 'God made man for incorruption (</w:t>
      </w:r>
      <w:r>
        <w:rPr>
          <w:i/>
          <w:iCs/>
        </w:rPr>
        <w:t>ep' aphtharsiai</w:t>
      </w:r>
      <w:r>
        <w:t>), and as an image of His own eternity (</w:t>
      </w:r>
      <w:r>
        <w:rPr>
          <w:i/>
          <w:iCs/>
        </w:rPr>
        <w:t>eikona tēs idias aidiotētos</w:t>
      </w:r>
      <w:r>
        <w:t>)'" (c</w:t>
      </w:r>
      <w:r>
        <w:t>h. 5). The loss of incorruption through the Fall was not a legal punishment primarily — it was the natural consequence of the creature's turning away from the Source of incorruptibility. And the restoration of incorruption through the Incarnation is not primarily a legal maneuver but an ontological healing: "Whence, by offering unto death the body He Himself had taken, as an offering and sacrifice free from any stain, straightway He put away death from all His peers by the offering of an equivalent. And thu</w:t>
      </w:r>
      <w:r>
        <w:t>s He, the incorruptible Son of God, being conjoined with all by a like nature, naturally clothed all with incorruption, by the promise of the resurrection" (ch. 9). The mechanism of salvation is participation: by uniting Himself to human nature, the Word communicated to that nature the incorruption that belongs to His own divine nature.</w:t>
      </w:r>
    </w:p>
    <w:p w14:paraId="787F3405" w14:textId="77777777" w:rsidR="000E133F" w:rsidRDefault="00EC5ECA">
      <w:pPr>
        <w:spacing w:before="60" w:after="140" w:line="360" w:lineRule="auto"/>
      </w:pPr>
      <w:r>
        <w:lastRenderedPageBreak/>
        <w:t xml:space="preserve">Irenaeus of Lyons, writing a century before Athanasius, gives us the doctrine of </w:t>
      </w:r>
      <w:r>
        <w:rPr>
          <w:i/>
          <w:iCs/>
        </w:rPr>
        <w:t>anakephalaiōsis</w:t>
      </w:r>
      <w:r>
        <w:t xml:space="preserve"> — recapitulation — which is the patristic matrix out of which theosis grows. In </w:t>
      </w:r>
      <w:r>
        <w:rPr>
          <w:i/>
          <w:iCs/>
        </w:rPr>
        <w:t>Adversus Haereses</w:t>
      </w:r>
      <w:r>
        <w:t xml:space="preserve"> (III.18.1), Irenaeus writes: "When the Word of God became flesh, and was made man, He commenced afresh the long line of human beings, and furnished us, in a brief, comprehensive manner, with salvation; so that what we had lost in Adam — namely, to be according to the image and likeness of God — that we might recover in Christ Jesus." The word </w:t>
      </w:r>
      <w:r>
        <w:rPr>
          <w:i/>
          <w:iCs/>
        </w:rPr>
        <w:t>anakephalaiōsis</w:t>
      </w:r>
      <w:r>
        <w:t xml:space="preserve"> — from </w:t>
      </w:r>
      <w:r>
        <w:rPr>
          <w:i/>
          <w:iCs/>
        </w:rPr>
        <w:t>ana</w:t>
      </w:r>
      <w:r>
        <w:t xml:space="preserve"> (again, upward) and </w:t>
      </w:r>
      <w:r>
        <w:rPr>
          <w:i/>
          <w:iCs/>
        </w:rPr>
        <w:t>kephal</w:t>
      </w:r>
      <w:r>
        <w:rPr>
          <w:i/>
          <w:iCs/>
        </w:rPr>
        <w:t>ē</w:t>
      </w:r>
      <w:r>
        <w:t xml:space="preserve"> (head) — means the gathering-up-again, the re-heading, the recapitulating of the entire history of humanity in Christ as its new Head. Christ does not merely make a legal payment on humanity's behalf; He enters into the entire human condition, takes up the entire history of Adam and his race, lives it through from birth to death to resurrection, and in doing so transforms it from within. In </w:t>
      </w:r>
      <w:r>
        <w:rPr>
          <w:i/>
          <w:iCs/>
        </w:rPr>
        <w:t>Adversus Haereses</w:t>
      </w:r>
      <w:r>
        <w:t xml:space="preserve"> V.1.1, Irenaeus states the program with breathtaking concision: "How shall man pass into God, unle</w:t>
      </w:r>
      <w:r>
        <w:t>ss God has passed into man?" The descent and ascent are inseparable: God's descent into humanity in the Incarnation is the necessary condition for humanity's ascent into God in theosis. And in V.21, Irenaeus applies recapitulation specifically to the atonement: Christ "recapitulated in Himself the disobedience done on a tree, becoming obedient even unto death, the death on a cross" (</w:t>
      </w:r>
      <w:r>
        <w:rPr>
          <w:i/>
          <w:iCs/>
        </w:rPr>
        <w:t>Adversus Haereses</w:t>
      </w:r>
      <w:r>
        <w:t xml:space="preserve"> V.19.1). Where Adam disobeyed on the tree in the Garden, Christ obeyed on the tree of the Cross. Where Adam'</w:t>
      </w:r>
      <w:r>
        <w:t>s transgression opened the floodgates of death, Christ's obedience opened the floodgates of life.</w:t>
      </w:r>
    </w:p>
    <w:p w14:paraId="42FBA79E" w14:textId="77777777" w:rsidR="000E133F" w:rsidRDefault="00EC5ECA">
      <w:pPr>
        <w:spacing w:before="60" w:after="140" w:line="360" w:lineRule="auto"/>
      </w:pPr>
      <w:r>
        <w:t xml:space="preserve">Gregory of Nazianzus contributes to the theology of theosis through his anti-Apollinarian axiom, which is simultaneously a Christological axiom and a soteriological one. In his </w:t>
      </w:r>
      <w:r>
        <w:rPr>
          <w:i/>
          <w:iCs/>
        </w:rPr>
        <w:t>Epistle 101 to Cledonius the Priest, Against Apollinarius</w:t>
      </w:r>
      <w:r>
        <w:t xml:space="preserve">, he formulates the principle that would become one of the most frequently cited in all of patristic theology: </w:t>
      </w:r>
      <w:r>
        <w:rPr>
          <w:i/>
          <w:iCs/>
        </w:rPr>
        <w:t>"to gar aproslepton atherapeuton, ho de hēnōtai tō Theō, touto kai sōzetai"</w:t>
      </w:r>
      <w:r>
        <w:t xml:space="preserve"> — "For what is not assumed is not healed; but what is united to His Godhead is also saved." The immediate context is the refutation of Apollinarius of Laodicea, who had denied that Christ assumed a genuine human mind (</w:t>
      </w:r>
      <w:r>
        <w:rPr>
          <w:i/>
          <w:iCs/>
        </w:rPr>
        <w:t>nous</w:t>
      </w:r>
      <w:r>
        <w:t>), substituting the divine Logos for the human</w:t>
      </w:r>
      <w:r>
        <w:t xml:space="preserve"> rational faculty. Gregory's response: if the human mind was not assumed by the Word, then the human mind is not healed — and since it is precisely the mind, the </w:t>
      </w:r>
      <w:r>
        <w:lastRenderedPageBreak/>
        <w:t>rational soul, the faculty of free choice, that fell most deeply in Adam ("the mind was the first to be affected," he writes), the exclusion of the human mind from the Incarnation would mean that the very faculty most in need of redemption was left outside it. The logic is patristic common ground: salvation is participation in what God assumed; wha</w:t>
      </w:r>
      <w:r>
        <w:t>t God did not assume, He did not save.</w:t>
      </w:r>
    </w:p>
    <w:p w14:paraId="4B5A1F5B" w14:textId="77777777" w:rsidR="000E133F" w:rsidRDefault="00EC5ECA">
      <w:pPr>
        <w:spacing w:before="60" w:after="140" w:line="360" w:lineRule="auto"/>
      </w:pPr>
      <w:r>
        <w:t xml:space="preserve">Gregory then extends the principle to its positive formulation: "Keep then the whole man, and mingle Godhead therewith, that you may benefit me in my completeness." Salvation is not the salvation of a partial human being — body without soul, or body-and-soul without mind — but the salvation of the whole person. And the mechanism of salvation is the </w:t>
      </w:r>
      <w:r>
        <w:rPr>
          <w:i/>
          <w:iCs/>
        </w:rPr>
        <w:t>mingling of Godhead</w:t>
      </w:r>
      <w:r>
        <w:t xml:space="preserve"> with the assumed human nature: what the Logos took up, He deified. This is why Gregory insists in the same letter that Christ's assumption of human nature results in a genuine transformation: "shall not the Image be leavened and mingled with God, being deified by His Godhead?" The image of God — the human person — is "leavened" and "mingled with God" through the union of natures in Christ, and those who are baptized into Christ enter into the deifying union that He has opened.</w:t>
      </w:r>
    </w:p>
    <w:p w14:paraId="5B71C06C" w14:textId="77777777" w:rsidR="000E133F" w:rsidRDefault="00EC5ECA">
      <w:pPr>
        <w:spacing w:before="60" w:after="140" w:line="360" w:lineRule="auto"/>
      </w:pPr>
      <w:r>
        <w:t xml:space="preserve">Maximus the Confessor brings the theology of theosis to its most systematic and philosophically sophisticated expression. For Maximus, theosis is not merely the goal of individual souls but the telos of the entire created order — a cosmic deification in which the whole of creation is gathered up into the divine life through the Logos who is its ground and goal. Maximus's doctrine of the </w:t>
      </w:r>
      <w:r>
        <w:rPr>
          <w:i/>
          <w:iCs/>
        </w:rPr>
        <w:t>logoi</w:t>
      </w:r>
      <w:r>
        <w:t xml:space="preserve"> is the metaphysical framework for this cosmic vision. The </w:t>
      </w:r>
      <w:r>
        <w:rPr>
          <w:i/>
          <w:iCs/>
        </w:rPr>
        <w:t>Logos</w:t>
      </w:r>
      <w:r>
        <w:t xml:space="preserve"> — the Second Person of the Trinity, the divine Word — eternally contains within Himself the </w:t>
      </w:r>
      <w:r>
        <w:rPr>
          <w:i/>
          <w:iCs/>
        </w:rPr>
        <w:t>logoi</w:t>
      </w:r>
      <w:r>
        <w:t xml:space="preserve">, the inner principles or rational grounds of all created beings. Every created thing has its </w:t>
      </w:r>
      <w:r>
        <w:rPr>
          <w:i/>
          <w:iCs/>
        </w:rPr>
        <w:t>logos</w:t>
      </w:r>
      <w:r>
        <w:t xml:space="preserve"> — the reason for its existence, the divine intention embedded in its nature, the telos toward which it is ordered — and these individual </w:t>
      </w:r>
      <w:r>
        <w:rPr>
          <w:i/>
          <w:iCs/>
        </w:rPr>
        <w:t>logoi</w:t>
      </w:r>
      <w:r>
        <w:t xml:space="preserve"> are all gathered into, and subsist in, the one divine </w:t>
      </w:r>
      <w:r>
        <w:rPr>
          <w:i/>
          <w:iCs/>
        </w:rPr>
        <w:t>Logos</w:t>
      </w:r>
      <w:r>
        <w:t xml:space="preserve">. As Maximus writes in the </w:t>
      </w:r>
      <w:r>
        <w:rPr>
          <w:i/>
          <w:iCs/>
        </w:rPr>
        <w:t>Ambigua</w:t>
      </w:r>
      <w:r>
        <w:t xml:space="preserve"> (7.19–24): all the </w:t>
      </w:r>
      <w:r>
        <w:rPr>
          <w:i/>
          <w:iCs/>
        </w:rPr>
        <w:t>logoi</w:t>
      </w:r>
      <w:r>
        <w:t xml:space="preserve"> of all created beings are contained in the divine Logos "as their gathering-place and point of unity." Creation is not an accidental event, unrelated to God's own being; it is an expression of the Logos, and every created being participates already </w:t>
      </w:r>
      <w:r>
        <w:t xml:space="preserve">— ontologically, through its own </w:t>
      </w:r>
      <w:r>
        <w:rPr>
          <w:i/>
          <w:iCs/>
        </w:rPr>
        <w:t>logos</w:t>
      </w:r>
      <w:r>
        <w:t xml:space="preserve"> — in the divine Logos who is its ground. What theosis adds is the conscious, personal, freely </w:t>
      </w:r>
      <w:r>
        <w:lastRenderedPageBreak/>
        <w:t xml:space="preserve">chosen actualization of this participation: the rational creature freely turning back toward the Logos in whom its own </w:t>
      </w:r>
      <w:r>
        <w:rPr>
          <w:i/>
          <w:iCs/>
        </w:rPr>
        <w:t>logos</w:t>
      </w:r>
      <w:r>
        <w:t xml:space="preserve"> subsists, ascending through virtue and contemplation until the distance between Creator and creature is overcome — not by the erasure of the ontological distinction between Creator and creature, but by the creature's complete indwelling by the divine ene</w:t>
      </w:r>
      <w:r>
        <w:t>rgies.</w:t>
      </w:r>
    </w:p>
    <w:p w14:paraId="35EFCB52" w14:textId="77777777" w:rsidR="000E133F" w:rsidRDefault="00EC5ECA">
      <w:pPr>
        <w:spacing w:before="60" w:after="140" w:line="360" w:lineRule="auto"/>
      </w:pPr>
      <w:r>
        <w:t>Maximus articulates the stages of this ascent in terms of three fundamental "divisions" within creation that Christ, through the Incarnation, recapitulated and united: the division between uncreated and created, between intelligible and sensible creation, between heaven and earth, between paradise and the inhabited world, and between male and female (</w:t>
      </w:r>
      <w:r>
        <w:rPr>
          <w:i/>
          <w:iCs/>
        </w:rPr>
        <w:t>Ambigua</w:t>
      </w:r>
      <w:r>
        <w:t xml:space="preserve"> 41). Christ united all these divisions in His own Person, and His deified humanity becomes the principle by which the whole created order is drawn toward union with God. This is the meaning of the famous Maximian formulation: "A firm and trustworthy basis for hope of the deification of human nature is God's Incarnation, which makes of man a god in the same measure as God Himself became man" (</w:t>
      </w:r>
      <w:r>
        <w:rPr>
          <w:i/>
          <w:iCs/>
        </w:rPr>
        <w:t>Ambigua</w:t>
      </w:r>
      <w:r>
        <w:t xml:space="preserve"> 60.2). The proportion is exact: God became what we are (truly, without mixture or confusion) so that </w:t>
      </w:r>
      <w:r>
        <w:t>we might become what He is (truly, without mixture or confusion). The asymmetry of natures is preserved; what is achieved is the asymmetric-but-genuine union of the human person with the divine life through the energies.</w:t>
      </w:r>
    </w:p>
    <w:p w14:paraId="4B57EBB2" w14:textId="77777777" w:rsidR="000E133F" w:rsidRDefault="00EC5ECA">
      <w:pPr>
        <w:pStyle w:val="Heading3"/>
      </w:pPr>
      <w:bookmarkStart w:id="48" w:name="_Toc232765275"/>
      <w:r>
        <w:t>4.1.c The Palamite Framework: Theosis as Participation in the Divine Energies</w:t>
      </w:r>
      <w:bookmarkEnd w:id="48"/>
    </w:p>
    <w:p w14:paraId="06F9DC84" w14:textId="77777777" w:rsidR="000E133F" w:rsidRDefault="00EC5ECA">
      <w:pPr>
        <w:spacing w:before="60" w:after="140" w:line="360" w:lineRule="auto"/>
      </w:pPr>
      <w:r>
        <w:t xml:space="preserve">The theology of theosis as elaborated in the patristic period required, in the fourteenth century, a sophisticated metaphysical defense against the critique of Barlaam of Calabria. Barlaam argued that if the divine light experienced by the hesychast monks was genuinely divine and uncreated, then the monks were claiming to see the divine essence itself — which is impossible, since the divine essence is absolutely transcendent and inaccessible. Gregory Palamas's response established the theological framework </w:t>
      </w:r>
      <w:r>
        <w:t>within which Orthodox soteriology has been articulated ever since.</w:t>
      </w:r>
    </w:p>
    <w:p w14:paraId="3A8D670E" w14:textId="77777777" w:rsidR="000E133F" w:rsidRDefault="00EC5ECA">
      <w:pPr>
        <w:spacing w:before="60" w:after="140" w:line="360" w:lineRule="auto"/>
      </w:pPr>
      <w:r>
        <w:t xml:space="preserve">Palamas's crucial distinction is between the divine </w:t>
      </w:r>
      <w:r>
        <w:rPr>
          <w:i/>
          <w:iCs/>
        </w:rPr>
        <w:t>essence</w:t>
      </w:r>
      <w:r>
        <w:t xml:space="preserve"> (</w:t>
      </w:r>
      <w:r>
        <w:rPr>
          <w:i/>
          <w:iCs/>
        </w:rPr>
        <w:t>ousia</w:t>
      </w:r>
      <w:r>
        <w:t xml:space="preserve">) and the divine </w:t>
      </w:r>
      <w:r>
        <w:rPr>
          <w:i/>
          <w:iCs/>
        </w:rPr>
        <w:t>energies</w:t>
      </w:r>
      <w:r>
        <w:t xml:space="preserve"> (</w:t>
      </w:r>
      <w:r>
        <w:rPr>
          <w:i/>
          <w:iCs/>
        </w:rPr>
        <w:t>energeiai</w:t>
      </w:r>
      <w:r>
        <w:t xml:space="preserve">). God's essence remains absolutely transcendent, unknowable, and incommunicable — no creature, however greatly deified, ever penetrates the divine </w:t>
      </w:r>
      <w:r>
        <w:lastRenderedPageBreak/>
        <w:t>essence. But God also genuinely and fully communicates Himself through His uncreated energies — His divine operations, activities, and attributes as they proceed outward in relation to creation. These energies are not created intermediaries (which would place a created screen between God and the deified creature)</w:t>
      </w:r>
      <w:r>
        <w:t xml:space="preserve">; they are the genuine divine life itself, as it is accessible to creatures. The energies are identical with God; they are not a part of God or a diminished aspect of God; they simply represent the distinction within the divine being between God as He is absolutely in Himself (the essence) and God as He is truly present and active in relation to creation (the energies). This real distinction — neither a mere verbal distinction nor a division of the divine being — is what allows Palamas to say both that the </w:t>
      </w:r>
      <w:r>
        <w:t>divine essence is absolutely transcendent and that genuine theosis, genuine participation in the divine life, is truly possible.</w:t>
      </w:r>
    </w:p>
    <w:p w14:paraId="5DB75947" w14:textId="77777777" w:rsidR="000E133F" w:rsidRDefault="00EC5ECA">
      <w:pPr>
        <w:spacing w:before="60" w:after="140" w:line="360" w:lineRule="auto"/>
      </w:pPr>
      <w:r>
        <w:t>The soteriological significance of this distinction is immense. It means that theosis is not a metaphor. When the Orthodox tradition says that the deified human person participates in the divine nature (2 Peter 1:4), it means that the person genuinely participates in something that is truly and fully divine — not a created grace, not a supernatural quality infused into the soul (which is the Western Scholastic framework), but the uncreated divine energies themselves. This is the point at which Orthodoxy mos</w:t>
      </w:r>
      <w:r>
        <w:t xml:space="preserve">t sharply differentiates itself from the Catholic doctrine of </w:t>
      </w:r>
      <w:r>
        <w:rPr>
          <w:i/>
          <w:iCs/>
        </w:rPr>
        <w:t>gratia creata</w:t>
      </w:r>
      <w:r>
        <w:t xml:space="preserve"> (created grace): Western Scholasticism, under the influence of Aquinas, understands the grace by which the soul is sanctified as a created accident inhering in the soul — something God creates and infuses, not something that is itself divine. Palamas insists that this reduces the relationship between God and the sanctified soul to an indirect one, mediated by a created quality, rather than a genuine personal-ontological union. As Lo</w:t>
      </w:r>
      <w:r>
        <w:t xml:space="preserve">ssky writes in </w:t>
      </w:r>
      <w:r>
        <w:rPr>
          <w:i/>
          <w:iCs/>
        </w:rPr>
        <w:t>The Mystical Theology of the Eastern Church</w:t>
      </w:r>
      <w:r>
        <w:t>: "The mystical theology of the Eastern Church sets the creature in immediate relation with the personal God... The divine nature, inaccessible in its essence, communicates itself wholly in its energies, which are not so many gifts separate from God, but God Himself in His gifts."</w:t>
      </w:r>
    </w:p>
    <w:p w14:paraId="5DE8E6C9" w14:textId="77777777" w:rsidR="000E133F" w:rsidRDefault="00EC5ECA">
      <w:pPr>
        <w:spacing w:before="60" w:after="140" w:line="360" w:lineRule="auto"/>
      </w:pPr>
      <w:r>
        <w:t xml:space="preserve">Against Protestant categories of imputation, the Palamite doctrine of theosis is equally decisive. The Protestant doctrine of justification — especially in its Calvinist form — understands salvation as a forensic declaration: God imputes (reckons, counts) Christ's righteousness to the sinner, who remains sinful in himself but is declared righteous </w:t>
      </w:r>
      <w:r>
        <w:lastRenderedPageBreak/>
        <w:t>before the divine tribunal because Christ's merits are credited to his account. The Orthodox critique of this position is not simply an alternative soteriology but a challenge to the entire framework. Imputation, on the Orthodox reading, is an external legal fiction that leaves the human person fundamentally unchanged. If sin is primarily a disease, then what is needed is healing, not acquittal. If death is the enemy, then what is needed is resurrection, not pardon. An imputed righteousness that does not ac</w:t>
      </w:r>
      <w:r>
        <w:t>tually transform the person is, from the Orthodox perspective, a category error: it mistakes the category of the problem (ontological corruption) for a different category (legal guilt) and then provides an answer (imputed merit) that is formally appropriate to the wrong category. As Georges Florovsky states with characteristic directness: "Redemption means more than merely the forgiveness of sins. It means the restoration of man's broken communion with God and the deification of human nature."</w:t>
      </w:r>
    </w:p>
    <w:p w14:paraId="4AEA9FBC" w14:textId="77777777" w:rsidR="000E133F" w:rsidRDefault="00EC5ECA">
      <w:pPr>
        <w:spacing w:before="60" w:after="140" w:line="360" w:lineRule="auto"/>
      </w:pPr>
      <w:r>
        <w:t xml:space="preserve">The Palamite framework also draws the crucial boundary between theosis and pantheism. The charge that theosis collapses the distinction between Creator and creature — that to say the human person "becomes God" is to deny the ontological difference between God and creature — is the most common misunderstanding of the doctrine. Palamas's answer is to insist on the absolute incommunicability of the divine essence: no creature ever participates in the essence; that remains forever the unique and exclusive mode </w:t>
      </w:r>
      <w:r>
        <w:t>of being of the Holy Trinity. What is communicated is the energies — which are genuinely divine, genuinely God, but which constitute a different mode of divine self-expression than the essence. The deified human person becomes "God by grace" (</w:t>
      </w:r>
      <w:r>
        <w:rPr>
          <w:i/>
          <w:iCs/>
        </w:rPr>
        <w:t>theos kata charin</w:t>
      </w:r>
      <w:r>
        <w:t>) — but not God by nature (</w:t>
      </w:r>
      <w:r>
        <w:rPr>
          <w:i/>
          <w:iCs/>
        </w:rPr>
        <w:t>theos kata phusin</w:t>
      </w:r>
      <w:r>
        <w:t>). The creature retains its creaturely ontological status; what changes is its mode of existence, which is now completely penetrated, transformed, and enlivened by the divine energies, rather than existing at</w:t>
      </w:r>
      <w:r>
        <w:t xml:space="preserve"> a distance from God in the mode of fallen, mortal, corrupted existence.</w:t>
      </w:r>
    </w:p>
    <w:p w14:paraId="25FECCA9" w14:textId="77777777" w:rsidR="000E133F" w:rsidRDefault="00EC5ECA">
      <w:pPr>
        <w:spacing w:before="60" w:after="140" w:line="360" w:lineRule="auto"/>
      </w:pPr>
      <w:r>
        <w:t xml:space="preserve">Maximus the Confessor, anticipating Palamas, states the same distinction in </w:t>
      </w:r>
      <w:r>
        <w:rPr>
          <w:i/>
          <w:iCs/>
        </w:rPr>
        <w:t>Ambigua</w:t>
      </w:r>
      <w:r>
        <w:t xml:space="preserve"> 60.2: "The person who has been deified by grace will be in every respect as God is, except for identity of essence (</w:t>
      </w:r>
      <w:r>
        <w:rPr>
          <w:i/>
          <w:iCs/>
        </w:rPr>
        <w:t>plēn tēs kat' ousian tautotētos</w:t>
      </w:r>
      <w:r>
        <w:t xml:space="preserve">)." The except-clause is the entire doctrinal substance of the anti-pantheist qualification. Identity of essence is impossible and would mean the creature ceasing to be a creature and somehow entering into the inner-Trinitarian life as a fourth hypostasis — which is absurd. But "in every </w:t>
      </w:r>
      <w:r>
        <w:lastRenderedPageBreak/>
        <w:t>respect" except this — in participation, in union, in the sharing of</w:t>
      </w:r>
      <w:r>
        <w:t xml:space="preserve"> the divine life through the energies — the human person can truly become what God is.</w:t>
      </w:r>
    </w:p>
    <w:p w14:paraId="3AFE2F4F" w14:textId="77777777" w:rsidR="000E133F" w:rsidRDefault="00EC5ECA">
      <w:pPr>
        <w:pStyle w:val="Heading3"/>
      </w:pPr>
      <w:bookmarkStart w:id="49" w:name="_Toc232765276"/>
      <w:r>
        <w:t>4.1.d The Process of Theosis: Stages of the Spiritual Life</w:t>
      </w:r>
      <w:bookmarkEnd w:id="49"/>
    </w:p>
    <w:p w14:paraId="4469C137" w14:textId="77777777" w:rsidR="000E133F" w:rsidRDefault="00EC5ECA">
      <w:pPr>
        <w:spacing w:before="60" w:after="140" w:line="360" w:lineRule="auto"/>
      </w:pPr>
      <w:r>
        <w:t xml:space="preserve">The Orthodox tradition has consistently articulated the path toward theosis in terms of three broad stages, variously named but with consistent content. The most common schema, derived from Pseudo-Dionysius the Areopagite and developed by Maximus the Confessor and the hesychast tradition, names these stages as </w:t>
      </w:r>
      <w:r>
        <w:rPr>
          <w:i/>
          <w:iCs/>
        </w:rPr>
        <w:t>catharsis</w:t>
      </w:r>
      <w:r>
        <w:t xml:space="preserve"> (purification), </w:t>
      </w:r>
      <w:r>
        <w:rPr>
          <w:i/>
          <w:iCs/>
        </w:rPr>
        <w:t>photismos</w:t>
      </w:r>
      <w:r>
        <w:t xml:space="preserve"> (illumination), and </w:t>
      </w:r>
      <w:r>
        <w:rPr>
          <w:i/>
          <w:iCs/>
        </w:rPr>
        <w:t>theōsis</w:t>
      </w:r>
      <w:r>
        <w:t xml:space="preserve"> (union). These are not strictly sequential stages that one moves through and leaves behind, but rather an ongoing dialectic in which all three dimensions are always present while one or another may predominate at a given stage of spiritual development.</w:t>
      </w:r>
    </w:p>
    <w:p w14:paraId="28263AD1" w14:textId="77777777" w:rsidR="000E133F" w:rsidRDefault="00EC5ECA">
      <w:pPr>
        <w:spacing w:before="60" w:after="140" w:line="360" w:lineRule="auto"/>
      </w:pPr>
      <w:r>
        <w:rPr>
          <w:i/>
          <w:iCs/>
        </w:rPr>
        <w:t>Catharsis</w:t>
      </w:r>
      <w:r>
        <w:t xml:space="preserve"> — purification — involves the cleansing of the soul from the passions (</w:t>
      </w:r>
      <w:r>
        <w:rPr>
          <w:i/>
          <w:iCs/>
        </w:rPr>
        <w:t>pathē</w:t>
      </w:r>
      <w:r>
        <w:t>) that distort its perception of God and its capacity for love. The Greek Fathers inherit from the Stoics a language of passions, but transform it: in the Christian ascetic tradition, the passions are not simply the emotions or the biological appetites, but those states of the soul in which the good impulses of nature have been perverted or disordered by sin and death. Anger in itself is natural and good (it is the soul's protest a</w:t>
      </w:r>
      <w:r>
        <w:t xml:space="preserve">gainst injustice); passionate rage is a perversion. Appetite for food is natural; gluttony is disordered. The work of purification — accomplished through fasting, almsgiving, prayer, sacramental confession, and the inner warfare of </w:t>
      </w:r>
      <w:r>
        <w:rPr>
          <w:i/>
          <w:iCs/>
        </w:rPr>
        <w:t>nepsis</w:t>
      </w:r>
      <w:r>
        <w:t xml:space="preserve"> (watchfulness) — is the restoration of the natural impulses to their proper order and proportion, freeing the soul to perceive the divine light that is always present but always obscured by the noise of disordered passion.</w:t>
      </w:r>
    </w:p>
    <w:p w14:paraId="5DAB239D" w14:textId="77777777" w:rsidR="000E133F" w:rsidRDefault="00EC5ECA">
      <w:pPr>
        <w:spacing w:before="60" w:after="140" w:line="360" w:lineRule="auto"/>
      </w:pPr>
      <w:r>
        <w:rPr>
          <w:i/>
          <w:iCs/>
        </w:rPr>
        <w:t>Photismos</w:t>
      </w:r>
      <w:r>
        <w:t xml:space="preserve"> — illumination — is the stage in which the purified mind begins to receive direct, experiential knowledge of God through the divine energies. This is not an intellectual achievement, not the conclusion of an argument, but a direct noetic encounter with the divine light. The hesychast tradition — articulated in the </w:t>
      </w:r>
      <w:r>
        <w:rPr>
          <w:i/>
          <w:iCs/>
        </w:rPr>
        <w:t>Philokalia</w:t>
      </w:r>
      <w:r>
        <w:t xml:space="preserve"> and defended by Gregory Palamas — understands this illumination as the same uncreated light that shone at the Transfiguration on Mount Tabor: genuinely divine, genuinely uncreated, not</w:t>
      </w:r>
      <w:r>
        <w:t xml:space="preserve"> a created phenomenon or a psychological state, but the actual </w:t>
      </w:r>
      <w:r>
        <w:lastRenderedPageBreak/>
        <w:t>presence of God communicated through His energies to the purified soul. The great hesychasts — Symeon the New Theologian, Gregory Palamas, Gregory of Sinai — insist that this illumination is not the exclusive preserve of monastic virtuosi but is the normal fruit of serious Christian life: the Incarnation opened the possibility of divine light for all humanity, and the sacramental-ascetic life of the Church is designed precisely to mediate this l</w:t>
      </w:r>
      <w:r>
        <w:t>ight to all who genuinely seek it.</w:t>
      </w:r>
    </w:p>
    <w:p w14:paraId="09822703" w14:textId="77777777" w:rsidR="000E133F" w:rsidRDefault="00EC5ECA">
      <w:pPr>
        <w:spacing w:before="60" w:after="140" w:line="360" w:lineRule="auto"/>
      </w:pPr>
      <w:r>
        <w:rPr>
          <w:i/>
          <w:iCs/>
        </w:rPr>
        <w:t>Theōsis</w:t>
      </w:r>
      <w:r>
        <w:t xml:space="preserve"> proper — union — is the eschatological completion of the process, though it may be anticipated in extraordinary mystical experiences in this life. In the age to come, the saints will see God "face to face" (1 Corinthians 13:12), not through a glass darkly, not through conceptual mediations, but in the immediacy of the divine energies. Gregory of Nyssa's concept of </w:t>
      </w:r>
      <w:r>
        <w:rPr>
          <w:i/>
          <w:iCs/>
        </w:rPr>
        <w:t>epektasis</w:t>
      </w:r>
      <w:r>
        <w:t xml:space="preserve"> — the eternal forward-stretching of the soul toward an always-greater God — prevents this from becoming a static "arrival." Even in the eschaton, the theosis of the creature is not a completed possession but an ever-deepening participation in the inexhaustible infinity of the divine life. God is always "more" than what any creature has yet experienced of Him; theosis is not the end of desire but its eternal, ecstatic, joyful fulfillment.</w:t>
      </w:r>
    </w:p>
    <w:p w14:paraId="611F63EC" w14:textId="77777777" w:rsidR="000E133F" w:rsidRDefault="00EC5ECA">
      <w:pPr>
        <w:spacing w:before="60" w:after="140" w:line="360" w:lineRule="auto"/>
      </w:pPr>
      <w:r>
        <w:t xml:space="preserve">The role of the sacraments in mediating theosis is central to Orthodox soteriology. Pseudo-Dionysius the Areopagite, in both the </w:t>
      </w:r>
      <w:r>
        <w:rPr>
          <w:i/>
          <w:iCs/>
        </w:rPr>
        <w:t>Celestial Hierarchy</w:t>
      </w:r>
      <w:r>
        <w:t xml:space="preserve"> and the </w:t>
      </w:r>
      <w:r>
        <w:rPr>
          <w:i/>
          <w:iCs/>
        </w:rPr>
        <w:t>Ecclesiastical Hierarchy</w:t>
      </w:r>
      <w:r>
        <w:t xml:space="preserve">, develops a sacramental theology of deification in which the hierarchies of being — angelic and ecclesiastical — are ordered as channels of divine illumination descending from God to creation and channels of created participation ascending from creation toward God. The </w:t>
      </w:r>
      <w:r>
        <w:rPr>
          <w:i/>
          <w:iCs/>
        </w:rPr>
        <w:t>Ecclesiastical Hierarchy</w:t>
      </w:r>
      <w:r>
        <w:t xml:space="preserve"> interprets the major rites of the Church — baptism, Eucharist, chrismation, ordination — as hierarchical mediations of divine deification: each rite </w:t>
      </w:r>
      <w:r>
        <w:rPr>
          <w:i/>
          <w:iCs/>
        </w:rPr>
        <w:t>is</w:t>
      </w:r>
      <w:r>
        <w:t>, ontological</w:t>
      </w:r>
      <w:r>
        <w:t>ly, an act of deification in which the divine energies descend through the sacramental mediation to penetrate and transform the recipient. The bishop (</w:t>
      </w:r>
      <w:r>
        <w:rPr>
          <w:i/>
          <w:iCs/>
        </w:rPr>
        <w:t>hierarch</w:t>
      </w:r>
      <w:r>
        <w:t xml:space="preserve">) occupies the summit of the ecclesiastical hierarchy as the one through whom divine illumination flows to priests, deacons, monks, and laity in descending order — not as power over others but as a mediating role in the transmission of the divine life. The liturgy, for Dionysius, is not a set of symbolic actions that merely recall or represent divine </w:t>
      </w:r>
      <w:r>
        <w:t xml:space="preserve">realities; it is an ontological participation in those realities. To receive the Eucharist is genuinely to participate in the Body and Blood of Christ, and </w:t>
      </w:r>
      <w:r>
        <w:lastRenderedPageBreak/>
        <w:t>therefore genuinely to participate in the deified humanity of Christ, and therefore genuinely to participate in the divine life that the humanity of Christ has received through the Hypostatic Union.</w:t>
      </w:r>
    </w:p>
    <w:p w14:paraId="0C4939AB" w14:textId="77777777" w:rsidR="000E133F" w:rsidRDefault="00EC5ECA">
      <w:pPr>
        <w:spacing w:before="60" w:after="140" w:line="360" w:lineRule="auto"/>
      </w:pPr>
      <w:r>
        <w:t>The Jesus Prayer — "Lord Jesus Christ, Son of God, have mercy on me, a sinner" — functions within the hesychast tradition as the primary vehicle by which the ordinary Christian cooperates with the divine grace of theosis in the daily texture of life. The prayer unites the invocation of the divine Name (which, in the biblical tradition, carries the divine presence) with the humble acknowledgment of creaturely sinfulness; it is the verbal expression of the synergistic movement of the human will toward God tha</w:t>
      </w:r>
      <w:r>
        <w:t xml:space="preserve">t theosis requires. Practiced continuously and in synchronization with the breath — as the </w:t>
      </w:r>
      <w:r>
        <w:rPr>
          <w:i/>
          <w:iCs/>
        </w:rPr>
        <w:t>Philokalia</w:t>
      </w:r>
      <w:r>
        <w:t xml:space="preserve"> tradition recommends — the Jesus Prayer becomes, as the Russian pilgrim of </w:t>
      </w:r>
      <w:r>
        <w:rPr>
          <w:i/>
          <w:iCs/>
        </w:rPr>
        <w:t>The Way of a Pilgrim</w:t>
      </w:r>
      <w:r>
        <w:t xml:space="preserve"> describes, self-acting: it descends from the head to the heart, becomes a ceaseless inner movement of the soul toward God, and eventually constitutes the prayer of the whole person, body and soul, breathing in the divine light with every breath.</w:t>
      </w:r>
    </w:p>
    <w:p w14:paraId="7035FBEE" w14:textId="77777777" w:rsidR="000E133F" w:rsidRDefault="00EC5ECA">
      <w:pPr>
        <w:pStyle w:val="Heading3"/>
      </w:pPr>
      <w:bookmarkStart w:id="50" w:name="_Toc232765277"/>
      <w:r>
        <w:t>4.1.e The Theotokos as the First Fruits of Theosis</w:t>
      </w:r>
      <w:bookmarkEnd w:id="50"/>
    </w:p>
    <w:p w14:paraId="620EDD1C" w14:textId="77777777" w:rsidR="000E133F" w:rsidRDefault="00EC5ECA">
      <w:pPr>
        <w:spacing w:before="60" w:after="140" w:line="360" w:lineRule="auto"/>
      </w:pPr>
      <w:r>
        <w:t>The Mariology of Eastern Orthodoxy cannot be understood apart from its soteriology. Mary the Mother of God (</w:t>
      </w:r>
      <w:r>
        <w:rPr>
          <w:i/>
          <w:iCs/>
        </w:rPr>
        <w:t>Theotokos</w:t>
      </w:r>
      <w:r>
        <w:t>) occupies the unique position in the Orthodox tradition as the human person who has most fully participated in the divine life — the first fruits of theosis, the icon of what humanity is called to become. The Orthodox veneration of the Theotokos is not a peripheral piety; it is a soteriological statement.</w:t>
      </w:r>
    </w:p>
    <w:p w14:paraId="6F455A8E" w14:textId="77777777" w:rsidR="000E133F" w:rsidRDefault="00EC5ECA">
      <w:pPr>
        <w:spacing w:before="60" w:after="140" w:line="360" w:lineRule="auto"/>
      </w:pPr>
      <w:r>
        <w:t xml:space="preserve">Mary's role in salvation is irreplaceable and constitutive. Without her free, fully human </w:t>
      </w:r>
      <w:r>
        <w:rPr>
          <w:i/>
          <w:iCs/>
        </w:rPr>
        <w:t>fiat</w:t>
      </w:r>
      <w:r>
        <w:t xml:space="preserve"> — "Let it be to me according to your word" (Luke 1:38) — the Incarnation could not have happened. Orthodox theology insists on the genuine freedom and genuine significance of her consent: it was not mere passive acceptance but an active cooperation of human freedom with divine grace that became the hinge of the Incarnation. The synergistic character of this cooperation — the same synergism that characterizes theosis throughout — is paradigmatic: Mary is the first to synergize with divine grace on behal</w:t>
      </w:r>
      <w:r>
        <w:t>f of all humanity. In her, the human response to the divine invitation reaches its perfect form.</w:t>
      </w:r>
    </w:p>
    <w:p w14:paraId="52AFDC31" w14:textId="77777777" w:rsidR="000E133F" w:rsidRDefault="00EC5ECA">
      <w:pPr>
        <w:spacing w:before="60" w:after="140" w:line="360" w:lineRule="auto"/>
      </w:pPr>
      <w:r>
        <w:lastRenderedPageBreak/>
        <w:t xml:space="preserve">More than the instrument of the Incarnation, however, Mary is the most fully deified human person. She who "overshadowed" by the Holy Spirit (Luke 1:35) — the same Spirit who rested on the cloud of Sinai and the glory of the Temple — and who carried within her womb the incarnate God for nine months, has been penetrated by the divine presence in a degree unequaled by any other human creature. The Orthodox hymnography witnesses to this understanding: she is called </w:t>
      </w:r>
      <w:r>
        <w:rPr>
          <w:i/>
          <w:iCs/>
        </w:rPr>
        <w:t>Panagia</w:t>
      </w:r>
      <w:r>
        <w:t xml:space="preserve"> (All-Holy), </w:t>
      </w:r>
      <w:r>
        <w:rPr>
          <w:i/>
          <w:iCs/>
        </w:rPr>
        <w:t>achrantos</w:t>
      </w:r>
      <w:r>
        <w:t xml:space="preserve"> (without blemish), </w:t>
      </w:r>
      <w:r>
        <w:rPr>
          <w:i/>
          <w:iCs/>
        </w:rPr>
        <w:t>hupereudokeimene</w:t>
      </w:r>
      <w:r>
        <w:t xml:space="preserve"> (supremely blessed). The </w:t>
      </w:r>
      <w:r>
        <w:rPr>
          <w:i/>
          <w:iCs/>
        </w:rPr>
        <w:t>Akathist Hymn</w:t>
      </w:r>
      <w:r>
        <w:t xml:space="preserve"> — the greatest liturgical poem of the Orthodox tradition — addresses her as "the ladder by which God came down, the bridge that leads from earth to heaven, the door of the ineffable mystery." These are not merely metaphors; they describe her ontological status as the most fully theosized human being, the one through whom heaven and earth were most completely united.</w:t>
      </w:r>
    </w:p>
    <w:p w14:paraId="3F9F1F24" w14:textId="77777777" w:rsidR="000E133F" w:rsidRDefault="00EC5ECA">
      <w:pPr>
        <w:spacing w:before="60" w:after="140" w:line="360" w:lineRule="auto"/>
      </w:pPr>
      <w:r>
        <w:t xml:space="preserve">The Dormition feast — the "Falling Asleep" of the Theotokos, celebrated on August 15 as one of the twelve Great Feasts — is the liturgical expression of this theology. Mary's death was not the death of mere dissolution but the death of one who had so fully received the divine life that death itself was transfigured in her passing. Her glorified body was taken up into heaven, where she intercedes ceaselessly for the world as the most fully theosized intercessor. The Orthodox devotion to Mary is, ultimately, </w:t>
      </w:r>
      <w:r>
        <w:t>devotion to the fullness of human nature as God intends it: not crushed or diminished but elevated, glorified, and made the dwelling-place of the Most High. She is what all of us are called to become.</w:t>
      </w:r>
    </w:p>
    <w:p w14:paraId="567A6BAA" w14:textId="77777777" w:rsidR="000E133F" w:rsidRDefault="00EC5ECA">
      <w:pPr>
        <w:pStyle w:val="Heading2"/>
      </w:pPr>
      <w:bookmarkStart w:id="51" w:name="_Toc232765278"/>
      <w:r>
        <w:t>4.2 Ancestral Sin: The Orthodox Anthropology</w:t>
      </w:r>
      <w:bookmarkEnd w:id="51"/>
    </w:p>
    <w:p w14:paraId="31812C74" w14:textId="77777777" w:rsidR="000E133F" w:rsidRDefault="00EC5ECA">
      <w:pPr>
        <w:pStyle w:val="Heading3"/>
      </w:pPr>
      <w:bookmarkStart w:id="52" w:name="_Toc232765279"/>
      <w:r>
        <w:t>4.2.a The Orthodox Reading of Genesis 3</w:t>
      </w:r>
      <w:bookmarkEnd w:id="52"/>
    </w:p>
    <w:p w14:paraId="439333DC" w14:textId="77777777" w:rsidR="000E133F" w:rsidRDefault="00EC5ECA">
      <w:pPr>
        <w:spacing w:before="60" w:after="140" w:line="360" w:lineRule="auto"/>
      </w:pPr>
      <w:r>
        <w:t>The Orthodox understanding of the Fall differs from the Western Augustinian doctrine at its very foundation. Where Augustine's doctrine of original sin (</w:t>
      </w:r>
      <w:r>
        <w:rPr>
          <w:i/>
          <w:iCs/>
        </w:rPr>
        <w:t>peccatum originale</w:t>
      </w:r>
      <w:r>
        <w:t xml:space="preserve">) focuses on inherited guilt — Adam's specific transgression as a juridical act of disobedience whose guilt is transmitted to all his descendants through the act of generation — the Eastern Orthodox tradition focuses on inherited mortality: what Adam transmitted to his descendants was not his guilt but his death. This difference is not a </w:t>
      </w:r>
      <w:r>
        <w:lastRenderedPageBreak/>
        <w:t>minor theological nicety; it shapes the entire understanding of what salvation is, what God is doing in the Incarnation, and what the human condition fund</w:t>
      </w:r>
      <w:r>
        <w:t>amentally is.</w:t>
      </w:r>
    </w:p>
    <w:p w14:paraId="013950F9" w14:textId="77777777" w:rsidR="000E133F" w:rsidRDefault="00EC5ECA">
      <w:pPr>
        <w:spacing w:before="60" w:after="140" w:line="360" w:lineRule="auto"/>
      </w:pPr>
      <w:r>
        <w:t>In the Orthodox reading of Genesis 3, the Fall is a catastrophe on multiple interlocking dimensions simultaneously. It is, first and most fundamentally, a rupture of communion with God. The human person was created to live in unbroken communion with the Source of all life, goodness, and being; Adam's turning away from God — motivated, the Fathers suggest, by a desire for autonomous self-sufficiency, a grasping after the divine likeness (</w:t>
      </w:r>
      <w:r>
        <w:rPr>
          <w:i/>
          <w:iCs/>
        </w:rPr>
        <w:t>homoiōsis</w:t>
      </w:r>
      <w:r>
        <w:t xml:space="preserve">) by his own initiative rather than by humble reception of God's gift — severed the conduit through which divine life flowed into human nature. Since God is the source and sustainer of all life, separation from God is necessarily the entry of death into human experience. The Fall is not primarily a legal offense for which a penalty must be exacted; it is, in the first instance, a medical catastrophe — the creature has cut itself off from the Source of life and thereby become subject to corruption, </w:t>
      </w:r>
      <w:r>
        <w:t>decay, and death.</w:t>
      </w:r>
    </w:p>
    <w:p w14:paraId="0EE40FF7" w14:textId="77777777" w:rsidR="000E133F" w:rsidRDefault="00EC5ECA">
      <w:pPr>
        <w:spacing w:before="60" w:after="140" w:line="360" w:lineRule="auto"/>
      </w:pPr>
      <w:r>
        <w:t xml:space="preserve">The consequences of this rupture are multiple. Death enters the world: physical death, as the natural result of the body being deprived of its divine sustenance; but also spiritual death, the darkening of the intellect (the Greek Fathers speak of the </w:t>
      </w:r>
      <w:r>
        <w:rPr>
          <w:i/>
          <w:iCs/>
        </w:rPr>
        <w:t>nous</w:t>
      </w:r>
      <w:r>
        <w:t xml:space="preserve"> — the highest faculty of the soul, the organ of divine contemplation — as becoming obscured and confused by the Fall); and the moral disruption that the tradition calls the </w:t>
      </w:r>
      <w:r>
        <w:rPr>
          <w:i/>
          <w:iCs/>
        </w:rPr>
        <w:t>domination of the passions</w:t>
      </w:r>
      <w:r>
        <w:t xml:space="preserve"> — the loss of the soul's governance over the bodily drives, so that appetite, anger, lust, fear, and grief begin to exercise an exaggerated tyranny over the person's actions and choices. The human person was designed so that the spirit (</w:t>
      </w:r>
      <w:r>
        <w:rPr>
          <w:i/>
          <w:iCs/>
        </w:rPr>
        <w:t>pneuma</w:t>
      </w:r>
      <w:r>
        <w:t>) would govern the soul (</w:t>
      </w:r>
      <w:r>
        <w:rPr>
          <w:i/>
          <w:iCs/>
        </w:rPr>
        <w:t>psychē</w:t>
      </w:r>
      <w:r>
        <w:t xml:space="preserve">), and the soul would govern the </w:t>
      </w:r>
      <w:r>
        <w:t>body (</w:t>
      </w:r>
      <w:r>
        <w:rPr>
          <w:i/>
          <w:iCs/>
        </w:rPr>
        <w:t>sōma</w:t>
      </w:r>
      <w:r>
        <w:t xml:space="preserve">); the Fall inverted this hierarchy, as the body's urgent demands — driven now by the instinct of mortal creatures to survive and reproduce — came to dominate the disordered soul. As Maximus the Confessor analyzes in the </w:t>
      </w:r>
      <w:r>
        <w:rPr>
          <w:i/>
          <w:iCs/>
        </w:rPr>
        <w:t>Ambigua</w:t>
      </w:r>
      <w:r>
        <w:t xml:space="preserve">: after the Fall, the human person became structured around the </w:t>
      </w:r>
      <w:r>
        <w:rPr>
          <w:i/>
          <w:iCs/>
        </w:rPr>
        <w:t>philautia</w:t>
      </w:r>
      <w:r>
        <w:t xml:space="preserve"> — self-love, the love of one's mortal self rather than of God — and all the passions flow from this fundamental distortion.</w:t>
      </w:r>
    </w:p>
    <w:p w14:paraId="5E45305A" w14:textId="77777777" w:rsidR="000E133F" w:rsidRDefault="00EC5ECA">
      <w:pPr>
        <w:spacing w:before="60" w:after="140" w:line="360" w:lineRule="auto"/>
      </w:pPr>
      <w:r>
        <w:t xml:space="preserve">It is crucial to note what the Orthodox tradition does </w:t>
      </w:r>
      <w:r>
        <w:rPr>
          <w:i/>
          <w:iCs/>
        </w:rPr>
        <w:t>not</w:t>
      </w:r>
      <w:r>
        <w:t xml:space="preserve"> say about the Fall. It does not say that Adam's specific guilt — his particular act of disobedience — is passed to his </w:t>
      </w:r>
      <w:r>
        <w:lastRenderedPageBreak/>
        <w:t xml:space="preserve">descendants in the sense that each descendant is guilty of and responsible for Adam's act. The Orthodox Fathers uniformly distinguish between the condition inherited from Adam (mortality and corruption) and the personal moral responsibility that attaches only to one's own freely chosen acts. The Confession of Dositheus (Jerusalem, 1672) expresses the consensus succinctly: "We believe that </w:t>
      </w:r>
      <w:r>
        <w:t>the first man created by God fell in Paradise, and that hereditary sin flowed to his posterity; so that none is free from this burden, and the fruits of it in this present world." But "hereditary sin" here is understood as the condition of mortality and corruption, not as personal guilt for Adam's specific act.</w:t>
      </w:r>
    </w:p>
    <w:p w14:paraId="1F5CC5D3" w14:textId="77777777" w:rsidR="000E133F" w:rsidRDefault="00EC5ECA">
      <w:pPr>
        <w:pStyle w:val="Heading3"/>
      </w:pPr>
      <w:bookmarkStart w:id="53" w:name="_Toc232765280"/>
      <w:r>
        <w:t>4.2.b The Greek Text of Romans 5:12 and the Patristic Exegesis</w:t>
      </w:r>
      <w:bookmarkEnd w:id="53"/>
    </w:p>
    <w:p w14:paraId="451DF8A2" w14:textId="77777777" w:rsidR="000E133F" w:rsidRDefault="00EC5ECA">
      <w:pPr>
        <w:spacing w:before="60" w:after="140" w:line="360" w:lineRule="auto"/>
      </w:pPr>
      <w:r>
        <w:t xml:space="preserve">The exegetical crux of the entire debate between Eastern and Western understandings of the Fall is the phrase </w:t>
      </w:r>
      <w:r>
        <w:rPr>
          <w:i/>
          <w:iCs/>
        </w:rPr>
        <w:t>eph' hō pantes hēmarton</w:t>
      </w:r>
      <w:r>
        <w:t xml:space="preserve"> in Romans 5:12: "Therefore, just as sin entered the world through one man, and death through sin, and so death spread (</w:t>
      </w:r>
      <w:r>
        <w:rPr>
          <w:i/>
          <w:iCs/>
        </w:rPr>
        <w:t>diēlthen</w:t>
      </w:r>
      <w:r>
        <w:t xml:space="preserve">) to all people — </w:t>
      </w:r>
      <w:r>
        <w:rPr>
          <w:i/>
          <w:iCs/>
        </w:rPr>
        <w:t>eph' hō pantes hēmarton</w:t>
      </w:r>
      <w:r>
        <w:t>." The entire weight of the Eastern understanding of the Fall depends on the correct interpretation of this prepositional phrase.</w:t>
      </w:r>
    </w:p>
    <w:p w14:paraId="29D8358C" w14:textId="77777777" w:rsidR="000E133F" w:rsidRDefault="00EC5ECA">
      <w:pPr>
        <w:spacing w:before="60" w:after="140" w:line="360" w:lineRule="auto"/>
      </w:pPr>
      <w:r>
        <w:t xml:space="preserve">Augustine, reading the Latin Vulgate translation </w:t>
      </w:r>
      <w:r>
        <w:rPr>
          <w:i/>
          <w:iCs/>
        </w:rPr>
        <w:t>in quo omnes peccaverunt</w:t>
      </w:r>
      <w:r>
        <w:t xml:space="preserve"> — "in whom all sinned" — understood the phrase to mean that all humanity sinned </w:t>
      </w:r>
      <w:r>
        <w:rPr>
          <w:i/>
          <w:iCs/>
        </w:rPr>
        <w:t>in</w:t>
      </w:r>
      <w:r>
        <w:t xml:space="preserve"> Adam, in his person, as in a federal or biological representative. This reading supports the doctrine of inherited guilt: if we all sinned in Adam, then we are all guilty of Adam's act. But this reading depends on a mistranslation: the Latin translator rendered the Greek </w:t>
      </w:r>
      <w:r>
        <w:rPr>
          <w:i/>
          <w:iCs/>
        </w:rPr>
        <w:t>eph' hō</w:t>
      </w:r>
      <w:r>
        <w:t xml:space="preserve"> (a prepositional phrase using the neuter relative pronoun </w:t>
      </w:r>
      <w:r>
        <w:rPr>
          <w:i/>
          <w:iCs/>
        </w:rPr>
        <w:t>ho</w:t>
      </w:r>
      <w:r>
        <w:t xml:space="preserve">) as </w:t>
      </w:r>
      <w:r>
        <w:rPr>
          <w:i/>
          <w:iCs/>
        </w:rPr>
        <w:t>in quo</w:t>
      </w:r>
      <w:r>
        <w:t xml:space="preserve"> (in whom), connecting the relative pronoun back to A</w:t>
      </w:r>
      <w:r>
        <w:t xml:space="preserve">dam as an antecedent. But the Greek construction </w:t>
      </w:r>
      <w:r>
        <w:rPr>
          <w:i/>
          <w:iCs/>
        </w:rPr>
        <w:t>eph' hō</w:t>
      </w:r>
      <w:r>
        <w:t xml:space="preserve"> with a neuter pronoun cannot naturally refer back to the masculine </w:t>
      </w:r>
      <w:r>
        <w:rPr>
          <w:i/>
          <w:iCs/>
        </w:rPr>
        <w:t>henos anthrōpou</w:t>
      </w:r>
      <w:r>
        <w:t xml:space="preserve"> (one man) without significant grammatical strain. The natural reading of the Greek — the reading consistently followed by the Eastern Fathers who were native Greek speakers and read the text in its original — is that </w:t>
      </w:r>
      <w:r>
        <w:rPr>
          <w:i/>
          <w:iCs/>
        </w:rPr>
        <w:t>eph' hō</w:t>
      </w:r>
      <w:r>
        <w:t xml:space="preserve"> is a causal conjunction equivalent to </w:t>
      </w:r>
      <w:r>
        <w:rPr>
          <w:i/>
          <w:iCs/>
        </w:rPr>
        <w:t>hoti</w:t>
      </w:r>
      <w:r>
        <w:t xml:space="preserve"> or </w:t>
      </w:r>
      <w:r>
        <w:rPr>
          <w:i/>
          <w:iCs/>
        </w:rPr>
        <w:t>dioti</w:t>
      </w:r>
      <w:r>
        <w:t>, meaning "because" or "in consequence of which." Thus the verse reads: "death spread to all peo</w:t>
      </w:r>
      <w:r>
        <w:t xml:space="preserve">ple </w:t>
      </w:r>
      <w:r>
        <w:rPr>
          <w:i/>
          <w:iCs/>
        </w:rPr>
        <w:t>because all sinned</w:t>
      </w:r>
      <w:r>
        <w:t>."</w:t>
      </w:r>
    </w:p>
    <w:p w14:paraId="668AF567" w14:textId="77777777" w:rsidR="000E133F" w:rsidRDefault="00EC5ECA">
      <w:pPr>
        <w:spacing w:before="60" w:after="140" w:line="360" w:lineRule="auto"/>
      </w:pPr>
      <w:r>
        <w:lastRenderedPageBreak/>
        <w:t xml:space="preserve">John Chrysostom, the greatest Greek-speaking biblical exegete of the patristic era, reading the text in its own language and within the linguistic and theological tradition of the Greek-speaking East, interprets Romans 5:12 with characteristic directness in his </w:t>
      </w:r>
      <w:r>
        <w:rPr>
          <w:i/>
          <w:iCs/>
        </w:rPr>
        <w:t>Homily 10 on Romans</w:t>
      </w:r>
      <w:r>
        <w:t>: "But what means, 'for that all have sinned?' This: he having once fallen, even they that had not eaten of the tree did from him, all of them, become mortal." Chrysostom's interpretation is unambiguous: the phrase "all have sinned" explains the universality of death, and the explanation is not that all shared in Adam's guilt but that "even they that had not eaten of the tree did from him, all of them, become mortal." The connection between Adam and his descendants is mortality, not guilt</w:t>
      </w:r>
      <w:r>
        <w:t>; and mortality is the cause of universal sinning, not its effect.</w:t>
      </w:r>
    </w:p>
    <w:p w14:paraId="7BF55D6F" w14:textId="77777777" w:rsidR="000E133F" w:rsidRDefault="00EC5ECA">
      <w:pPr>
        <w:spacing w:before="60" w:after="140" w:line="360" w:lineRule="auto"/>
      </w:pPr>
      <w:r>
        <w:t>This reading is confirmed and deepened by Chrysostom's further analysis: he establishes that it was "not this sin, the transgression, that is, of the Law, but that of Adam's disobedience, which marred all things." His proof is elegant: death reigned universally "from Adam to Moses" (Romans 5:14), before the Mosaic Law existed; since "sin is not imputed where there is no law" (Romans 5:13), the deaths of those between Adam and Moses cannot be explained by their personal transgressions against a law. The caus</w:t>
      </w:r>
      <w:r>
        <w:t>e of death, therefore, must be traced to Adam's disobedience: "even they that had not eaten of the tree did from him, all of them, become mortal." When Chrysostom then interprets the word "sinners" in verse 19 ("by one man's disobedience many were made sinners"), he carefully qualifies it: "What then does the word 'sinners' mean here? To me it seems to mean liable to punishment and condemned to death." The "sinners" of Romans 5:19 are not those who are guilty of Adam's personal act but those who have become</w:t>
      </w:r>
      <w:r>
        <w:t xml:space="preserve"> mortal through him — and who, being mortal, inevitably sin in their own persons in response to the conditions of mortality.</w:t>
      </w:r>
    </w:p>
    <w:p w14:paraId="0F0E768B" w14:textId="77777777" w:rsidR="000E133F" w:rsidRDefault="00EC5ECA">
      <w:pPr>
        <w:spacing w:before="60" w:after="140" w:line="360" w:lineRule="auto"/>
      </w:pPr>
      <w:r>
        <w:t>Theodoret of Cyrrhus, another great Greek-speaking exegete, confirms this reading with equal clarity. In his commentary on Romans, Theodoret explicitly rejects the Augustinian interpretation: "We learn from all these passages not that the power of sin is built into human nature — for if that were the case, we would not be liable to punishment — but that our nature is inclined to slip and fall, as it is undermined by the passions." The inclination to sin is not a built-in guilt but a condition of the weakene</w:t>
      </w:r>
      <w:r>
        <w:t xml:space="preserve">d, mortality-burdened nature. Personal sin is still genuinely personal and genuinely free; it </w:t>
      </w:r>
      <w:r>
        <w:lastRenderedPageBreak/>
        <w:t>flows not from an inescapable nature but from the freely chosen responses of a will that is weakened but not destroyed by the ancestral condition.</w:t>
      </w:r>
    </w:p>
    <w:p w14:paraId="38E678DB" w14:textId="77777777" w:rsidR="000E133F" w:rsidRDefault="00EC5ECA">
      <w:pPr>
        <w:spacing w:before="60" w:after="140" w:line="360" w:lineRule="auto"/>
      </w:pPr>
      <w:r>
        <w:t xml:space="preserve">Cyril of Alexandria, despite his sympathies with the West on many points, follows the same line of reasoning: "Our nature became diseased through the sin of one, that is, of Adam. Thus all were made sinners, not by being co-transgressors with Adam... but by being of his nature and falling under the law of sin." The disease is real; the personal guilt is individual. Human nature is infected, but each person contracts the infection in the mode of freely chosen sin, not as passively inheriting the exact guilt </w:t>
      </w:r>
      <w:r>
        <w:t>of the first transgression.</w:t>
      </w:r>
    </w:p>
    <w:p w14:paraId="7CB73289" w14:textId="77777777" w:rsidR="000E133F" w:rsidRDefault="00EC5ECA">
      <w:pPr>
        <w:spacing w:before="60" w:after="140" w:line="360" w:lineRule="auto"/>
      </w:pPr>
      <w:r>
        <w:t>The theological implications of this difference are enormous. If the primary problem is death and corruption, rather than inherited guilt, then the solution must be ontological rather than forensic. What is needed is not a payment of debt or a satisfaction of divine wrath but a healing of the disease — a conquest of death from within the human condition. And this is precisely what the Orthodox theology of the Incarnation provides: by assuming human nature in its mortality and corruption (without assuming it</w:t>
      </w:r>
      <w:r>
        <w:t>s sinfulness — the key clarification), the divine Logos healed human nature from within. By dying in the mortal humanity He had assumed, He conquered death from within that humanity. By rising in the same humanity, He gave to it the incorruption and immortality that it had lost. The resurrection of Christ is not merely a demonstration of His divine power; it is the ontological event in which humanity's conquered mortality is replaced with the divine gift of incorruptible life.</w:t>
      </w:r>
    </w:p>
    <w:p w14:paraId="1B1AAED4" w14:textId="77777777" w:rsidR="000E133F" w:rsidRDefault="00EC5ECA">
      <w:pPr>
        <w:pStyle w:val="Heading3"/>
      </w:pPr>
      <w:bookmarkStart w:id="54" w:name="_Toc232765281"/>
      <w:r>
        <w:t>4.2.c The Theological Implications</w:t>
      </w:r>
      <w:bookmarkEnd w:id="54"/>
    </w:p>
    <w:p w14:paraId="69B1B4A2" w14:textId="77777777" w:rsidR="000E133F" w:rsidRDefault="00EC5ECA">
      <w:pPr>
        <w:spacing w:before="60" w:after="140" w:line="360" w:lineRule="auto"/>
      </w:pPr>
      <w:r>
        <w:t>The distinction between ancestral sin and original sin in the Augustinian sense has profound implications for how one understands every other aspect of Christian doctrine.</w:t>
      </w:r>
    </w:p>
    <w:p w14:paraId="616B9ED7" w14:textId="77777777" w:rsidR="000E133F" w:rsidRDefault="00EC5ECA">
      <w:pPr>
        <w:spacing w:before="60" w:after="140" w:line="360" w:lineRule="auto"/>
      </w:pPr>
      <w:r>
        <w:t>First, it means that sin is primarily a disease (</w:t>
      </w:r>
      <w:r>
        <w:rPr>
          <w:i/>
          <w:iCs/>
        </w:rPr>
        <w:t>nosos</w:t>
      </w:r>
      <w:r>
        <w:t xml:space="preserve">, </w:t>
      </w:r>
      <w:r>
        <w:rPr>
          <w:i/>
          <w:iCs/>
        </w:rPr>
        <w:t>asthenia</w:t>
      </w:r>
      <w:r>
        <w:t>) rather than a crime (</w:t>
      </w:r>
      <w:r>
        <w:rPr>
          <w:i/>
          <w:iCs/>
        </w:rPr>
        <w:t>adikēma</w:t>
      </w:r>
      <w:r>
        <w:t xml:space="preserve">, </w:t>
      </w:r>
      <w:r>
        <w:rPr>
          <w:i/>
          <w:iCs/>
        </w:rPr>
        <w:t>parabasis</w:t>
      </w:r>
      <w:r>
        <w:t xml:space="preserve">). The word </w:t>
      </w:r>
      <w:r>
        <w:rPr>
          <w:i/>
          <w:iCs/>
        </w:rPr>
        <w:t>hamartia</w:t>
      </w:r>
      <w:r>
        <w:t xml:space="preserve"> in Greek means, literally, "a missing of the mark" — a deviation from the proper telos of human existence, a falling short of what one was made to be. When the Greek Fathers analyze sin, they consistently use medical rather than forensic metaphors: sin is a corruption of nature, an illness that weakens the will and darkens the intellect, not primarily a willful defiance of a legal code. This </w:t>
      </w:r>
      <w:r>
        <w:lastRenderedPageBreak/>
        <w:t>medical framework governs the entire Ort</w:t>
      </w:r>
      <w:r>
        <w:t>hodox understanding of repentance (</w:t>
      </w:r>
      <w:r>
        <w:rPr>
          <w:i/>
          <w:iCs/>
        </w:rPr>
        <w:t>metanoia</w:t>
      </w:r>
      <w:r>
        <w:t>), spiritual warfare, and the sacramental life: the goal is not to satisfy a divine penalty but to heal a sick nature. The confession of sins to a priest is understood not as a legal transaction by which divine wrath is appeased but as a medical procedure — the honest diagnosis of the disease to a physician who will prescribe the appropriate medicine (</w:t>
      </w:r>
      <w:r>
        <w:rPr>
          <w:i/>
          <w:iCs/>
        </w:rPr>
        <w:t>pharmakon</w:t>
      </w:r>
      <w:r>
        <w:t>, a word used for the Eucharist by Ignatius of Antioch).</w:t>
      </w:r>
    </w:p>
    <w:p w14:paraId="78B97ED6" w14:textId="77777777" w:rsidR="000E133F" w:rsidRDefault="00EC5ECA">
      <w:pPr>
        <w:spacing w:before="60" w:after="140" w:line="360" w:lineRule="auto"/>
      </w:pPr>
      <w:r>
        <w:t xml:space="preserve">Second, the Orthodox understanding of death as the primary consequence of the Fall — "the last enemy to be destroyed is death" (1 Corinthians 15:26) — gives the resurrection of Christ a soteriological centrality that Western atonement theories sometimes obscure. In theories that focus primarily on the satisfaction of divine justice through the suffering and death of Christ, the resurrection is important but secondary — primarily an evidential demonstration that Christ's death was accepted by the Father. In </w:t>
      </w:r>
      <w:r>
        <w:t>Orthodox soteriology, the resurrection is not secondary to the death but its necessary counterpart and culmination: Christ dies to enter death from within and destroy it from within; He rises to give the deathless divine life to the humanity He has assumed. Without the resurrection, there is no victory; with the resurrection, there is not merely forgiveness but divinization.</w:t>
      </w:r>
    </w:p>
    <w:p w14:paraId="7F43C4AF" w14:textId="77777777" w:rsidR="000E133F" w:rsidRDefault="00EC5ECA">
      <w:pPr>
        <w:spacing w:before="60" w:after="140" w:line="360" w:lineRule="auto"/>
      </w:pPr>
      <w:r>
        <w:t xml:space="preserve">Third, the preservation of genuine human freedom and genuine personal responsibility is essential to the Orthodox anthropology in a way that is sometimes compromised in Western frameworks. If guilt is inherited from Adam, then human beings are guilty of something they did not freely choose — which generates the famous philosophical problem of the justice of punishing persons for what they did not do. The Orthodox tradition sidesteps this problem entirely: personal guilt attaches only to personal acts. What </w:t>
      </w:r>
      <w:r>
        <w:t>is inherited from Adam is a condition — mortality, weakness, the darkened intellect, the disordered passions — that constitutes the environment in which sin becomes, not inevitable in a deterministic sense, but overwhelmingly probable. "All have sinned and fall short of the glory of God" (Romans 3:23) is not because all are guilty of Adam's act but because all, being mortal and corrupted, inevitably succumb in their own freely chosen acts to the temptations that mortality entails. This is a crucial differen</w:t>
      </w:r>
      <w:r>
        <w:t>ce: the Orthodox tradition never denies genuine personal responsibility for sin, and never finds that sinners are innocent because "their nature made them do it."</w:t>
      </w:r>
    </w:p>
    <w:p w14:paraId="65DD71F8" w14:textId="77777777" w:rsidR="000E133F" w:rsidRDefault="00EC5ECA">
      <w:pPr>
        <w:pStyle w:val="Heading2"/>
      </w:pPr>
      <w:bookmarkStart w:id="55" w:name="_Toc232765282"/>
      <w:r>
        <w:lastRenderedPageBreak/>
        <w:t>4.3 The Atonement: Christus Victor, Recapitulation, and the Orthodox Critique of Penal Substitution</w:t>
      </w:r>
      <w:bookmarkEnd w:id="55"/>
    </w:p>
    <w:p w14:paraId="7B6A35CB" w14:textId="77777777" w:rsidR="000E133F" w:rsidRDefault="00EC5ECA">
      <w:pPr>
        <w:pStyle w:val="Heading3"/>
      </w:pPr>
      <w:bookmarkStart w:id="56" w:name="_Toc232765283"/>
      <w:r>
        <w:t>4.3.a The Orthodox Atonement: Christ's Death as the Defeat of Death</w:t>
      </w:r>
      <w:bookmarkEnd w:id="56"/>
    </w:p>
    <w:p w14:paraId="349EB2DE" w14:textId="77777777" w:rsidR="000E133F" w:rsidRDefault="00EC5ECA">
      <w:pPr>
        <w:spacing w:before="60" w:after="140" w:line="360" w:lineRule="auto"/>
      </w:pPr>
      <w:r>
        <w:t xml:space="preserve">The Orthodox understanding of the atonement is best expressed not in a system of propositions but in the Paschal troparion, sung hundreds of times at Pascha and echoing through Orthodox worship throughout the year: </w:t>
      </w:r>
      <w:r>
        <w:rPr>
          <w:i/>
          <w:iCs/>
        </w:rPr>
        <w:t>Christos anestē ek nekrōn, thanatō thanaton patēsas, kai tois en tois mnēmasin zōēn charissamenos</w:t>
      </w:r>
      <w:r>
        <w:t xml:space="preserve"> — "Christ is risen from the dead, trampling down death by death, and upon those in the tombs bestowing life." The soteriological model expressed here is not forensic but cosmological: death is an enemy that has tyrannized humanity; Christ enters death, and by the power of His divine indestructibility He destroys death from within; those who were held in the tombs — in Hades, in the power of death — receive life</w:t>
      </w:r>
      <w:r>
        <w:t>. This is the Christus Victor framework in its most concentrated Orthodox form, and it is not a theological position taken by some Orthodox thinkers; it is the dogmatic-liturgical confession of the whole Church at the most important moment of its liturgical year.</w:t>
      </w:r>
    </w:p>
    <w:p w14:paraId="4740CDE2" w14:textId="77777777" w:rsidR="000E133F" w:rsidRDefault="00EC5ECA">
      <w:pPr>
        <w:spacing w:before="60" w:after="140" w:line="360" w:lineRule="auto"/>
      </w:pPr>
      <w:r>
        <w:t xml:space="preserve">Irenaeus of Lyons develops the recapitulation model of the atonement in </w:t>
      </w:r>
      <w:r>
        <w:rPr>
          <w:i/>
          <w:iCs/>
        </w:rPr>
        <w:t>Adversus Haereses</w:t>
      </w:r>
      <w:r>
        <w:t xml:space="preserve"> V.21 with a vividness and theological force that has never been surpassed. Christ "recapitulated in Himself the ancient formation of man, that He might kill sin, deprive death of its power, and vivify man." The mechanism of this recapitulation is Christ's obedience where Adam disobeyed: "For as by the disobedience of the one man who was originally moulded from virgin soil, the many were made sinners, and forfeited life; so was it necessary that, by the obedience of one man, who was origina</w:t>
      </w:r>
      <w:r>
        <w:t>lly born from a virgin, many should be justified and receive salvation." Irenaeus traces the parallelism with great care: where Adam was formed from virgin earth, Christ was born of a Virgin; where Adam sinned in a garden, Christ sweat blood in a garden; where Adam disobeyed concerning a tree, Christ obeyed unto death on a tree; where Eve was deceived to bring death into the world, Mary obeyed to bring life. The entire human story is lived through again, this time rightly, by the New Adam who sums up (</w:t>
      </w:r>
      <w:r>
        <w:rPr>
          <w:i/>
          <w:iCs/>
        </w:rPr>
        <w:t>anake</w:t>
      </w:r>
      <w:r>
        <w:rPr>
          <w:i/>
          <w:iCs/>
        </w:rPr>
        <w:t>phalaioō</w:t>
      </w:r>
      <w:r>
        <w:t>) the old Adam and all his race.</w:t>
      </w:r>
    </w:p>
    <w:p w14:paraId="1C272BC6" w14:textId="77777777" w:rsidR="000E133F" w:rsidRDefault="00EC5ECA">
      <w:pPr>
        <w:spacing w:before="60" w:after="140" w:line="360" w:lineRule="auto"/>
      </w:pPr>
      <w:r>
        <w:lastRenderedPageBreak/>
        <w:t>The Harrowing of Hell — Christ's descent to Hades between His death and resurrection — is central to the Orthodox atonement theology in a way that is often insufficiently acknowledged in Western theologies. The death of Christ is not merely a legal event on the surface of history; it is a descent into the very stronghold of death, the ultimate liberation of all those held captive by the power of the last enemy. The great icon of the Anastasis (</w:t>
      </w:r>
      <w:r>
        <w:rPr>
          <w:i/>
          <w:iCs/>
        </w:rPr>
        <w:t>anastasis</w:t>
      </w:r>
      <w:r>
        <w:t xml:space="preserve"> = resurrection) — the icon used in Orthodox churches during Pascha — depicts not the empty tomb but the Harrowing of Hell: Christ stands over the shattered gates of Hades, grasps the hands of Adam and Eve, and lifts them from their tombs. Behind them stand the kings and prophets of the Old Testament. This is not illustrative art; it is theological statement: the atonement reaches backward through all of human history, gathering up all who died in hope before the Incarnation, and forward into the f</w:t>
      </w:r>
      <w:r>
        <w:t>uture of all those who will be united to Christ through baptism and the sacramental life.</w:t>
      </w:r>
    </w:p>
    <w:p w14:paraId="25C70826" w14:textId="77777777" w:rsidR="000E133F" w:rsidRDefault="00EC5ECA">
      <w:pPr>
        <w:spacing w:before="60" w:after="140" w:line="360" w:lineRule="auto"/>
      </w:pPr>
      <w:r>
        <w:t xml:space="preserve">Gregory of Nyssa's </w:t>
      </w:r>
      <w:r>
        <w:rPr>
          <w:i/>
          <w:iCs/>
        </w:rPr>
        <w:t>Great Catechism</w:t>
      </w:r>
      <w:r>
        <w:t xml:space="preserve"> — specifically chapters 22–24 — develops an atonement theology of considerable imaginative force and philosophical sophistication. Gregory's analysis begins with the problem of justice: humanity, by its own free choice, had sold itself to the devil. As a free act, this self-enslavement had a moral character; it could not simply be reversed by divine fiat without violating the freedom that constitutes the image of God in the human person. "After we had thus freely sold ourselves to the deceiver, He who of H</w:t>
      </w:r>
      <w:r>
        <w:t xml:space="preserve">is goodness sought to restore us to liberty could not, because He was just too, for this end have recourse to measures of arbitrary violence. It was necessary therefore that a ransom should be paid." The ransom offered was the humanity of Christ — which the devil, dazzled by its supreme worth (greater than all the fallen human race), eagerly accepted in exchange for his captive humanity. But the devil did not realize what he was really accepting: "the Deity was hidden under the veil of our nature, that so, </w:t>
      </w:r>
      <w:r>
        <w:t>as with ravenous fish, the hook of the Deity might be gulped down along with the bait of the Body." Having accepted the body of Christ as ransom, the devil was "hooked" by the divinity concealed within it; he could not hold the divine-human Person in the power of death, and so death itself was destroyed from within.</w:t>
      </w:r>
    </w:p>
    <w:p w14:paraId="5F905CA4" w14:textId="77777777" w:rsidR="000E133F" w:rsidRDefault="00EC5ECA">
      <w:pPr>
        <w:spacing w:before="60" w:after="140" w:line="360" w:lineRule="auto"/>
      </w:pPr>
      <w:r>
        <w:lastRenderedPageBreak/>
        <w:t>Gregory is fully aware that his fishhook metaphor can appear to impugn the divine integrity — is it honorable for God to use deception? He defends the divine "deception" (Gregory of Nazianzus, by contrast, explicitly rejects the fishhook metaphor) on the grounds of lex talionis: "He, as well as humanity, will be purged. The same One who first deceived man by the bait of sensual pleasure is himself deceived by the presentment of the human form... He who first deceived man by the bait of sensual pleasure is h</w:t>
      </w:r>
      <w:r>
        <w:t>imself deceived by the presentment of the human form. But as regards the aim and purpose of what took place, a change in the direction of the nobler is involved; for whereas he, the enemy, effected his deception for the ruin of our nature, He Who is at once the just, and good, and wise One, used His device, in which there was deception, for the salvation of him who had perished" (ch. 26). Whatever one makes of the specific imagery — and Gregory himself acknowledges the mythological character of the fishhook</w:t>
      </w:r>
      <w:r>
        <w:t xml:space="preserve"> — the theological structure is clear: Christ's death is not a payment to an offended divine justice but a victory over the power that held humanity in bondage.</w:t>
      </w:r>
    </w:p>
    <w:p w14:paraId="403EDA51" w14:textId="77777777" w:rsidR="000E133F" w:rsidRDefault="00EC5ECA">
      <w:pPr>
        <w:spacing w:before="60" w:after="140" w:line="360" w:lineRule="auto"/>
      </w:pPr>
      <w:r>
        <w:t xml:space="preserve">John of Damascus, in his </w:t>
      </w:r>
      <w:r>
        <w:rPr>
          <w:i/>
          <w:iCs/>
        </w:rPr>
        <w:t>Exact Exposition of the Orthodox Faith</w:t>
      </w:r>
      <w:r>
        <w:t xml:space="preserve"> (III.27), synthesizes the patristic tradition with his characteristic precision: "He suffered death for our sake and rose from the dead, that we might rise again to life. By His own death, He broke the power of the devil, and He gave Himself as ransom for our sake, that we might be freed from condemnation." Damascus's language includes both ransom imagery and the language of freedom from condemnation — but the condemnation is the condemnation of mortality, not the cond</w:t>
      </w:r>
      <w:r>
        <w:t>emnation of a divine judicial verdict against a guilty humanity. The ransom is not paid to an offended divine justice but offered in the face of the power that held humanity captive. And the ransom that shatters the captivity is Christ's death-and-resurrection in their inseparable unity.</w:t>
      </w:r>
    </w:p>
    <w:p w14:paraId="464A2DFE" w14:textId="77777777" w:rsidR="000E133F" w:rsidRDefault="00EC5ECA">
      <w:pPr>
        <w:pStyle w:val="Heading3"/>
      </w:pPr>
      <w:bookmarkStart w:id="57" w:name="_Toc232765284"/>
      <w:r>
        <w:t>4.3.b The Divine Liturgy as the Theological Locus of Orthodox Atonement Theology</w:t>
      </w:r>
      <w:bookmarkEnd w:id="57"/>
    </w:p>
    <w:p w14:paraId="26D33793" w14:textId="77777777" w:rsidR="000E133F" w:rsidRDefault="00EC5ECA">
      <w:pPr>
        <w:spacing w:before="60" w:after="140" w:line="360" w:lineRule="auto"/>
      </w:pPr>
      <w:r>
        <w:t xml:space="preserve">Alexander Schmemann's profound insight in </w:t>
      </w:r>
      <w:r>
        <w:rPr>
          <w:i/>
          <w:iCs/>
        </w:rPr>
        <w:t>For the Life of the World</w:t>
      </w:r>
      <w:r>
        <w:t xml:space="preserve"> (1963) is that Orthodox atonement theology is not primarily a theoretical position articulated in dogmatic texts but a living reality enacted in the Divine Liturgy. The very title of Schmemann's work is drawn from the language of atonement: Christ died "for the life of the world" (</w:t>
      </w:r>
      <w:r>
        <w:rPr>
          <w:i/>
          <w:iCs/>
        </w:rPr>
        <w:t>hyper tēs tou kosmou zōēs</w:t>
      </w:r>
      <w:r>
        <w:t xml:space="preserve"> — the phrase from the Divine Liturgy's prayer </w:t>
      </w:r>
      <w:r>
        <w:lastRenderedPageBreak/>
        <w:t xml:space="preserve">during the Great Entrance, echoing John 6:51). This "for" — </w:t>
      </w:r>
      <w:r>
        <w:rPr>
          <w:i/>
          <w:iCs/>
        </w:rPr>
        <w:t>hyper</w:t>
      </w:r>
      <w:r>
        <w:t xml:space="preserve"> — is not the </w:t>
      </w:r>
      <w:r>
        <w:rPr>
          <w:i/>
          <w:iCs/>
        </w:rPr>
        <w:t>hyper</w:t>
      </w:r>
      <w:r>
        <w:t xml:space="preserve"> of penal substitution ("instead of, in the plac</w:t>
      </w:r>
      <w:r>
        <w:t xml:space="preserve">e of, taking the punishment due to"), but the </w:t>
      </w:r>
      <w:r>
        <w:rPr>
          <w:i/>
          <w:iCs/>
        </w:rPr>
        <w:t>hyper</w:t>
      </w:r>
      <w:r>
        <w:t xml:space="preserve"> of self-giving love: Christ gives Himself for the world's life, in order that the world might have life. The atonement is fundamentally about the restoration of life to a death-dominated world, not about the satisfaction of a legal principle.</w:t>
      </w:r>
    </w:p>
    <w:p w14:paraId="1007D520" w14:textId="77777777" w:rsidR="000E133F" w:rsidRDefault="00EC5ECA">
      <w:pPr>
        <w:spacing w:before="60" w:after="140" w:line="360" w:lineRule="auto"/>
      </w:pPr>
      <w:r>
        <w:t xml:space="preserve">Schmemann argues that the Eucharist is the atonement made present and participable. When the Church gathers to celebrate the Divine Liturgy, it is not merely commemorating a past event; it is entering into the eternal self-offering of Christ, the Lamb "slain from the foundation of the world" (Revelation 13:8). The Liturgy takes the assembled people through the death and resurrection of Christ as an event in which they genuinely participate: they die with Christ (in baptism, renewed at each Eucharist), they </w:t>
      </w:r>
      <w:r>
        <w:t>are buried with Christ (the Great Entrance, in which the gifts are carried through the nave to the altar in a funeral procession), they rise with Christ (the anaphora, the great prayer of thanksgiving and consecration, in which the Holy Spirit descends and transforms the offerings). The participation is not symbolic or theatrical; it is sacramental — genuinely mediating the deifying presence of Christ through the eucharistic elements.</w:t>
      </w:r>
    </w:p>
    <w:p w14:paraId="1787F47C" w14:textId="77777777" w:rsidR="000E133F" w:rsidRDefault="00EC5ECA">
      <w:pPr>
        <w:spacing w:before="60" w:after="140" w:line="360" w:lineRule="auto"/>
      </w:pPr>
      <w:r>
        <w:t>The propitiatory character of the Orthodox Liturgy must be understood within this framework. The Liturgy is indeed offered "for all and on behalf of all" (</w:t>
      </w:r>
      <w:r>
        <w:rPr>
          <w:i/>
          <w:iCs/>
        </w:rPr>
        <w:t>hyper pantōn kai peri pantōn</w:t>
      </w:r>
      <w:r>
        <w:t xml:space="preserve">) — for the living and the dead, for the world's peace, for the healing of the sick. But this propitiatory character is understood as participation in Christ's one, unique, and all-sufficient sacrifice — not as a new or repeated sacrifice, and not as the ritual appeasement of an angry God. The Church offers the Eucharist as what Paul calls </w:t>
      </w:r>
      <w:r>
        <w:rPr>
          <w:i/>
          <w:iCs/>
        </w:rPr>
        <w:t>logikē latreia</w:t>
      </w:r>
      <w:r>
        <w:t xml:space="preserve"> — "reasonable worship" or "rational service" (Romans 12:1) — the offering of the whole redeemed humanity in and through the sel</w:t>
      </w:r>
      <w:r>
        <w:t>f-offering of Christ, who is simultaneously the priest, the sacrifice, and the altar of the New Covenant.</w:t>
      </w:r>
    </w:p>
    <w:p w14:paraId="55BAF3F1" w14:textId="77777777" w:rsidR="000E133F" w:rsidRDefault="00EC5ECA">
      <w:pPr>
        <w:pStyle w:val="Heading3"/>
      </w:pPr>
      <w:bookmarkStart w:id="58" w:name="_Toc232765285"/>
      <w:r>
        <w:t>4.3.c The Orthodox Critique of Penal Substitutionary Atonement</w:t>
      </w:r>
      <w:bookmarkEnd w:id="58"/>
    </w:p>
    <w:p w14:paraId="002D358D" w14:textId="77777777" w:rsidR="000E133F" w:rsidRDefault="00EC5ECA">
      <w:pPr>
        <w:spacing w:before="60" w:after="140" w:line="360" w:lineRule="auto"/>
      </w:pPr>
      <w:r>
        <w:t xml:space="preserve">The Orthodox critique of penal substitutionary atonement (PSA) is not a peripheral or eccentric position within the tradition; it is the natural consequence of the Orthodox </w:t>
      </w:r>
      <w:r>
        <w:lastRenderedPageBreak/>
        <w:t>understanding of God, sin, death, and salvation. The critique operates on several interlocking levels.</w:t>
      </w:r>
    </w:p>
    <w:p w14:paraId="616C2342" w14:textId="77777777" w:rsidR="000E133F" w:rsidRDefault="00EC5ECA">
      <w:pPr>
        <w:spacing w:before="60" w:after="140" w:line="360" w:lineRule="auto"/>
      </w:pPr>
      <w:r>
        <w:t>The first and most fundamental level is soteriological: PSA addresses the wrong problem. If the fundamental problem of the human condition is mortality, corruption, and the domination of death — not primarily inherited guilt — then a theory that focuses on satisfying divine justice through the punishment of a substitute is formally appropriate to a problem that is not, on the Orthodox reading, the primary one. To be sure, sin involves real moral transgression and genuine guilt; the Orthodox tradition does n</w:t>
      </w:r>
      <w:r>
        <w:t>ot deny this. But guilt is the secondary symptom of a deeper ontological disorder. To concentrate one's soteriology on the guilt-forgiveness transaction is to treat the symptom rather than the disease.</w:t>
      </w:r>
    </w:p>
    <w:p w14:paraId="0C918E4C" w14:textId="77777777" w:rsidR="000E133F" w:rsidRDefault="00EC5ECA">
      <w:pPr>
        <w:spacing w:before="60" w:after="140" w:line="360" w:lineRule="auto"/>
      </w:pPr>
      <w:r>
        <w:t>The second level is Trinitarian: PSA, as typically formulated, introduces a dangerous confusion into the inner-Trinitarian relationship by positing the Father and the Son in an adversarial position — the Father as the source of punitive wrath, the Son as the recipient of that punishment in the sinner's place. Orthodox theology — in its robust Palamite and Cappadocian form — insists on the absolute unity of will, energy, and operation among the three Persons of the Trinity. There is no divine wrath in the Fa</w:t>
      </w:r>
      <w:r>
        <w:t>ther that is not simultaneously and equally the wrath of the Son and the Holy Spirit; nor is there a divine love in the Son that is not equally the Father's love. The Trinitarian grammar of PSA, in which the Father punishes the Son, implies a division within the divine will that Orthodox theology finds impossible. As George Florovsky writes: "God was in Christ reconciling the world to Himself — not reconciling Himself to the world. The initiative and the agency are entirely on God's side; the problem is not</w:t>
      </w:r>
      <w:r>
        <w:t xml:space="preserve"> God's disposition toward humanity but humanity's condition of death and alienation."</w:t>
      </w:r>
    </w:p>
    <w:p w14:paraId="470CAA03" w14:textId="77777777" w:rsidR="000E133F" w:rsidRDefault="00EC5ECA">
      <w:pPr>
        <w:spacing w:before="60" w:after="140" w:line="360" w:lineRule="auto"/>
      </w:pPr>
      <w:r>
        <w:t xml:space="preserve">The third level is moral: the imputation of guilt from an innocent person to a guilty person, and the punishment of the innocent in place of the guilty, is not a demonstration of justice but a violation of it. If justice means that each person receives what is due to them, then punishing the innocent for the guilty is precisely injustice. Orthodox theologians — following the trajectory of Gregory of Nazianzus, who explicitly rejected the payment-to-the-Father framework — insist that God does not require an </w:t>
      </w:r>
      <w:r>
        <w:t xml:space="preserve">act of </w:t>
      </w:r>
      <w:r>
        <w:lastRenderedPageBreak/>
        <w:t>injustice (punishing an innocent person) in order to be reconciled with humanity. The Incarnation, death, and resurrection of Christ are acts of divine love and power, not transactions within a legal system that even God must satisfy.</w:t>
      </w:r>
    </w:p>
    <w:p w14:paraId="4BE31BF7" w14:textId="77777777" w:rsidR="000E133F" w:rsidRDefault="00EC5ECA">
      <w:pPr>
        <w:spacing w:before="60" w:after="140" w:line="360" w:lineRule="auto"/>
      </w:pPr>
      <w:r>
        <w:t xml:space="preserve">The fourth level is anthropological: PSA, in its focus on forgiveness and acquittal, risks leaving the human person ontologically unchanged. The sinner is declared righteous, but is the sinner actually </w:t>
      </w:r>
      <w:r>
        <w:rPr>
          <w:i/>
          <w:iCs/>
        </w:rPr>
        <w:t>made</w:t>
      </w:r>
      <w:r>
        <w:t xml:space="preserve"> righteous? The Orthodox tradition insists on the actual transformation of the human person — the genuine healing of the diseased nature, the genuine restoration of the divine image, the genuine participation in the divine life — not merely a changed legal standing. John Meyendorff states the Orthodox position with precision in </w:t>
      </w:r>
      <w:r>
        <w:rPr>
          <w:i/>
          <w:iCs/>
        </w:rPr>
        <w:t>Byzantine Theology</w:t>
      </w:r>
      <w:r>
        <w:t>: "Eastern theology sees redemption as the restoration of man to communion with God, which implies not only forgiveness of sins but also the gift of divine life</w:t>
      </w:r>
      <w:r>
        <w:t xml:space="preserve"> — a transformation of the whole human being. This is theosis." The atonement, properly understood, is not the end but the beginning of the soteriological process; it opens the way for theosis, which is the full and final goal.</w:t>
      </w:r>
    </w:p>
    <w:p w14:paraId="62B4BBA1" w14:textId="77777777" w:rsidR="000E133F" w:rsidRDefault="00EC5ECA">
      <w:pPr>
        <w:pStyle w:val="Heading3"/>
      </w:pPr>
      <w:bookmarkStart w:id="59" w:name="_Toc232765286"/>
      <w:r>
        <w:t>4.3.d The Incarnation as Atonement</w:t>
      </w:r>
      <w:bookmarkEnd w:id="59"/>
    </w:p>
    <w:p w14:paraId="4A8EF4B7" w14:textId="77777777" w:rsidR="000E133F" w:rsidRDefault="00EC5ECA">
      <w:pPr>
        <w:spacing w:before="60" w:after="140" w:line="360" w:lineRule="auto"/>
      </w:pPr>
      <w:r>
        <w:t xml:space="preserve">The Orthodox tradition insists that the Incarnation itself — prior to and as the ground of the Cross — is already salvific. The Logos's assumption of human nature was not merely the precondition for the subsequent saving act of the Cross; the assumption was itself healing, itself the beginning of the ontological restoration of human nature. By uniting the divine nature to human nature in the Hypostatic Union, the Logos — as Athanasius argues throughout </w:t>
      </w:r>
      <w:r>
        <w:rPr>
          <w:i/>
          <w:iCs/>
        </w:rPr>
        <w:t>De Incarnatione</w:t>
      </w:r>
      <w:r>
        <w:t xml:space="preserve"> — began immediately the deification of the humanity He assumed: "The incorruptible Son of God, being conjoined with all by a like nature, naturally clothed all with incorruption." From the moment of the Incarnation, human nature was no longer simply fallen, mortal, and corruption-bound; it was also — in the Person of the God-Man — deified, glorified, and destined for resurrection.</w:t>
      </w:r>
    </w:p>
    <w:p w14:paraId="694EF987" w14:textId="77777777" w:rsidR="000E133F" w:rsidRDefault="00EC5ECA">
      <w:pPr>
        <w:spacing w:before="60" w:after="140" w:line="360" w:lineRule="auto"/>
      </w:pPr>
      <w:r>
        <w:t xml:space="preserve">This is why the Orthodox tradition celebrates the Nativity (Christmas) and the Theophany (Baptism of Christ) as genuinely soteriological feasts, not merely historical commemorations. At the Theophany, when Christ enters the Jordan River to be baptized by John, the Orthodox Fathers see the sanctification of the waters of the whole creation: "You have sanctified the streams of the Jordan, O Christ, by condescending to </w:t>
      </w:r>
      <w:r>
        <w:lastRenderedPageBreak/>
        <w:t>be baptized in them" (Theophany Vespers). Christ's entry into the water is not His need for purification but His communication of divine purity to the element He touches — a microcosm of the entire soteriological program of the Incarnation, in which the Logos heals, sanctifies, and deifies every aspect of material and human reality by entering into it.</w:t>
      </w:r>
    </w:p>
    <w:p w14:paraId="15C7A336" w14:textId="77777777" w:rsidR="000E133F" w:rsidRDefault="00EC5ECA">
      <w:pPr>
        <w:pStyle w:val="Heading2"/>
      </w:pPr>
      <w:bookmarkStart w:id="60" w:name="_Toc232765287"/>
      <w:r>
        <w:t>4.4 Synergism: The Orthodox Doctrine of Grace and Human Freedom</w:t>
      </w:r>
      <w:bookmarkEnd w:id="60"/>
    </w:p>
    <w:p w14:paraId="26CD0910" w14:textId="77777777" w:rsidR="000E133F" w:rsidRDefault="00EC5ECA">
      <w:pPr>
        <w:pStyle w:val="Heading3"/>
      </w:pPr>
      <w:bookmarkStart w:id="61" w:name="_Toc232765288"/>
      <w:r>
        <w:t>4.4.a The Orthodox Via Media</w:t>
      </w:r>
      <w:bookmarkEnd w:id="61"/>
    </w:p>
    <w:p w14:paraId="22E1785E" w14:textId="77777777" w:rsidR="000E133F" w:rsidRDefault="00EC5ECA">
      <w:pPr>
        <w:spacing w:before="60" w:after="140" w:line="360" w:lineRule="auto"/>
      </w:pPr>
      <w:r>
        <w:t>Orthodox soteriology occupies a carefully articulated middle position between two errors that it considers equally destructive of genuine Christian life. On the one side stands Pelagianism: the view, condemned at the Council of Carthage (418) and universally rejected in the Christian tradition, that human beings can achieve salvation through their own unaided effort without divine grace. On the other side stands the Calvinist (and arguably the Augustinian) doctrine of monergism: the view that divine grace o</w:t>
      </w:r>
      <w:r>
        <w:t>perates with absolute efficacy independent of genuine human cooperation, that human will is passive in the work of salvation, and that God's sovereign election determines who will be saved without the human will genuinely contributing to or resisting that determination. Orthodoxy rejects both extremes because both, in different ways, destroy what is essential to genuine salvation: the free personal cooperation of the human will with divine grace.</w:t>
      </w:r>
    </w:p>
    <w:p w14:paraId="3ED3618D" w14:textId="77777777" w:rsidR="000E133F" w:rsidRDefault="00EC5ECA">
      <w:pPr>
        <w:spacing w:before="60" w:after="140" w:line="360" w:lineRule="auto"/>
      </w:pPr>
      <w:r>
        <w:t xml:space="preserve">The Orthodox doctrine is </w:t>
      </w:r>
      <w:r>
        <w:rPr>
          <w:i/>
          <w:iCs/>
        </w:rPr>
        <w:t>synergism</w:t>
      </w:r>
      <w:r>
        <w:t>: salvation requires the genuine cooperation (</w:t>
      </w:r>
      <w:r>
        <w:rPr>
          <w:i/>
          <w:iCs/>
        </w:rPr>
        <w:t>synergeia</w:t>
      </w:r>
      <w:r>
        <w:t>) of two free agents — God and the human person — in which both are genuinely active and neither can be reduced to the other. The first movement is always God's: grace initiates, enables, illumines, sustains, and perfects the work of salvation. There is no moment in the process of theosis at which the human person contributes something that God has not already provided and enabled; in this sense, the Orthodox tradition is categorically anti-Pel</w:t>
      </w:r>
      <w:r>
        <w:t xml:space="preserve">agian. But the human will genuinely cooperates with the divine initiative; it is not swept along by an irresistible force; it is genuinely, personally, and freely responsive. This cooperation is what makes theosis genuinely </w:t>
      </w:r>
      <w:r>
        <w:rPr>
          <w:i/>
          <w:iCs/>
        </w:rPr>
        <w:lastRenderedPageBreak/>
        <w:t>one's own</w:t>
      </w:r>
      <w:r>
        <w:t xml:space="preserve"> — it is not something imposed on the human person from outside but a genuine personal achievement made possible by grace and actualized by freedom.</w:t>
      </w:r>
    </w:p>
    <w:p w14:paraId="4E5228ED" w14:textId="77777777" w:rsidR="000E133F" w:rsidRDefault="00EC5ECA">
      <w:pPr>
        <w:pStyle w:val="Heading3"/>
      </w:pPr>
      <w:bookmarkStart w:id="62" w:name="_Toc232765289"/>
      <w:r>
        <w:t>4.4.b Patristic Foundations</w:t>
      </w:r>
      <w:bookmarkEnd w:id="62"/>
    </w:p>
    <w:p w14:paraId="40F8E99C" w14:textId="77777777" w:rsidR="000E133F" w:rsidRDefault="00EC5ECA">
      <w:pPr>
        <w:spacing w:before="60" w:after="140" w:line="360" w:lineRule="auto"/>
      </w:pPr>
      <w:r>
        <w:t>John Chrysostom develops the synergistic framework with characteristic pastoral directness. Commenting on Philippians 2:12–13 — "Work out your own salvation with fear and trembling, for it is God who works in you, both to will and to work for his good pleasure" — Chrysostom does not find a contradiction between the two halves of the verse. Paul does not say "God works in you, therefore do not work" nor "Work out your salvation, therefore God is not working"; he says both simultaneously, because both are tru</w:t>
      </w:r>
      <w:r>
        <w:t>e. The divine working and the human working are not competing claims on the same causal space; they are, in a genuine synergy, complementary movements that together constitute the one act of salvation. Chrysostom comments: "It is not for you to sit idle. He gives you the willing, and therefore you must add the doing; He gives you the impulse, and therefore you must add the effort." The human contribution is real and required; but it is always a contribution within the context of a divine enabling that prece</w:t>
      </w:r>
      <w:r>
        <w:t>des and sustains it.</w:t>
      </w:r>
    </w:p>
    <w:p w14:paraId="2826D386" w14:textId="77777777" w:rsidR="000E133F" w:rsidRDefault="00EC5ECA">
      <w:pPr>
        <w:spacing w:before="60" w:after="140" w:line="360" w:lineRule="auto"/>
      </w:pPr>
      <w:r>
        <w:t>Theodoret of Cyrrhus develops the same theme in his anthropological writings: the human person retains, even in the fallen state, the freedom (</w:t>
      </w:r>
      <w:r>
        <w:rPr>
          <w:i/>
          <w:iCs/>
        </w:rPr>
        <w:t>to autexousion</w:t>
      </w:r>
      <w:r>
        <w:t>) that is constitutive of the divine image. This freedom is weakened and disordered by the Fall but not destroyed; it is capable of responding to the divine call and of genuinely cooperating with grace. Theodoret explicitly resists the Augustinian position (which he apparently knows in some form, perhaps mediated through Latin theological contacts): human nature is "inclined to slip and fall, as it is undermined by the passions; nonetheless, rationality prevails when supported by our efforts."</w:t>
      </w:r>
      <w:r>
        <w:t xml:space="preserve"> The effort is real; the support of grace is essential; neither alone suffices.</w:t>
      </w:r>
    </w:p>
    <w:p w14:paraId="748D8AF3" w14:textId="77777777" w:rsidR="000E133F" w:rsidRDefault="00EC5ECA">
      <w:pPr>
        <w:spacing w:before="60" w:after="140" w:line="360" w:lineRule="auto"/>
      </w:pPr>
      <w:r>
        <w:t xml:space="preserve">The hesychast tradition illustrates the synergistic doctrine in its concrete practice. The Jesus Prayer is simultaneously a divine gift and a human practice: the pray-er must work to maintain the attention, to descend into the heart, to guard the mind from distraction — this is genuine human effort, often arduous. But the prayer itself is a gift of the Holy Spirit, who "intercedes for us with groanings too deep for words" (Romans </w:t>
      </w:r>
      <w:r>
        <w:lastRenderedPageBreak/>
        <w:t>8:26); the light experienced in deep hesychastic prayer is genuinely uncreated, genuinely divine, not a product of human technique or psychological conditioning. The two — human effort and divine gift — are inseparable and irreducible.</w:t>
      </w:r>
    </w:p>
    <w:p w14:paraId="75189338" w14:textId="77777777" w:rsidR="000E133F" w:rsidRDefault="00EC5ECA">
      <w:pPr>
        <w:pStyle w:val="Heading3"/>
      </w:pPr>
      <w:bookmarkStart w:id="63" w:name="_Toc232765290"/>
      <w:r>
        <w:t>4.4.c Distinguishing Orthodox Synergism from Pelagianism</w:t>
      </w:r>
      <w:bookmarkEnd w:id="63"/>
    </w:p>
    <w:p w14:paraId="4AD4D0CA" w14:textId="77777777" w:rsidR="000E133F" w:rsidRDefault="00EC5ECA">
      <w:pPr>
        <w:spacing w:before="60" w:after="140" w:line="360" w:lineRule="auto"/>
      </w:pPr>
      <w:r>
        <w:t>The crucial distinction between Orthodox synergism and Pelagianism is the doctrine of what Western theologians call prevenient grace — grace that precedes and enables the free human response. In Orthodox theology, as Florovsky emphasizes, "the initiative belongs absolutely and entirely to God." God does not wait for the human person to generate a free act of will that then merits divine assistance; rather, God's grace reaches the human person first, illumines the intellect, stirs the will, enables the capac</w:t>
      </w:r>
      <w:r>
        <w:t>ity for genuine response, and only then — in the light of this divine initiative — does the human will freely cooperate or resist. The freedom exercised in cooperation with grace is itself a grace-enabled freedom, not an autonomous original act. This is why the Orthodox tradition prays for the gift of repentance, not merely for the will to repent: even repentance is a gift that must be sought before it can be exercised.</w:t>
      </w:r>
    </w:p>
    <w:p w14:paraId="615AC28D" w14:textId="77777777" w:rsidR="000E133F" w:rsidRDefault="00EC5ECA">
      <w:pPr>
        <w:spacing w:before="60" w:after="140" w:line="360" w:lineRule="auto"/>
      </w:pPr>
      <w:r>
        <w:t>Maximus the Confessor's account of the Gethsemane prayer illuminates the doctrine of synergism at its most profound level. Christ in the Garden prays "not my will, but yours be done" (Luke 22:42). For Maximus, this is not the suppression of the human will by the divine will — that would be Monothelitism, the heresy he spent his life opposing. Rather, it is the perfect actualization of the human will in complete conformity with the divine will — the synergism between the created human will (</w:t>
      </w:r>
      <w:r>
        <w:rPr>
          <w:i/>
          <w:iCs/>
        </w:rPr>
        <w:t>thelēma anthrōpinon</w:t>
      </w:r>
      <w:r>
        <w:t>) and the uncreated divine will (</w:t>
      </w:r>
      <w:r>
        <w:rPr>
          <w:i/>
          <w:iCs/>
        </w:rPr>
        <w:t>thelēma theion</w:t>
      </w:r>
      <w:r>
        <w:t>) achieving its perfect expression. This is the paradigm of human freedom as it was meant to be, and as it becomes in the deified person: not the elimination of human will in favor of divine will, but the perfect voluntary alignment of the human will with the divine in a union that is the very meaning of theosis.</w:t>
      </w:r>
    </w:p>
    <w:p w14:paraId="71E68E03" w14:textId="77777777" w:rsidR="000E133F" w:rsidRDefault="00EC5ECA">
      <w:pPr>
        <w:pStyle w:val="Heading1"/>
        <w:pageBreakBefore/>
      </w:pPr>
      <w:bookmarkStart w:id="64" w:name="_Toc232765291"/>
      <w:r>
        <w:lastRenderedPageBreak/>
        <w:t>CHAPTER FIVE: THE SEVEN HOLY MYSTERIES — ORTHODOX SACRAMENTAL THEOLOGY</w:t>
      </w:r>
      <w:bookmarkEnd w:id="64"/>
    </w:p>
    <w:p w14:paraId="34E2ED6B" w14:textId="77777777" w:rsidR="000E133F" w:rsidRDefault="00EC5ECA">
      <w:pPr>
        <w:pStyle w:val="Heading2"/>
      </w:pPr>
      <w:bookmarkStart w:id="65" w:name="_Toc232765292"/>
      <w:r>
        <w:t>5.0 The Theology of Mysterion</w:t>
      </w:r>
      <w:bookmarkEnd w:id="65"/>
    </w:p>
    <w:p w14:paraId="00BB041B" w14:textId="77777777" w:rsidR="000E133F" w:rsidRDefault="00EC5ECA">
      <w:pPr>
        <w:pStyle w:val="Heading3"/>
      </w:pPr>
      <w:bookmarkStart w:id="66" w:name="_Toc232765293"/>
      <w:r>
        <w:t>5.0.a Mysterion and Sacramentum</w:t>
      </w:r>
      <w:bookmarkEnd w:id="66"/>
    </w:p>
    <w:p w14:paraId="2199384F" w14:textId="77777777" w:rsidR="000E133F" w:rsidRDefault="00EC5ECA">
      <w:pPr>
        <w:spacing w:before="60" w:after="140" w:line="360" w:lineRule="auto"/>
      </w:pPr>
      <w:r>
        <w:t xml:space="preserve">The terminology by which the Orthodox Church names its sacraments encodes a comprehensive theology. Eastern Orthodoxy calls the sacraments </w:t>
      </w:r>
      <w:r>
        <w:rPr>
          <w:i/>
          <w:iCs/>
        </w:rPr>
        <w:t>mystēria</w:t>
      </w:r>
      <w:r>
        <w:t xml:space="preserve"> — mysteries — rather than </w:t>
      </w:r>
      <w:r>
        <w:rPr>
          <w:i/>
          <w:iCs/>
        </w:rPr>
        <w:t>sacramenta</w:t>
      </w:r>
      <w:r>
        <w:t xml:space="preserve">, the Latin juridical term adopted by Western theology. The difference is not terminological but theological. </w:t>
      </w:r>
      <w:r>
        <w:rPr>
          <w:i/>
          <w:iCs/>
        </w:rPr>
        <w:t>Sacramentum</w:t>
      </w:r>
      <w:r>
        <w:t xml:space="preserve"> in classical Latin usage denoted a legal oath, a solemn pledge of allegiance; its application to Christian rites carries the connotation of a contractual transaction — a binding commitment made by or toward a legal person. </w:t>
      </w:r>
      <w:r>
        <w:rPr>
          <w:i/>
          <w:iCs/>
        </w:rPr>
        <w:t>Mystērion</w:t>
      </w:r>
      <w:r>
        <w:t>, by contrast, carries the connotation of a hidden divine reality, a secret disclosed, a veil drawn aside to reve</w:t>
      </w:r>
      <w:r>
        <w:t>al the inexhaustible depths of the divine purpose and presence. The sacrament understood as mystery is not a transaction but an encounter; not a contract but a theophany.</w:t>
      </w:r>
    </w:p>
    <w:p w14:paraId="0E11E088" w14:textId="77777777" w:rsidR="000E133F" w:rsidRDefault="00EC5ECA">
      <w:pPr>
        <w:spacing w:before="60" w:after="140" w:line="360" w:lineRule="auto"/>
      </w:pPr>
      <w:r>
        <w:t xml:space="preserve">The word </w:t>
      </w:r>
      <w:r>
        <w:rPr>
          <w:i/>
          <w:iCs/>
        </w:rPr>
        <w:t>mystērion</w:t>
      </w:r>
      <w:r>
        <w:t xml:space="preserve"> in the Pauline letters carries a weight that the later liturgical-sacramental usage inherits. In Ephesians 1:9–10, Paul writes that God "has made known to us the mystery (</w:t>
      </w:r>
      <w:r>
        <w:rPr>
          <w:i/>
          <w:iCs/>
        </w:rPr>
        <w:t>to mystērion</w:t>
      </w:r>
      <w:r>
        <w:t>) of his will, according to his purpose, which he set forth in Christ as a plan for the fullness of time, to unite all things in him, things in heaven and things on earth." The mystery here is cosmic in scope: the hidden counsel of God, determined before the ages, now revealed in Christ — the gathering-up (</w:t>
      </w:r>
      <w:r>
        <w:rPr>
          <w:i/>
          <w:iCs/>
        </w:rPr>
        <w:t>anakephalai</w:t>
      </w:r>
      <w:r>
        <w:rPr>
          <w:i/>
          <w:iCs/>
        </w:rPr>
        <w:t>ōsasthai</w:t>
      </w:r>
      <w:r>
        <w:t>) of the entire created order into the one divine-human Person, the Head. In Ephesians 3:3–6, the mystery is specifically christological and ecclesiological: "the mystery was made known to me by revelation... the mystery of Christ, which was not made known to the sons of men in other generations... that the Gentiles are fellow heirs, members of the same body, and partakers of the promise in Christ Jesus through the gospel." In Colossians 1:26–27, the mystery is explicitly cosmic and incarnational: "</w:t>
      </w:r>
      <w:r>
        <w:t>the mystery hidden for ages and generations but now revealed to his saints... Christ in you, the hope of glory."</w:t>
      </w:r>
    </w:p>
    <w:p w14:paraId="5EDF785D" w14:textId="77777777" w:rsidR="000E133F" w:rsidRDefault="00EC5ECA">
      <w:pPr>
        <w:spacing w:before="60" w:after="140" w:line="360" w:lineRule="auto"/>
      </w:pPr>
      <w:r>
        <w:lastRenderedPageBreak/>
        <w:t xml:space="preserve">These Pauline uses of </w:t>
      </w:r>
      <w:r>
        <w:rPr>
          <w:i/>
          <w:iCs/>
        </w:rPr>
        <w:t>mystērion</w:t>
      </w:r>
      <w:r>
        <w:t xml:space="preserve"> inform the Orthodox understanding of the sacraments in a decisive way. The sacraments are not different from or additional to "the mystery" — they are the ongoing mediation of the one mystery of Christ within the life of the Church. When baptism is called a mystery, it is because baptism is not a ritual performance of a human ceremony but a genuine mediation of the divine-human reality of Christ's death and resurrection to the baptized person. When the Eucharist is called a mystery, it is because the Eucha</w:t>
      </w:r>
      <w:r>
        <w:t>rist is not a symbol of a past event but the ongoing, living mediation of the present, eternal self-offering of Christ to His assembled Body. The Church's mysteries are the continued historical presence of the one Mystery — Christ Himself, in whom "all the fullness of deity dwells bodily" (Colossians 2:9) — in every generation and every place.</w:t>
      </w:r>
    </w:p>
    <w:p w14:paraId="3E197DC3" w14:textId="77777777" w:rsidR="000E133F" w:rsidRDefault="00EC5ECA">
      <w:pPr>
        <w:pStyle w:val="Heading3"/>
      </w:pPr>
      <w:bookmarkStart w:id="67" w:name="_Toc232765294"/>
      <w:r>
        <w:t>5.0.b Schmemann's Eucharistic Ontology and the World as Sacrament</w:t>
      </w:r>
      <w:bookmarkEnd w:id="67"/>
    </w:p>
    <w:p w14:paraId="72FA6845" w14:textId="77777777" w:rsidR="000E133F" w:rsidRDefault="00EC5ECA">
      <w:pPr>
        <w:spacing w:before="60" w:after="140" w:line="360" w:lineRule="auto"/>
      </w:pPr>
      <w:r>
        <w:t xml:space="preserve">Alexander Schmemann's great contribution to Orthodox sacramental theology is the insight that sacramentality is not the exception but the essence of the created order as God intended it. In </w:t>
      </w:r>
      <w:r>
        <w:rPr>
          <w:i/>
          <w:iCs/>
        </w:rPr>
        <w:t>For the Life of the World</w:t>
      </w:r>
      <w:r>
        <w:t xml:space="preserve">, Schmemann argues that the world was created to be a sacrament: it was created as the material of a eucharist, a thanksgiving, in which the human person — created as the priest of creation — was to receive the world as a gift from God and offer it back to God in grateful praise, thereby transforming life from a biological given into communion with the divine life. Man was created, Schmemann writes, as the "eucharistic being," the </w:t>
      </w:r>
      <w:r>
        <w:rPr>
          <w:i/>
          <w:iCs/>
        </w:rPr>
        <w:t>homo eucharisticus</w:t>
      </w:r>
      <w:r>
        <w:t>, whose distinctive vocation is no</w:t>
      </w:r>
      <w:r>
        <w:t>t simply to exist but to receive existence as gift and return it as thanksgiving. The Fall is, at one level, the refusal of this eucharistic vocation: Adam took the fruit "for himself" rather than offering it to God; he made the world a possession to be consumed rather than a gift to be offered in praise.</w:t>
      </w:r>
    </w:p>
    <w:p w14:paraId="0B7F1562" w14:textId="77777777" w:rsidR="000E133F" w:rsidRDefault="00EC5ECA">
      <w:pPr>
        <w:spacing w:before="60" w:after="140" w:line="360" w:lineRule="auto"/>
      </w:pPr>
      <w:r>
        <w:t xml:space="preserve">The consequence of this insight is that the Christian mystery-sacraments are not arbitrary rites performed for the sake of producing supernatural effects in isolated individuals. They are the restoration and actualization of the world's original sacramental character. Baptism restores the person to the eucharistic vocation; the Eucharist actually performs it; every other mystery participates in the fundamental structure of the Eucharist as the primordial and constitutive act by which the Church is </w:t>
      </w:r>
      <w:r>
        <w:lastRenderedPageBreak/>
        <w:t>what it is. Schmemann writes: "The Eucharist is not merely one of the sacraments among others, the chief of the seven. It is the sacrament of the Church itself, the act in which the Church becomes what she is." This means that the sacramental theology of the individual mysteries cannot be understood in abstraction from the Eucharist; each mystery is an expression or dimension of the one mystery of Christ's self-giving, celebrated and participated in through the gathered Body.</w:t>
      </w:r>
    </w:p>
    <w:p w14:paraId="2563FCE3" w14:textId="77777777" w:rsidR="000E133F" w:rsidRDefault="00EC5ECA">
      <w:pPr>
        <w:spacing w:before="60" w:after="140" w:line="360" w:lineRule="auto"/>
      </w:pPr>
      <w:r>
        <w:t>The eschatological dimension of this sacramental theology must also be stressed. The Divine Liturgy is not merely a ritual performance of historical events; it is an actual participation in the eschatological Kingdom of God — the Kingdom that is "already" present but "not yet" fully revealed. When the Orthodox gather for the Liturgy, they are not commemorating an absent Lord; they are entering into the eternal present of His self-offering, the "once for all" (</w:t>
      </w:r>
      <w:r>
        <w:rPr>
          <w:i/>
          <w:iCs/>
        </w:rPr>
        <w:t>ephapax</w:t>
      </w:r>
      <w:r>
        <w:t xml:space="preserve">) of Hebrews 7:27 that precisely because it is "once for all" is never exhausted and never past but permanently present. The Church at worship does not stand </w:t>
      </w:r>
      <w:r>
        <w:rPr>
          <w:i/>
          <w:iCs/>
        </w:rPr>
        <w:t>before</w:t>
      </w:r>
      <w:r>
        <w:t xml:space="preserve"> the Kingdom; it stands </w:t>
      </w:r>
      <w:r>
        <w:rPr>
          <w:i/>
          <w:iCs/>
        </w:rPr>
        <w:t>within</w:t>
      </w:r>
      <w:r>
        <w:t xml:space="preserve"> it. The Kingdom breaks into time through the Liturgy, and the Liturgy is the place where time is most fully itself — most fully what it was created to be — by being taken up into the eternal.</w:t>
      </w:r>
    </w:p>
    <w:p w14:paraId="07E9515B" w14:textId="77777777" w:rsidR="000E133F" w:rsidRDefault="00EC5ECA">
      <w:pPr>
        <w:pStyle w:val="Heading2"/>
      </w:pPr>
      <w:bookmarkStart w:id="68" w:name="_Toc232765295"/>
      <w:r>
        <w:t>5.1 Holy Baptism</w:t>
      </w:r>
      <w:bookmarkEnd w:id="68"/>
    </w:p>
    <w:p w14:paraId="1CE2CF13" w14:textId="77777777" w:rsidR="000E133F" w:rsidRDefault="00EC5ECA">
      <w:pPr>
        <w:spacing w:before="60" w:after="140" w:line="360" w:lineRule="auto"/>
      </w:pPr>
      <w:r>
        <w:t>Holy Baptism is, in the Orthodox theological vocabulary, not the beginning of the Christian life but rather the Christian life itself in its germinal form — the planting of the seed from which the whole of the spiritual life will grow. The theology of baptism is developed most fully by Paul in Romans 6:3–5: "Do you not know that all of us who have been baptized into Christ Jesus were baptized into his death? We were buried therefore with him by baptism into death, in order that, just as Christ was raised fr</w:t>
      </w:r>
      <w:r>
        <w:t xml:space="preserve">om the dead by the glory of the Father, we too might walk in newness of life. For if we have been united with him in a death like his, we shall certainly be united with him in a resurrection like his." The Pauline baptismal theology is ontological, not merely symbolic: baptism does not represent participation in Christ's death and resurrection but actually effects it. The baptized person </w:t>
      </w:r>
      <w:r>
        <w:rPr>
          <w:i/>
          <w:iCs/>
        </w:rPr>
        <w:t>is</w:t>
      </w:r>
      <w:r>
        <w:t xml:space="preserve"> buried with Christ, </w:t>
      </w:r>
      <w:r>
        <w:rPr>
          <w:i/>
          <w:iCs/>
        </w:rPr>
        <w:t>is</w:t>
      </w:r>
      <w:r>
        <w:t xml:space="preserve"> risen with Christ — not metaphorically but sacramentally, which is to say: genuinely, through t</w:t>
      </w:r>
      <w:r>
        <w:t>he mediation of the mystery.</w:t>
      </w:r>
    </w:p>
    <w:p w14:paraId="442EDC86" w14:textId="77777777" w:rsidR="000E133F" w:rsidRDefault="00EC5ECA">
      <w:pPr>
        <w:spacing w:before="60" w:after="140" w:line="360" w:lineRule="auto"/>
      </w:pPr>
      <w:r>
        <w:lastRenderedPageBreak/>
        <w:t xml:space="preserve">The triple immersion of the Orthodox baptismal rite enacts this Pauline theology with sacramental precision. Three times the candidate is immersed in the water — three times buried, three times raised — in explicit participation in Christ's three days in the tomb and His resurrection on the third day. The water is not merely water; it has been transformed by the prayer of consecration and the descent of the Holy Spirit into the vehicle of the divine presence and power. As Schmemann notes in </w:t>
      </w:r>
      <w:r>
        <w:rPr>
          <w:i/>
          <w:iCs/>
        </w:rPr>
        <w:t>Of Water and the Spirit</w:t>
      </w:r>
      <w:r>
        <w:t>, the ancient baptismal prayer over the water does not ask God to use the water as an instrument but to transform the water itself into the new creation, the Jordan-water in which Christ was baptized and which He sanctified: "Thou didst sanctify the streams of Jordan, sending down from heaven Thine Holy Spirit, and didst crush the heads of the serpents that lurked there."</w:t>
      </w:r>
    </w:p>
    <w:p w14:paraId="54CEEB9A" w14:textId="77777777" w:rsidR="000E133F" w:rsidRDefault="00EC5ECA">
      <w:pPr>
        <w:spacing w:before="60" w:after="140" w:line="360" w:lineRule="auto"/>
      </w:pPr>
      <w:r>
        <w:t>The theology of new birth associated with baptism — drawn especially from John 3:5 ("unless one is born of water and the Spirit, he cannot enter the kingdom of God") and Titus 3:5 ("the washing of regeneration (</w:t>
      </w:r>
      <w:r>
        <w:rPr>
          <w:i/>
          <w:iCs/>
        </w:rPr>
        <w:t>loutrou palingenesias</w:t>
      </w:r>
      <w:r>
        <w:t>)") — is understood in Orthodox theology as a genuine ontological transformation of the baptized person's mode of being. The baptized person is not merely forgiven of past sins and enrolled in a religious community; he or she is actually reborn as a new creature in Christ — "a new creation" (2 Corinthians 5:17), with the old nature dead and a new nature sprung up that participates in the divine life. Cyril of Jerusalem, in his baptismal catecheses, insists on the realism of this transfo</w:t>
      </w:r>
      <w:r>
        <w:t>rmation: the descent into the water is a genuine death with Christ; the emergence from the water is a genuine resurrection. The white garment given at baptism — the chrysom — is not a mere symbol; it is the "garment of incorruption," the visible sign of the new nature with which the baptized person has been clothed.</w:t>
      </w:r>
    </w:p>
    <w:p w14:paraId="21315481" w14:textId="77777777" w:rsidR="000E133F" w:rsidRDefault="00EC5ECA">
      <w:pPr>
        <w:spacing w:before="60" w:after="140" w:line="360" w:lineRule="auto"/>
      </w:pPr>
      <w:r>
        <w:t xml:space="preserve">The practice of baptismal exorcism, universal in the ancient church and maintained in the Orthodox rite to the present day, has profound theological significance. Before the candidate is baptized, a series of exorcisms are performed in which the candidate renounces Satan, "all his works, all his service, and all his pride," and breathes out the spirit of evil from the lungs in a dramatic liturgical gesture, then turns to the East and breathes in the new life of Christ. This rite is not a vestigial relic of </w:t>
      </w:r>
      <w:r>
        <w:t xml:space="preserve">ancient superstition; it is a theological statement about the condition of unbaptized humanity. The </w:t>
      </w:r>
      <w:r>
        <w:lastRenderedPageBreak/>
        <w:t>unbaptized person lives, in the Orthodox view, in the domain of death and the power of the enemy — not necessarily in a state of active wickedness, but in a state of ontological vulnerability to the powers of corruption that have dominion over the fallen world. Baptism is therefore an act of cosmic liberation as well as personal regeneration: the candidate passes from one dominion to another, from the power o</w:t>
      </w:r>
      <w:r>
        <w:t>f death to the power of life.</w:t>
      </w:r>
    </w:p>
    <w:p w14:paraId="7C839F5E" w14:textId="77777777" w:rsidR="000E133F" w:rsidRDefault="00EC5ECA">
      <w:pPr>
        <w:spacing w:before="60" w:after="140" w:line="360" w:lineRule="auto"/>
      </w:pPr>
      <w:r>
        <w:t xml:space="preserve">The Orthodox Church practices infant baptism as well as adult baptism, and — crucially — admits infants to full eucharistic communion immediately after baptism. The theological basis for infant baptism is not the doctrine of inherited guilt (Augustinian original sin requiring immediate washing away) but the positive theological conviction that the full gift of divine life should not be withheld from any human person, however young. Even infants are persons made in the image of God; even infants are capable </w:t>
      </w:r>
      <w:r>
        <w:t>of receiving the sacramental mediation of the divine life; even infants can be incorporated into the Body of Christ and begin the journey toward theosis, as they grow into the conscious appropriation of the grace bestowed at baptism.</w:t>
      </w:r>
    </w:p>
    <w:p w14:paraId="6085D66D" w14:textId="77777777" w:rsidR="000E133F" w:rsidRDefault="00EC5ECA">
      <w:pPr>
        <w:pStyle w:val="Heading2"/>
      </w:pPr>
      <w:bookmarkStart w:id="69" w:name="_Toc232765296"/>
      <w:r>
        <w:t>5.2 Holy Chrismation</w:t>
      </w:r>
      <w:bookmarkEnd w:id="69"/>
    </w:p>
    <w:p w14:paraId="0980086A" w14:textId="77777777" w:rsidR="000E133F" w:rsidRDefault="00EC5ECA">
      <w:pPr>
        <w:spacing w:before="60" w:after="140" w:line="360" w:lineRule="auto"/>
      </w:pPr>
      <w:r>
        <w:t>Chrismation — the anointing with holy oil (</w:t>
      </w:r>
      <w:r>
        <w:rPr>
          <w:i/>
          <w:iCs/>
        </w:rPr>
        <w:t>Chrism</w:t>
      </w:r>
      <w:r>
        <w:t xml:space="preserve">, Greek </w:t>
      </w:r>
      <w:r>
        <w:rPr>
          <w:i/>
          <w:iCs/>
        </w:rPr>
        <w:t>myron</w:t>
      </w:r>
      <w:r>
        <w:t>, the anointed one) — is administered immediately after baptism, before the newly-baptized person receives the Eucharist. The inseparability of baptism and chrismation in the Orthodox rite is itself a theological statement: the two mysteries constitute together one comprehensive act of Christian initiation. Baptism is the new birth; chrismation is the new Pentecost — the individual's personal participation in the event of Pentecost, by which the Church was born as the community of the Hol</w:t>
      </w:r>
      <w:r>
        <w:t>y Spirit.</w:t>
      </w:r>
    </w:p>
    <w:p w14:paraId="0FCF84CE" w14:textId="77777777" w:rsidR="000E133F" w:rsidRDefault="00EC5ECA">
      <w:pPr>
        <w:spacing w:before="60" w:after="140" w:line="360" w:lineRule="auto"/>
      </w:pPr>
      <w:r>
        <w:t>The formula of chrismation — "The seal of the gift of the Holy Spirit (</w:t>
      </w:r>
      <w:r>
        <w:rPr>
          <w:i/>
          <w:iCs/>
        </w:rPr>
        <w:t>sphragis dōreas Pneumatos Hagiou</w:t>
      </w:r>
      <w:r>
        <w:t>)" — is drawn from Acts 2:38 ("you will receive the gift of the Holy Spirit") and reflects the patristic interpretation of 2 Corinthians 1:21–22 ("it is God who establishes us with you in Christ, and has anointed us, and who has also put his seal on us and given us his Spirit in our hearts as a guarantee"). The seal (</w:t>
      </w:r>
      <w:r>
        <w:rPr>
          <w:i/>
          <w:iCs/>
        </w:rPr>
        <w:t>sphragis</w:t>
      </w:r>
      <w:r>
        <w:t xml:space="preserve">) is the mark of ownership and the guarantee of authenticity: the chrismated person bears the seal of the Holy Spirit, is marked as belonging to God and </w:t>
      </w:r>
      <w:r>
        <w:t xml:space="preserve">as carrying the divine guarantee of </w:t>
      </w:r>
      <w:r>
        <w:lastRenderedPageBreak/>
        <w:t>eschatological completion. Theodore of Mopsuestia, in his baptismal homilies, interprets the chrismation-seal as the sign by which the Christian is marked for resurrection: just as soldiers bear the mark of their commander, so the Christian bears the mark of the Holy Spirit, who is the guarantor of the resurrection of the body.</w:t>
      </w:r>
    </w:p>
    <w:p w14:paraId="27269274" w14:textId="77777777" w:rsidR="000E133F" w:rsidRDefault="00EC5ECA">
      <w:pPr>
        <w:spacing w:before="60" w:after="140" w:line="360" w:lineRule="auto"/>
      </w:pPr>
      <w:r>
        <w:t>The anointing of all the senses in the rite of chrismation — forehead, eyes, ears, nostrils, lips, breast, hands, and feet — enacts a comprehensive consecration of the whole human person, body and soul, to the Holy Spirit. Each anointing is a sanctification of a particular human faculty: the eyes are anointed so that they may see the glory of God; the ears are anointed so that they may hear the voice of God; the lips are anointed so that they may praise God and speak truth; the hands are anointed so that th</w:t>
      </w:r>
      <w:r>
        <w:t>ey may serve God and neighbor; the feet are anointed so that they may walk in the way of God. The entirety of human bodily existence is consecrated to the divine presence, and the Spirit is invoked to transform each faculty from an instrument of fallen self-centered living into an instrument of theosis. This comprehensive sanctification of the body — characteristic of Orthodoxy's sacramental realism — reflects the Orthodox conviction that theosis is not the escape of the soul from the body but the glorifica</w:t>
      </w:r>
      <w:r>
        <w:t>tion of the whole person, body and soul, in the divine life.</w:t>
      </w:r>
    </w:p>
    <w:p w14:paraId="0DCD27C9" w14:textId="77777777" w:rsidR="000E133F" w:rsidRDefault="00EC5ECA">
      <w:pPr>
        <w:spacing w:before="60" w:after="140" w:line="360" w:lineRule="auto"/>
      </w:pPr>
      <w:r>
        <w:t xml:space="preserve">The distinction between the Orthodox practice of administering chrismation immediately after baptism and the Western Catholic/Protestant practice of deferring confirmation to adolescence is not merely a matter of liturgical custom. It reflects a fundamental theological conviction about the unity of Christian initiation. The Orthodox tradition insists that baptism without chrismation is incomplete — not because there are two separate gifts to be given at two separate times, but because the gift of new birth </w:t>
      </w:r>
      <w:r>
        <w:t>and the gift of the Holy Spirit are two dimensions of one comprehensive act of divine adoption. To delay chrismation would be to say, in effect, that the baptized child is a Christian but does not yet have the full gift of the Spirit — which is theologically incoherent. The newly baptized child enters the eucharistic assembly immediately as a full member of the Body of Christ, receives the Eucharist from the chalice as a full communicant, and begins the life of theosis as a fully initiated Christian.</w:t>
      </w:r>
    </w:p>
    <w:p w14:paraId="127C13FA" w14:textId="77777777" w:rsidR="000E133F" w:rsidRDefault="00EC5ECA">
      <w:pPr>
        <w:pStyle w:val="Heading2"/>
      </w:pPr>
      <w:bookmarkStart w:id="70" w:name="_Toc232765297"/>
      <w:r>
        <w:t>5.3 The Divine Eucharist</w:t>
      </w:r>
      <w:bookmarkEnd w:id="70"/>
    </w:p>
    <w:p w14:paraId="3D171C03" w14:textId="77777777" w:rsidR="000E133F" w:rsidRDefault="00EC5ECA">
      <w:pPr>
        <w:pStyle w:val="Heading3"/>
      </w:pPr>
      <w:bookmarkStart w:id="71" w:name="_Toc232765298"/>
      <w:r>
        <w:lastRenderedPageBreak/>
        <w:t>5.3.a The Eucharist as the Mystery of the Assembly</w:t>
      </w:r>
      <w:bookmarkEnd w:id="71"/>
    </w:p>
    <w:p w14:paraId="3A9A6FCA" w14:textId="77777777" w:rsidR="000E133F" w:rsidRDefault="00EC5ECA">
      <w:pPr>
        <w:spacing w:before="60" w:after="140" w:line="360" w:lineRule="auto"/>
      </w:pPr>
      <w:r>
        <w:t>The Divine Eucharist — the "Mystery of Mysteries," in the liturgical language of the Orthodox Church — is not one mystery among seven but the organizing center of all sacramental life, the act that makes the Church the Church, the event in which the eschaton most fully enters time. No treatment of Orthodox sacramental theology can be adequate without a sustained theological attention to the structure, content, and theological claims of the Divine Liturgy.</w:t>
      </w:r>
    </w:p>
    <w:p w14:paraId="51BF63E9" w14:textId="77777777" w:rsidR="000E133F" w:rsidRDefault="00EC5ECA">
      <w:pPr>
        <w:spacing w:before="60" w:after="140" w:line="360" w:lineRule="auto"/>
      </w:pPr>
      <w:r>
        <w:t>The Orthodox Church uses two eucharistic liturgies as its primary forms: the Liturgy of Saint John Chrysostom, used on most Sundays and weekdays throughout the year, and the longer Liturgy of Saint Basil the Great, used on ten appointed occasions including the Sundays of Lent, Christmas Eve, Theophany Eve, Holy Thursday, and Holy Saturday. Both liturgies are ancient compositions — Chrysostom's liturgy in its present form dates to at least the fourth century, and Basil's to the same period; both have their r</w:t>
      </w:r>
      <w:r>
        <w:t xml:space="preserve">oots in earlier anaphoral traditions that go back to the apostolic era. The theological content of these liturgies is not incidental decoration; it is the primary vehicle of Orthodox dogmatic teaching. The principle </w:t>
      </w:r>
      <w:r>
        <w:rPr>
          <w:i/>
          <w:iCs/>
        </w:rPr>
        <w:t>lex orandi, lex credendi</w:t>
      </w:r>
      <w:r>
        <w:t xml:space="preserve"> — the law of prayer is the law of belief — applies to the Eucharist above all: Orthodox Trinitarian theology, Christology, pneumatology, eschatology, and soteriology are all expressed and enacted in the eucharistic liturgy.</w:t>
      </w:r>
    </w:p>
    <w:p w14:paraId="3668BF15" w14:textId="77777777" w:rsidR="000E133F" w:rsidRDefault="00EC5ECA">
      <w:pPr>
        <w:spacing w:before="60" w:after="140" w:line="360" w:lineRule="auto"/>
      </w:pPr>
      <w:r>
        <w:t>The structure of the Divine Liturgy follows the basic shape of all ancient eucharistic liturgies: the Liturgy of the Word (Scripture readings, homily, prayers of the faithful) followed by the Liturgy of the Faithful (the Eucharist proper, from the Great Entrance through Communion and Dismissal). The movement of the Liturgy is a movement of ascent: the Church, gathered on earth, is taken up liturgically into the heavenly worship of the eternal Lamb. The Cherubic Hymn, sung during the Great Entrance, makes th</w:t>
      </w:r>
      <w:r>
        <w:t>is movement explicit: "We who mystically represent the Cherubim, and who sing the thrice-holy hymn to the life-creating Trinity, let us now lay aside all earthly cares, that we may receive the King of all, who comes invisibly upborne by the angelic hosts." The congregation is not merely watching a ceremony; it is mystically participating in the angelic worship of the eternal liturgy, the heavenly prototype of which the earthly Liturgy is the image and presence.</w:t>
      </w:r>
    </w:p>
    <w:p w14:paraId="6B774F82" w14:textId="77777777" w:rsidR="000E133F" w:rsidRDefault="00EC5ECA">
      <w:pPr>
        <w:pStyle w:val="Heading3"/>
      </w:pPr>
      <w:bookmarkStart w:id="72" w:name="_Toc232765299"/>
      <w:r>
        <w:lastRenderedPageBreak/>
        <w:t>5.3.b The Anaphora and the Epiclesis</w:t>
      </w:r>
      <w:bookmarkEnd w:id="72"/>
    </w:p>
    <w:p w14:paraId="5B3227FC" w14:textId="77777777" w:rsidR="000E133F" w:rsidRDefault="00EC5ECA">
      <w:pPr>
        <w:spacing w:before="60" w:after="140" w:line="360" w:lineRule="auto"/>
      </w:pPr>
      <w:r>
        <w:t>The central theological act of the Divine Liturgy is the Anaphora — the great prayer of thanksgiving and consecration that constitutes the eucharistic sacrifice. The Anaphora begins with the dialogue between priest and people ("Let us give thanks to the Lord" — "It is meet and right"), moves through the thanksgiving for creation and redemption, the Sanctus ("Holy, Holy, Holy Lord God of Sabaoth"), the account of the Institution (the Words of Institution from 1 Corinthians 11:23–26 and the Synoptic accounts)</w:t>
      </w:r>
      <w:r>
        <w:t xml:space="preserve">, the </w:t>
      </w:r>
      <w:r>
        <w:rPr>
          <w:i/>
          <w:iCs/>
        </w:rPr>
        <w:t>anamnesis</w:t>
      </w:r>
      <w:r>
        <w:t xml:space="preserve"> (the memorial of Christ's death, resurrection, ascension, second coming), the offering of the gifts, and culminates in the </w:t>
      </w:r>
      <w:r>
        <w:rPr>
          <w:i/>
          <w:iCs/>
        </w:rPr>
        <w:t>epiclesis</w:t>
      </w:r>
      <w:r>
        <w:t xml:space="preserve"> — the invocation of the Holy Spirit.</w:t>
      </w:r>
    </w:p>
    <w:p w14:paraId="2E34CED5" w14:textId="77777777" w:rsidR="000E133F" w:rsidRDefault="00EC5ECA">
      <w:pPr>
        <w:spacing w:before="60" w:after="140" w:line="360" w:lineRule="auto"/>
      </w:pPr>
      <w:r>
        <w:t>The Epiclesis is the most theologically controversial and the most theologically decisive element in the Orthodox Anaphora. In the Liturgy of John Chrysostom, the priest prays: "We pray and beseech Thee: Send down Thy Holy Spirit upon us and upon these Gifts here presented. And make this Bread the precious Body of Thy Christ. Amen. And that which is in this Cup, the precious Blood of Thy Christ. Amen. Changing them by Thy Holy Spirit. Amen, Amen, Amen." The critical point is the identification of the moment</w:t>
      </w:r>
      <w:r>
        <w:t xml:space="preserve"> of consecration: in the Orthodox tradition, it is the Epiclesis — the invocation of the Holy Spirit — that effects the transformation of the eucharistic gifts into the Body and Blood of Christ, not (as in medieval Western theology) the Words of Institution.</w:t>
      </w:r>
    </w:p>
    <w:p w14:paraId="3AEF8484" w14:textId="77777777" w:rsidR="000E133F" w:rsidRDefault="00EC5ECA">
      <w:pPr>
        <w:spacing w:before="60" w:after="140" w:line="360" w:lineRule="auto"/>
      </w:pPr>
      <w:r>
        <w:t xml:space="preserve">This difference is not merely rubrical; it reflects a profound theological divergence. The Western focus on the Words of Institution ("This is my Body... This is my Blood") as the moment of consecration — a focus that developed in Scholastic sacramental theology and was formalized in the doctrine of transubstantiation — tends to isolate the eucharistic transformation as a quasi-mechanical act produced by the correct verbal formula spoken by the validly ordained minister. The Orthodox focus on the Epiclesis </w:t>
      </w:r>
      <w:r>
        <w:t>— the prayer for the Holy Spirit's descent — locates the transformation in the context of the personal action of the triune God, responding to the Church's prayer and petition, rather than in the automatic efficacy of a prescribed verbal formula. The transformation is always an act of divine freedom and divine grace, not a mechanical consequence of correct ritual performance.</w:t>
      </w:r>
    </w:p>
    <w:p w14:paraId="11BB8C34" w14:textId="77777777" w:rsidR="000E133F" w:rsidRDefault="00EC5ECA">
      <w:pPr>
        <w:pStyle w:val="Heading3"/>
      </w:pPr>
      <w:bookmarkStart w:id="73" w:name="_Toc232765300"/>
      <w:r>
        <w:t>5.3.c The Real Presence and the Rejection of Transubstantiation</w:t>
      </w:r>
      <w:bookmarkEnd w:id="73"/>
    </w:p>
    <w:p w14:paraId="62FE6EF8" w14:textId="77777777" w:rsidR="000E133F" w:rsidRDefault="00EC5ECA">
      <w:pPr>
        <w:spacing w:before="60" w:after="140" w:line="360" w:lineRule="auto"/>
      </w:pPr>
      <w:r>
        <w:lastRenderedPageBreak/>
        <w:t xml:space="preserve">The Orthodox Church affirms, with great theological seriousness, that the eucharistic gifts are truly and really the Body and Blood of Christ — not symbols, not mere memorials, not instruments through which the absent Christ becomes spiritually present to the individual's faith. The post-communion prayer of the Divine Liturgy makes this explicit: "We have seen the Resurrection of Christ, we have partaken of the immaculate Body and the precious Blood..." The language is not "we have symbolically remembered" </w:t>
      </w:r>
      <w:r>
        <w:t>or "we have received an invisible spiritual grace"; it is "we have partaken (</w:t>
      </w:r>
      <w:r>
        <w:rPr>
          <w:i/>
          <w:iCs/>
        </w:rPr>
        <w:t>metalabontes</w:t>
      </w:r>
      <w:r>
        <w:t>)" — we have actually participated in, consumed, and become one with the Body and Blood.</w:t>
      </w:r>
    </w:p>
    <w:p w14:paraId="55F41641" w14:textId="77777777" w:rsidR="000E133F" w:rsidRDefault="00EC5ECA">
      <w:pPr>
        <w:spacing w:before="60" w:after="140" w:line="360" w:lineRule="auto"/>
      </w:pPr>
      <w:r>
        <w:t xml:space="preserve">The Orthodox distinction from the Catholic doctrine of transubstantiation is not about the reality of the presence but about the philosophical account of that reality. Transubstantiation — the doctrine that the eucharistic substance is transformed from the substance of bread and wine to the substance of the Body and Blood while the accidents (appearances) of bread and wine remain — employs the Aristotelian categories of substance and accident in a way that the Orthodox tradition finds philosophically alien </w:t>
      </w:r>
      <w:r>
        <w:t xml:space="preserve">and theologically problematic. Nicholas Cabasilas, the fourteenth-century Orthodox liturgical theologian, speaks of the eucharistic transformation as a genuine ontological change of the bread and wine into the Body and Blood, but he does not attempt to explain the </w:t>
      </w:r>
      <w:r>
        <w:rPr>
          <w:i/>
          <w:iCs/>
        </w:rPr>
        <w:t>how</w:t>
      </w:r>
      <w:r>
        <w:t xml:space="preserve"> of this transformation in Aristotelian categories. The question of how the bread becomes the Body of Christ is, for the Orthodox tradition, the mystery that cannot and should not be dissolved into philosophical analysis. As John of Damascus wr</w:t>
      </w:r>
      <w:r>
        <w:t xml:space="preserve">ites in </w:t>
      </w:r>
      <w:r>
        <w:rPr>
          <w:i/>
          <w:iCs/>
        </w:rPr>
        <w:t>Exact Exposition</w:t>
      </w:r>
      <w:r>
        <w:t xml:space="preserve"> IV.13: "How the bread becomes the Body of Christ, and the wine and water become the Blood of Christ, I shall tell thee. The Holy Spirit comes upon them and accomplishes what surpasses every word and thought." The reality is affirmed; the philosophical mechanism is left as mystery.</w:t>
      </w:r>
    </w:p>
    <w:p w14:paraId="1006A69D" w14:textId="77777777" w:rsidR="000E133F" w:rsidRDefault="00EC5ECA">
      <w:pPr>
        <w:spacing w:before="60" w:after="140" w:line="360" w:lineRule="auto"/>
      </w:pPr>
      <w:r>
        <w:t xml:space="preserve">The Eucharist as participation in the heavenly Liturgy is a dimension of the real presence that Orthodox theology develops with particular richness. Drawing on Revelation 4–5 (the heavenly throne-room worship of the Lamb) and Hebrews 12:22–24 ("But you have come to Mount Zion and to the city of the living God, the heavenly Jerusalem, and to innumerable angels in festal gathering, and to the assembly of the firstborn who are enrolled in heaven, and to God, the judge of all, and to the spirits of </w:t>
      </w:r>
      <w:r>
        <w:lastRenderedPageBreak/>
        <w:t>the righteous made perfect, and to Jesus, the mediator of a new covenant"), the Orthodox tradition understands the Divine Liturgy as a participation in the eternal self-offering of the Lamb — not a repetition of Calvary, which would imply that Christ's once-for-all sacrifice was insufficient, but a real participation in the heavenly Liturgy of which the Passion was the eternal, never-exhausted source. The priest stands before the altar as an image (</w:t>
      </w:r>
      <w:r>
        <w:rPr>
          <w:i/>
          <w:iCs/>
        </w:rPr>
        <w:t>eikōn</w:t>
      </w:r>
      <w:r>
        <w:t>) of Christ the great High Priest; the assembled congr</w:t>
      </w:r>
      <w:r>
        <w:t>egation participates in the eternal praise of the saints and angels; the eucharistic gifts are the same eternal Body and Blood that are simultaneously "slain from the foundation of the world" (Revelation 13:8) and eternally glorified in the heavenly Jerusalem.</w:t>
      </w:r>
    </w:p>
    <w:p w14:paraId="6A329732" w14:textId="77777777" w:rsidR="000E133F" w:rsidRDefault="00EC5ECA">
      <w:pPr>
        <w:spacing w:before="60" w:after="140" w:line="360" w:lineRule="auto"/>
      </w:pPr>
      <w:r>
        <w:t xml:space="preserve">Schmemann's distinction between "the sacrament of the assembly" and the Western individualistic spirituality of communion is crucial here. Western piety — especially post-Tridentine Catholic piety and its Protestant analogues — has tended to focus the eucharistic experience on the individual's personal communion with the (privately present) Christ: the moment of receiving the host becomes a moment of individual spiritual transaction. Schmemann argues that this reflects a fundamental misunderstanding of the </w:t>
      </w:r>
      <w:r>
        <w:t>Eucharist's ecclesiological structure. The Eucharist is the act of the whole Church gathered as the one Body of Christ; it cannot be understood in isolation from the assembly (</w:t>
      </w:r>
      <w:r>
        <w:rPr>
          <w:i/>
          <w:iCs/>
        </w:rPr>
        <w:t>synaxis</w:t>
      </w:r>
      <w:r>
        <w:t>) of the faithful as its irreducible context. "The Eucharist," he writes, "is the act of the Church herself, of her being gathered into the one Body of Christ, and therefore the source and the 'moment' of the true manifestation of the Church to herself and to the world." The individual communicant does not receive Christ as a p</w:t>
      </w:r>
      <w:r>
        <w:t>rivate person receiving a private gift; the individual receives the Body as a member of the Body — as part of the whole that is simultaneously offering the sacrifice and receiving the gift.</w:t>
      </w:r>
    </w:p>
    <w:p w14:paraId="31DF41EA" w14:textId="77777777" w:rsidR="000E133F" w:rsidRDefault="00EC5ECA">
      <w:pPr>
        <w:pStyle w:val="Heading2"/>
      </w:pPr>
      <w:bookmarkStart w:id="74" w:name="_Toc232765301"/>
      <w:r>
        <w:t>5.4 Holy Confession</w:t>
      </w:r>
      <w:bookmarkEnd w:id="74"/>
    </w:p>
    <w:p w14:paraId="5CF0854C" w14:textId="77777777" w:rsidR="000E133F" w:rsidRDefault="00EC5ECA">
      <w:pPr>
        <w:spacing w:before="60" w:after="140" w:line="360" w:lineRule="auto"/>
      </w:pPr>
      <w:r>
        <w:t xml:space="preserve">The mystery of repentance — confession — occupies a distinctive place in Orthodox sacramental theology because it is, more explicitly than any other mystery, the mystery of personal freedom and personal responsibility. The other mysteries are, in a sense, administered to the recipient: the candidate for baptism is immersed, the candidate for chrismation is anointed, the communicant receives the eucharistic gifts from the hand </w:t>
      </w:r>
      <w:r>
        <w:lastRenderedPageBreak/>
        <w:t>of the deacon. But in confession, the penitent must actively speak — must name the sin, acknowledge the responsibility, express the sorrow and the desire for change. This active speaking of the truth about oneself before God is itself a participation in the divine life, since God is truth and the naming of one's sin is an act of alignment with the divine perspective on human reality.</w:t>
      </w:r>
    </w:p>
    <w:p w14:paraId="1236A5E7" w14:textId="77777777" w:rsidR="000E133F" w:rsidRDefault="00EC5ECA">
      <w:pPr>
        <w:spacing w:before="60" w:after="140" w:line="360" w:lineRule="auto"/>
      </w:pPr>
      <w:r>
        <w:t>The Orthodox rite of confession begins with a rubric that encodes the theology of the mystery: "Behold, my child, Christ stands here invisibly and receives your confession. Therefore do not be ashamed, do not fear, and hide nothing from me; but tell me without hesitation all things that you have done, that you may receive forgiveness from our Lord Jesus Christ." The priest functions not as the judge or the authority from whom forgiveness flows but as a witness — and the rubric's insistence that it is Christ</w:t>
      </w:r>
      <w:r>
        <w:t xml:space="preserve"> who "stands here invisibly" receiving the confession makes clear that the spiritual transaction is between the penitent and Christ, not between the penitent and the priest. The priest's absolution prayer (</w:t>
      </w:r>
      <w:r>
        <w:rPr>
          <w:i/>
          <w:iCs/>
        </w:rPr>
        <w:t>euchelaion</w:t>
      </w:r>
      <w:r>
        <w:t>) confirms this: "May our Lord and God Jesus Christ, through the grace and mercy of His love for mankind, forgive you, my child, all your transgressions. And I, His unworthy priest, through the power given to me by Him, forgive and absolve you of all your sins." The "I forgive" is made in Christ</w:t>
      </w:r>
      <w:r>
        <w:t>'s name and by Christ's authority, not by the priest's own authority; the priest is the representative of the Church that Christ has empowered to bind and to loose (Matthew 18:18).</w:t>
      </w:r>
    </w:p>
    <w:p w14:paraId="55875AF8" w14:textId="77777777" w:rsidR="000E133F" w:rsidRDefault="00EC5ECA">
      <w:pPr>
        <w:spacing w:before="60" w:after="140" w:line="360" w:lineRule="auto"/>
      </w:pPr>
      <w:r>
        <w:t xml:space="preserve">The Orthodox understanding of the </w:t>
      </w:r>
      <w:r>
        <w:rPr>
          <w:i/>
          <w:iCs/>
        </w:rPr>
        <w:t>epitimia</w:t>
      </w:r>
      <w:r>
        <w:t xml:space="preserve"> — the penance assigned by the confessor — as medicine rather than punishment is a direct consequence of the medical model of sin developed in Orthodox anthropology. The epitimia is not a payment of a penal debt; it is a prescription for the healing of the spiritual disease. If a person has fallen into repeated dishonesty, the confessor might prescribe intensive reading of the truth-revealing Psalms. If a person has been enslaved by sensual passion, fasting and increased physical ascesis might be pr</w:t>
      </w:r>
      <w:r>
        <w:t>escribed. The epitimia is calibrated to the specific disorder of the penitent's soul, not to the objective gravity of the transgression in a juridical scale; and the goal is the healing of the soul, the restoration of its natural orientation toward God, not the satisfaction of an external standard of penal justice.</w:t>
      </w:r>
    </w:p>
    <w:p w14:paraId="44B9C3F2" w14:textId="77777777" w:rsidR="000E133F" w:rsidRDefault="00EC5ECA">
      <w:pPr>
        <w:pStyle w:val="Heading2"/>
      </w:pPr>
      <w:bookmarkStart w:id="75" w:name="_Toc232765302"/>
      <w:r>
        <w:t>5.5 Holy Orders</w:t>
      </w:r>
      <w:bookmarkEnd w:id="75"/>
    </w:p>
    <w:p w14:paraId="259EEB50" w14:textId="77777777" w:rsidR="000E133F" w:rsidRDefault="00EC5ECA">
      <w:pPr>
        <w:spacing w:before="60" w:after="140" w:line="360" w:lineRule="auto"/>
      </w:pPr>
      <w:r>
        <w:lastRenderedPageBreak/>
        <w:t xml:space="preserve">The theology of holy orders in the Orthodox tradition is inseparable from the theology of the Church as the Body of Christ and the People of God. Ordination — </w:t>
      </w:r>
      <w:r>
        <w:rPr>
          <w:i/>
          <w:iCs/>
        </w:rPr>
        <w:t>cheirotonia</w:t>
      </w:r>
      <w:r>
        <w:t>, the "stretching forth of the hand" by the ordaining bishop — is not the conferral of a power that the ordained person lacked before, as in a juridical transfer of supernatural authority. It is rather the specification and activation of a ministry that already exists in germinal form in the royal priesthood of all the baptized (1 Peter 2:9): every Christian is baptismally ordained to the priesthood of creation, and holy orders specifies this baptismal priesthood by ordaining particular persons t</w:t>
      </w:r>
      <w:r>
        <w:t>o serve the community in the particular ministries of bishop, presbyter, and deacon.</w:t>
      </w:r>
    </w:p>
    <w:p w14:paraId="5CB63214" w14:textId="77777777" w:rsidR="000E133F" w:rsidRDefault="00EC5ECA">
      <w:pPr>
        <w:spacing w:before="60" w:after="140" w:line="360" w:lineRule="auto"/>
      </w:pPr>
      <w:r>
        <w:t>The three orders of the Orthodox Church correspond to the three orders attested in the New Testament and the earliest patristic evidence. The deacon (</w:t>
      </w:r>
      <w:r>
        <w:rPr>
          <w:i/>
          <w:iCs/>
        </w:rPr>
        <w:t>diakonos</w:t>
      </w:r>
      <w:r>
        <w:t xml:space="preserve"> — servant, minister) serves the community in practical and liturgical ministries: assisting at the Liturgy, reading the Gospel, leading the litanies, caring for the poor. The presbyter (</w:t>
      </w:r>
      <w:r>
        <w:rPr>
          <w:i/>
          <w:iCs/>
        </w:rPr>
        <w:t>presbyteros</w:t>
      </w:r>
      <w:r>
        <w:t xml:space="preserve"> — elder) leads the local eucharistic community, preaches, administers the sacraments (except ordination and the consecration of the Holy Chrism), and serves as the spiritual father of the community under the bishop's oversight. The bishop (</w:t>
      </w:r>
      <w:r>
        <w:rPr>
          <w:i/>
          <w:iCs/>
        </w:rPr>
        <w:t>episkopos</w:t>
      </w:r>
      <w:r>
        <w:t xml:space="preserve"> — overseer) is the fullness of the priesthood: only the</w:t>
      </w:r>
      <w:r>
        <w:t xml:space="preserve"> bishop can ordain; only the bishop (or a group of bishops) can consecrate other bishops; only the Patriarch can consecrate the Holy Chrism used in the entire diocese. The bishop is the icon of Christ the High Priest at the head of the local Church, and through him the apostolic succession is transmitted — the unbroken chain of episcopal ordinations going back, through historical and sacramental continuity, to the apostolic foundation.</w:t>
      </w:r>
    </w:p>
    <w:p w14:paraId="54AC172F" w14:textId="77777777" w:rsidR="000E133F" w:rsidRDefault="00EC5ECA">
      <w:pPr>
        <w:spacing w:before="60" w:after="140" w:line="360" w:lineRule="auto"/>
      </w:pPr>
      <w:r>
        <w:t xml:space="preserve">Apostolic succession in the Orthodox understanding is not merely a legalistic chain of valid ordinations ensuring the technical validity of sacramental acts (which is how it has sometimes been understood in Western polemics). It is the conduit of the Church's apostolic </w:t>
      </w:r>
      <w:r>
        <w:rPr>
          <w:i/>
          <w:iCs/>
        </w:rPr>
        <w:t>identity</w:t>
      </w:r>
      <w:r>
        <w:t xml:space="preserve"> — the living transmission not only of the authority to ordain but of the apostolic faith, the apostolic charism, the apostolic way of life. Georges Florovsky insists that apostolic succession "is not merely a mechanical succession of persons but a succession of charisma, of the apostolic faith." The bishop who receives apostolic succession is receiving the mantle of those who received it from the Apostles; he is </w:t>
      </w:r>
      <w:r>
        <w:lastRenderedPageBreak/>
        <w:t>taking up the responsibility of faithful transmission and living articulation of the ap</w:t>
      </w:r>
      <w:r>
        <w:t>ostolic tradition in his own person and ministry.</w:t>
      </w:r>
    </w:p>
    <w:p w14:paraId="690251D2" w14:textId="77777777" w:rsidR="000E133F" w:rsidRDefault="00EC5ECA">
      <w:pPr>
        <w:spacing w:before="60" w:after="140" w:line="360" w:lineRule="auto"/>
      </w:pPr>
      <w:r>
        <w:t xml:space="preserve">The Orthodox rejection of the ordination of women to the priesthood and episcopacy is not based primarily on sociological or cultural arguments but on theological ones. The priest stands at the Eucharist as an </w:t>
      </w:r>
      <w:r>
        <w:rPr>
          <w:i/>
          <w:iCs/>
        </w:rPr>
        <w:t>icon</w:t>
      </w:r>
      <w:r>
        <w:t xml:space="preserve"> of Christ — not merely a functionary performing a rite, but a sacramental image of the divine-human Bridegroom who is the Head of the Body. The Bridegroom-Bride relationship between Christ and the Church (Ephesians 5:25–32) — which is the ontological structure of the sacramental economy — would be iconically confused if the one standing in the icon of the Bridegroom were a woman. This argument, derived from the sacramental-iconic theology of the Church rather than from abstract prohibitions, reflects t</w:t>
      </w:r>
      <w:r>
        <w:t>he Orthodox conviction that the gender of Christ's humanity was not an accident of the Incarnation but was soteriologically and symbolically significant: the second Adam was male as the first Adam was male, because the Bride-Bridegroom typology that runs through the whole of Scripture from Genesis to Revelation requires a Bridegroom as well as a Bride.</w:t>
      </w:r>
    </w:p>
    <w:p w14:paraId="1909C6C6" w14:textId="77777777" w:rsidR="000E133F" w:rsidRDefault="00EC5ECA">
      <w:pPr>
        <w:spacing w:before="60" w:after="140" w:line="360" w:lineRule="auto"/>
      </w:pPr>
      <w:r>
        <w:t>The practice of a married priesthood (at the level of deacons and presbyters) alongside a monastic (celibate) episcopate reflects the Orthodox conviction that marriage and celibacy are two distinct and equally valid forms of the Christian vocation, not a hierarchical scale in which celibacy is higher. The parish priest who is married and raising a family is not spiritually inferior to the celibate monk-bishop; he is living a different and equally Christ-like form of the one Christian life. The canonical req</w:t>
      </w:r>
      <w:r>
        <w:t>uirement that bishops be drawn from the monastic clergy (or, if widowed, profess monastic vows before consecration) reflects the practical and spiritual demands of the episcopal office, which requires a undivided attention and a freedom from family responsibilities, rather than a theological statement about the superiority of celibacy.</w:t>
      </w:r>
    </w:p>
    <w:p w14:paraId="271B5979" w14:textId="77777777" w:rsidR="000E133F" w:rsidRDefault="00EC5ECA">
      <w:pPr>
        <w:pStyle w:val="Heading2"/>
      </w:pPr>
      <w:bookmarkStart w:id="76" w:name="_Toc232765303"/>
      <w:r>
        <w:t>5.6 Holy Matrimony</w:t>
      </w:r>
      <w:bookmarkEnd w:id="76"/>
    </w:p>
    <w:p w14:paraId="5F442BA1" w14:textId="77777777" w:rsidR="000E133F" w:rsidRDefault="00EC5ECA">
      <w:pPr>
        <w:spacing w:before="60" w:after="140" w:line="360" w:lineRule="auto"/>
      </w:pPr>
      <w:r>
        <w:t>The Orthodox theology of marriage is among the most distinctive and theologically rich in the Christian tradition. The crowning ceremony — from which Orthodox marriage takes its informal name, "the Crowning" — encodes the theology of the mystery in its central ritual gesture. Two crowns (</w:t>
      </w:r>
      <w:r>
        <w:rPr>
          <w:i/>
          <w:iCs/>
        </w:rPr>
        <w:t>stephana</w:t>
      </w:r>
      <w:r>
        <w:t xml:space="preserve">) — traditionally made of flowers, metal, or </w:t>
      </w:r>
      <w:r>
        <w:lastRenderedPageBreak/>
        <w:t>olive branches — are placed on the heads of bride and groom, and in some traditions exchanged between them three times. The crown is the symbol of martyrdom and glory simultaneously: the martyr's crown of victory in the ancient Church was the crown of the athlete (</w:t>
      </w:r>
      <w:r>
        <w:rPr>
          <w:i/>
          <w:iCs/>
        </w:rPr>
        <w:t>stephanos</w:t>
      </w:r>
      <w:r>
        <w:t>) who had won the contest; the royal crown of the king who governs and serves; and, in the early liturgical tradition, the crown of the bridal martyrdom — the couple "dying to themselves" in se</w:t>
      </w:r>
      <w:r>
        <w:t>rvice to one another and to the kingdom of God they are called to embody in their common life.</w:t>
      </w:r>
    </w:p>
    <w:p w14:paraId="554AB3ED" w14:textId="77777777" w:rsidR="000E133F" w:rsidRDefault="00EC5ECA">
      <w:pPr>
        <w:spacing w:before="60" w:after="140" w:line="360" w:lineRule="auto"/>
      </w:pPr>
      <w:r>
        <w:t>The eschatological dimension of Orthodox matrimony is expressed in the most beautiful of the wedding hymns: "O Holy Martyrs, who fought the good fight and have received your crowns, entreat ye the Lord that our souls may be saved." The newly married couple is greeted with the hymn of the martyrs: their marriage is a martyrdom, a witness (</w:t>
      </w:r>
      <w:r>
        <w:rPr>
          <w:i/>
          <w:iCs/>
        </w:rPr>
        <w:t>martyria</w:t>
      </w:r>
      <w:r>
        <w:t>), a dying to self for love of the other. This is not mere rhetoric; it is the theological claim that the married life, properly lived, is a form of the ascetic life — a path toward theosis in which the couple's mutual self-giving is simultaneously a participation in the self-giving love of the Trinity and a witness to the eschatological union of Christ and His Church.</w:t>
      </w:r>
    </w:p>
    <w:p w14:paraId="2DE56F47" w14:textId="77777777" w:rsidR="000E133F" w:rsidRDefault="00EC5ECA">
      <w:pPr>
        <w:spacing w:before="60" w:after="140" w:line="360" w:lineRule="auto"/>
      </w:pPr>
      <w:r>
        <w:t>The apostolic text governing the Orthodox theology of marriage is Ephesians 5:25–32, where Paul draws the analogy between the love of husband and wife and the love of Christ for the Church, and calls the relationship a "</w:t>
      </w:r>
      <w:r>
        <w:rPr>
          <w:i/>
          <w:iCs/>
        </w:rPr>
        <w:t>mega mysterion</w:t>
      </w:r>
      <w:r>
        <w:t xml:space="preserve">" — a great mystery, a word that the Vulgate renders </w:t>
      </w:r>
      <w:r>
        <w:rPr>
          <w:i/>
          <w:iCs/>
        </w:rPr>
        <w:t>sacramentum</w:t>
      </w:r>
      <w:r>
        <w:t>. The marriage of man and woman is a sacrament, a mystery, precisely because it is the icon of the most fundamental mystery of all — the union of the divine Bridegroom with His human Bride, the Church. Every Christian marriage is an icon of the Incarnation and the Paschal event: the husband lays down his life for his wife as Christ laid down His life for the Church; the wife receives this love and responds with the free, loving gi</w:t>
      </w:r>
      <w:r>
        <w:t>ft of herself as the Church responds to Christ.</w:t>
      </w:r>
    </w:p>
    <w:p w14:paraId="55EACB03" w14:textId="77777777" w:rsidR="000E133F" w:rsidRDefault="00EC5ECA">
      <w:pPr>
        <w:spacing w:before="60" w:after="140" w:line="360" w:lineRule="auto"/>
      </w:pPr>
      <w:r>
        <w:t>The Orthodox Church practices economia (</w:t>
      </w:r>
      <w:r>
        <w:rPr>
          <w:i/>
          <w:iCs/>
        </w:rPr>
        <w:t>oikonomia</w:t>
      </w:r>
      <w:r>
        <w:t xml:space="preserve">) — pastoral accommodation — in permitting a second and even a third marriage for widowed or divorced persons, while maintaining the ideal of the indissolubility of the first marriage as the eschatological norm. The service for the second and third marriage is deliberately penitential in </w:t>
      </w:r>
      <w:r>
        <w:lastRenderedPageBreak/>
        <w:t>character — the crowning ceremony is simplified or omitted, and prayers of repentance are included — acknowledging that the ideal has not been achieved while nonetheless extending the Church's blessing on the genui</w:t>
      </w:r>
      <w:r>
        <w:t>ne love of persons who seek to enter a new marital union after loss or failure. This pastoral flexibility is not a compromise of the theology of marriage but an expression of the Orthodox doctrine of economia: the absolute norm of the Kingdom is held before the faithful as their goal, and pastoral accommodation is made for the weakness of the fallen human condition without denying the norm.</w:t>
      </w:r>
    </w:p>
    <w:p w14:paraId="2B7B1239" w14:textId="77777777" w:rsidR="000E133F" w:rsidRDefault="00EC5ECA">
      <w:pPr>
        <w:pStyle w:val="Heading2"/>
      </w:pPr>
      <w:bookmarkStart w:id="77" w:name="_Toc232765304"/>
      <w:r>
        <w:t>5.7 Holy Unction</w:t>
      </w:r>
      <w:bookmarkEnd w:id="77"/>
    </w:p>
    <w:p w14:paraId="2B76F045" w14:textId="77777777" w:rsidR="000E133F" w:rsidRDefault="00EC5ECA">
      <w:pPr>
        <w:spacing w:before="60" w:after="140" w:line="360" w:lineRule="auto"/>
      </w:pPr>
      <w:r>
        <w:t xml:space="preserve">The mystery of Holy Unction — </w:t>
      </w:r>
      <w:r>
        <w:rPr>
          <w:i/>
          <w:iCs/>
        </w:rPr>
        <w:t>euchelaion</w:t>
      </w:r>
      <w:r>
        <w:t xml:space="preserve"> — is the sacramental healing of soul and body through the anointing with blessed oil by the Church's priesthood. The scriptural warrant is explicit and normative: James 5:14–15 commands: "Is anyone among you sick? Let him call for the elders of the church, and let them pray over him, anointing him with oil in the name of the Lord. And the prayer of faith will save (</w:t>
      </w:r>
      <w:r>
        <w:rPr>
          <w:i/>
          <w:iCs/>
        </w:rPr>
        <w:t>sōsei</w:t>
      </w:r>
      <w:r>
        <w:t>) the one who is sick, and the Lord will raise him up. And if he has committed sins, he will be forgiven." Three things are prom</w:t>
      </w:r>
      <w:r>
        <w:t>ised in these verses: healing of the sick, raising up of the afflicted, and forgiveness of sins. The Orthodox interpretation takes all three literally and applies the mystery accordingly.</w:t>
      </w:r>
    </w:p>
    <w:p w14:paraId="0CEC5F8F" w14:textId="77777777" w:rsidR="000E133F" w:rsidRDefault="00EC5ECA">
      <w:pPr>
        <w:spacing w:before="60" w:after="140" w:line="360" w:lineRule="auto"/>
      </w:pPr>
      <w:r>
        <w:t>The most important theological distinction between the Orthodox practice of Holy Unction and the Roman Catholic "Last Rites" or "Anointing of the Sick" is the scope of the mystery's application. In the medieval Western tradition, the mystery came to be reserved almost exclusively for those in danger of death — an "extreme unction" administered as the final preparation for judgment. This restriction narrowed the scope of the Jacobean command, which speaks of "the sick" without qualification as to severity. O</w:t>
      </w:r>
      <w:r>
        <w:t xml:space="preserve">rthodox practice maintains the full range of James's command: Holy Unction is administered to all the sick — those who are chronically ill, those who are spiritually afflicted (since the mystery heals both soul and body), and in many Orthodox communities those who are in spiritual need but not physically ill. In Greece and in some other Orthodox traditions, the entire congregation participates in a communal celebration of Holy Unction on Holy Wednesday, regardless of whether the participants </w:t>
      </w:r>
      <w:r>
        <w:lastRenderedPageBreak/>
        <w:t xml:space="preserve">are physically </w:t>
      </w:r>
      <w:r>
        <w:t>ill: the mystery is understood as a healing and refreshing of the whole person in preparation for the Paschal triduum.</w:t>
      </w:r>
    </w:p>
    <w:p w14:paraId="631AB847" w14:textId="77777777" w:rsidR="000E133F" w:rsidRDefault="00EC5ECA">
      <w:pPr>
        <w:spacing w:before="60" w:after="140" w:line="360" w:lineRule="auto"/>
      </w:pPr>
      <w:r>
        <w:t>The rite of Holy Unction, as practiced in the Orthodox tradition, involves the reading of seven epistles and seven Gospel passages, the anointing of the forehead, nostrils, cheeks, lips, breast, and hands with blessed oil, and the placing of the open Gospel book on the head of the recipient as a sign of Christ's healing presence. The sevenfold structure of the rite reflects the tradition that seven priests should ideally celebrate the mystery together — a witness to the communal and ecclesial character of t</w:t>
      </w:r>
      <w:r>
        <w:t>he healing prayer, and a reminder that the Church as a whole is the agent of the mystery, not any individual priest.</w:t>
      </w:r>
    </w:p>
    <w:p w14:paraId="131C7900" w14:textId="77777777" w:rsidR="000E133F" w:rsidRDefault="00EC5ECA">
      <w:pPr>
        <w:pStyle w:val="Heading1"/>
        <w:pageBreakBefore/>
      </w:pPr>
      <w:bookmarkStart w:id="78" w:name="_Toc232765305"/>
      <w:r>
        <w:lastRenderedPageBreak/>
        <w:t>CHAPTER SIX: HOLY TRADITION, SCRIPTURE, AND THE ORTHODOX CANON</w:t>
      </w:r>
      <w:bookmarkEnd w:id="78"/>
    </w:p>
    <w:p w14:paraId="465ABC7B" w14:textId="77777777" w:rsidR="000E133F" w:rsidRDefault="00EC5ECA">
      <w:pPr>
        <w:pStyle w:val="Heading2"/>
      </w:pPr>
      <w:bookmarkStart w:id="79" w:name="_Toc232765306"/>
      <w:r>
        <w:t>6.1 The Orthodox Doctrine of Holy Tradition: Not a Second Source but the Living Context</w:t>
      </w:r>
      <w:bookmarkEnd w:id="79"/>
    </w:p>
    <w:p w14:paraId="21FD9F77" w14:textId="77777777" w:rsidR="000E133F" w:rsidRDefault="00EC5ECA">
      <w:pPr>
        <w:pStyle w:val="Heading3"/>
      </w:pPr>
      <w:bookmarkStart w:id="80" w:name="_Toc232765307"/>
      <w:r>
        <w:t>6.1.a Lossky's Definition and Its Implications</w:t>
      </w:r>
      <w:bookmarkEnd w:id="80"/>
    </w:p>
    <w:p w14:paraId="19DB5779" w14:textId="77777777" w:rsidR="000E133F" w:rsidRDefault="00EC5ECA">
      <w:pPr>
        <w:spacing w:before="60" w:after="140" w:line="360" w:lineRule="auto"/>
      </w:pPr>
      <w:r>
        <w:t xml:space="preserve">The most precise and theologically adequate definition of Holy Tradition in the Orthodox understanding comes from Vladimir Lossky in his essay "Tradition and Traditions" (published in </w:t>
      </w:r>
      <w:r>
        <w:rPr>
          <w:i/>
          <w:iCs/>
        </w:rPr>
        <w:t>In the Image and Likeness of God</w:t>
      </w:r>
      <w:r>
        <w:t>): "The pure notion of Tradition can be defined by saying that it is the life of the Holy Spirit in the Church, communicating to each member of the Body of Christ the faculty of hearing, of receiving, of knowing the Truth in the Light that belongs to it, and not according to the natural light of human reason." This definition is immediately striking in what it includes and excludes. It does not define Tradition as a collection of doctrines, a set of texts, a body of rules, or</w:t>
      </w:r>
      <w:r>
        <w:t xml:space="preserve"> a supplementary source of revelation alongside Scripture. It defines Tradition as the very life of the Holy Spirit in the Church — a living, pneumatic reality, not a documentary archive.</w:t>
      </w:r>
    </w:p>
    <w:p w14:paraId="0EB77C20" w14:textId="77777777" w:rsidR="000E133F" w:rsidRDefault="00EC5ECA">
      <w:pPr>
        <w:spacing w:before="60" w:after="140" w:line="360" w:lineRule="auto"/>
      </w:pPr>
      <w:r>
        <w:t xml:space="preserve">This definition has radical implications. If Tradition is the life of the Holy Spirit, then Tradition is not in the first instance a thing that the Church possesses but a life that the Church lives. The Church does not have Tradition as one might have a library; the Church </w:t>
      </w:r>
      <w:r>
        <w:rPr>
          <w:i/>
          <w:iCs/>
        </w:rPr>
        <w:t>is</w:t>
      </w:r>
      <w:r>
        <w:t xml:space="preserve"> the Tradition, in the sense that the Church is the community in which the Holy Spirit continuously, through every generation, makes available the living knowledge of the revealed Truth. Lossky continues: "The Pentecostal fire, communication of the Spirit of Truth proceeding from the Father and sent by the Son, actualizes the supreme faculty of the Church: the consciousness of revealed Truth, the possibility of judging and of discerning between true and false in the Light of the Holy Spirit." Tradition is</w:t>
      </w:r>
      <w:r>
        <w:t>, at its deepest level, the Church's pneumatic faculty of discernment — the capacity, given and maintained by the Spirit, to recognize truth as truth and to reject falsehood as falsehood.</w:t>
      </w:r>
    </w:p>
    <w:p w14:paraId="30218FD3" w14:textId="77777777" w:rsidR="000E133F" w:rsidRDefault="00EC5ECA">
      <w:pPr>
        <w:spacing w:before="60" w:after="140" w:line="360" w:lineRule="auto"/>
      </w:pPr>
      <w:r>
        <w:lastRenderedPageBreak/>
        <w:t xml:space="preserve">This understanding of Tradition is categorically different from both the Roman Catholic "two-source" theory (Scripture and Tradition as parallel, coordinate sources of divine revelation) and the Protestant </w:t>
      </w:r>
      <w:r>
        <w:rPr>
          <w:i/>
          <w:iCs/>
        </w:rPr>
        <w:t>sola scriptura</w:t>
      </w:r>
      <w:r>
        <w:t xml:space="preserve"> principle (Scripture alone as the norm of all theological reflection). Against the two-source theory, the Orthodox position insists that Tradition is not a second, supplementary channel running parallel to Scripture; rather, Scripture exists </w:t>
      </w:r>
      <w:r>
        <w:rPr>
          <w:i/>
          <w:iCs/>
        </w:rPr>
        <w:t>within</w:t>
      </w:r>
      <w:r>
        <w:t xml:space="preserve"> Tradition. Scripture is the primary and most authoritative written expression of Tradition; it is the written crystallization of the apostolic preaching and testimony. But it cannot be read, understood, or rightly interpreted outside the pneumatic </w:t>
      </w:r>
      <w:r>
        <w:t>context of Tradition, because apart from the Holy Spirit — who is the author of Scripture and the author of Tradition as one single divine action — the words of Scripture are susceptible to endless misinterpretation.</w:t>
      </w:r>
    </w:p>
    <w:p w14:paraId="12974DF9" w14:textId="77777777" w:rsidR="000E133F" w:rsidRDefault="00EC5ECA">
      <w:pPr>
        <w:spacing w:before="60" w:after="140" w:line="360" w:lineRule="auto"/>
      </w:pPr>
      <w:r>
        <w:t xml:space="preserve">Against </w:t>
      </w:r>
      <w:r>
        <w:rPr>
          <w:i/>
          <w:iCs/>
        </w:rPr>
        <w:t>sola scriptura</w:t>
      </w:r>
      <w:r>
        <w:t>, the Orthodox position makes the ecclesiological point that the New Testament canon itself is a product of Tradition. The Church did not first receive the New Testament and then use it as the criterion by which to evaluate the various claims and movements of the early Christian world; the Church, guided by the Holy Spirit, discerned which writings authentically expressed the apostolic tradition and thus canonized them. The canon is not prior to the Church; it is a product of the Church's trad</w:t>
      </w:r>
      <w:r>
        <w:t>itioned discernment. To say that Scripture alone is the norm of theological truth is to presuppose a criterion (the canon) that can only be known through the very Tradition one is attempting to subordinate to Scripture. The argument is self-referentially inconsistent.</w:t>
      </w:r>
    </w:p>
    <w:p w14:paraId="51970566" w14:textId="77777777" w:rsidR="000E133F" w:rsidRDefault="00EC5ECA">
      <w:pPr>
        <w:pStyle w:val="Heading3"/>
      </w:pPr>
      <w:bookmarkStart w:id="81" w:name="_Toc232765308"/>
      <w:r>
        <w:t>6.1.b Florovsky on Scripture, Tradition, and Interpretation</w:t>
      </w:r>
      <w:bookmarkEnd w:id="81"/>
    </w:p>
    <w:p w14:paraId="29B6FFE2" w14:textId="77777777" w:rsidR="000E133F" w:rsidRDefault="00EC5ECA">
      <w:pPr>
        <w:spacing w:before="60" w:after="140" w:line="360" w:lineRule="auto"/>
      </w:pPr>
      <w:r>
        <w:t xml:space="preserve">Georges Florovsky's contribution to the Orthodox theology of Tradition is essential and irreplaceable. In his essay "The Function of Tradition in the Ancient Church" (collected in </w:t>
      </w:r>
      <w:r>
        <w:rPr>
          <w:i/>
          <w:iCs/>
        </w:rPr>
        <w:t>Bible, Church, Tradition: An Eastern Orthodox View</w:t>
      </w:r>
      <w:r>
        <w:t xml:space="preserve">), Florovsky develops the argument that the relationship between Scripture and Tradition is not one of two parallel sources but of one living reality. "The Church," he writes, "is not bound by the letter [of Scripture], but by the Spirit. The Church does not confine itself within a written word but lives in it. Scripture is indeed given to the Church, is entrusted to its </w:t>
      </w:r>
      <w:r>
        <w:lastRenderedPageBreak/>
        <w:t>keeping, interpretation, and preaching. But the Church itself is constituted not by Scri</w:t>
      </w:r>
      <w:r>
        <w:t>pture alone but by the fullness of the apostolic tradition."</w:t>
      </w:r>
    </w:p>
    <w:p w14:paraId="6C83552B" w14:textId="77777777" w:rsidR="000E133F" w:rsidRDefault="00EC5ECA">
      <w:pPr>
        <w:spacing w:before="60" w:after="140" w:line="360" w:lineRule="auto"/>
      </w:pPr>
      <w:r>
        <w:t xml:space="preserve">Florovsky's concept of the "neo-patristic synthesis" — articulated at the Athens Congress of 1936 and developed through the decades of his theological career — provides the methodological framework for understanding how Tradition functions as a living hermeneutical principle rather than a dead documentary rule. To "follow the Fathers" is not to repeat their formulations mechanically, as a parrot might; it is to acquire their </w:t>
      </w:r>
      <w:r>
        <w:rPr>
          <w:i/>
          <w:iCs/>
        </w:rPr>
        <w:t>mind</w:t>
      </w:r>
      <w:r>
        <w:t xml:space="preserve"> (</w:t>
      </w:r>
      <w:r>
        <w:rPr>
          <w:i/>
          <w:iCs/>
        </w:rPr>
        <w:t>phronema</w:t>
      </w:r>
      <w:r>
        <w:t>), their theological instinct, their way of attending to the divine reality. "We must not only recite and follow the Fathers," Florovsky insists, "but we must acquire their spirit, enter their perspective, share their orientation." This is a dynamic, creative process — the living Tradition is not a fixed deposit but a growing organism, capable of developing new insights and formulations while remaining organically continuous with its apostolic root. The mark of authentic development — as opposed to corrupti</w:t>
      </w:r>
      <w:r>
        <w:t xml:space="preserve">on or innovation — is precisely the continuity of </w:t>
      </w:r>
      <w:r>
        <w:rPr>
          <w:i/>
          <w:iCs/>
        </w:rPr>
        <w:t>phronema</w:t>
      </w:r>
      <w:r>
        <w:t>, the continuity of theological spirit and orientation, even when the language and conceptual formulations change.</w:t>
      </w:r>
    </w:p>
    <w:p w14:paraId="05674B2F" w14:textId="77777777" w:rsidR="000E133F" w:rsidRDefault="00EC5ECA">
      <w:pPr>
        <w:spacing w:before="60" w:after="140" w:line="360" w:lineRule="auto"/>
      </w:pPr>
      <w:r>
        <w:t xml:space="preserve">The famous distinction between "Tradition" (capital T) and "traditions" (lowercase t) is essential to the Orthodox account. Tradition (capital T) is the living presence of the Holy Spirit in the Church — the pneumatic reality itself, the Church's capacity for divine knowledge. Traditions (lowercase t) are the particular historical expressions of that life in different times and places: liturgical customs, canonical regulations, architectural styles, fasting disciplines, devotional practices. The traditions </w:t>
      </w:r>
      <w:r>
        <w:t>are reformable, adaptable, and relative to historical circumstances; the Tradition is non-negotiable and permanent, because it is the Holy Spirit's own presence and activity. Not every element of the Orthodox tradition carries the same weight; the distinction between the dogmatic and canonical Tradition of the Ecumenical Councils and the local traditions of particular churches is foundational for Orthodox ecumenical engagement.</w:t>
      </w:r>
    </w:p>
    <w:p w14:paraId="66BC0797" w14:textId="77777777" w:rsidR="000E133F" w:rsidRDefault="00EC5ECA">
      <w:pPr>
        <w:pStyle w:val="Heading3"/>
      </w:pPr>
      <w:bookmarkStart w:id="82" w:name="_Toc232765309"/>
      <w:r>
        <w:t>6.1.c The Vincentian Canon and the Patristic Consensus</w:t>
      </w:r>
      <w:bookmarkEnd w:id="82"/>
    </w:p>
    <w:p w14:paraId="567C0A90" w14:textId="77777777" w:rsidR="000E133F" w:rsidRDefault="00EC5ECA">
      <w:pPr>
        <w:spacing w:before="60" w:after="140" w:line="360" w:lineRule="auto"/>
      </w:pPr>
      <w:r>
        <w:t xml:space="preserve">The most famous methodological formulation for identifying the content of authentic Tradition is the Vincentian Canon, articulated by Vincent of Lérins in his </w:t>
      </w:r>
      <w:r>
        <w:rPr>
          <w:i/>
          <w:iCs/>
        </w:rPr>
        <w:lastRenderedPageBreak/>
        <w:t>Commonitorium</w:t>
      </w:r>
      <w:r>
        <w:t xml:space="preserve"> (c. 434): </w:t>
      </w:r>
      <w:r>
        <w:rPr>
          <w:i/>
          <w:iCs/>
        </w:rPr>
        <w:t>"In ipsa item Catholica Ecclesia magnopere curandum est, ut id teneamus quod ubique, quod semper, quod ab omnibus creditum est"</w:t>
      </w:r>
      <w:r>
        <w:t xml:space="preserve"> — "Moreover, in the Catholic Church itself, we take the greatest care to hold that which has been believed everywhere, always, and by all." The three criteria — </w:t>
      </w:r>
      <w:r>
        <w:rPr>
          <w:i/>
          <w:iCs/>
        </w:rPr>
        <w:t>universality</w:t>
      </w:r>
      <w:r>
        <w:t xml:space="preserve"> (</w:t>
      </w:r>
      <w:r>
        <w:rPr>
          <w:i/>
          <w:iCs/>
        </w:rPr>
        <w:t>ubique</w:t>
      </w:r>
      <w:r>
        <w:t xml:space="preserve">), </w:t>
      </w:r>
      <w:r>
        <w:rPr>
          <w:i/>
          <w:iCs/>
        </w:rPr>
        <w:t>antiquity</w:t>
      </w:r>
      <w:r>
        <w:t xml:space="preserve"> (</w:t>
      </w:r>
      <w:r>
        <w:rPr>
          <w:i/>
          <w:iCs/>
        </w:rPr>
        <w:t>semper</w:t>
      </w:r>
      <w:r>
        <w:t xml:space="preserve">), and </w:t>
      </w:r>
      <w:r>
        <w:rPr>
          <w:i/>
          <w:iCs/>
        </w:rPr>
        <w:t>consent</w:t>
      </w:r>
      <w:r>
        <w:t xml:space="preserve"> (</w:t>
      </w:r>
      <w:r>
        <w:rPr>
          <w:i/>
          <w:iCs/>
        </w:rPr>
        <w:t>ab omnibus</w:t>
      </w:r>
      <w:r>
        <w:t>) — constitute a threefold test for authentic Catholic (universal) Christian doctrine. That which all Christians everywhere have alwa</w:t>
      </w:r>
      <w:r>
        <w:t>ys believed is the deposit of faith; departures from this threefold consensus are innovations and thus not authentic Christian doctrine.</w:t>
      </w:r>
    </w:p>
    <w:p w14:paraId="6FAE26ED" w14:textId="77777777" w:rsidR="000E133F" w:rsidRDefault="00EC5ECA">
      <w:pPr>
        <w:spacing w:before="60" w:after="140" w:line="360" w:lineRule="auto"/>
      </w:pPr>
      <w:r>
        <w:t xml:space="preserve">Vincent's own statement of the canon is worth reproducing in full: "We shall follow universality if we acknowledge that one Faith to be true which the whole Church throughout the world confesses; antiquity if we in no wise depart from those interpretations which it is manifest were notoriously held by our holy ancestors and fathers; consent, if in antiquity itself, we keep following the definitions and opinions of all, or certainly nearly all, Bishops and Doctors alike." The qualifications are significant: </w:t>
      </w:r>
      <w:r>
        <w:rPr>
          <w:i/>
          <w:iCs/>
        </w:rPr>
        <w:t>nearly all</w:t>
      </w:r>
      <w:r>
        <w:t xml:space="preserve"> (</w:t>
      </w:r>
      <w:r>
        <w:rPr>
          <w:i/>
          <w:iCs/>
        </w:rPr>
        <w:t>pene omnium</w:t>
      </w:r>
      <w:r>
        <w:t>) bishops and doctors; the standard is not unanimity (which the history of Christian thought makes impossible to achieve) but the overwhelming consensus of those who have maintained the authentic faith through history.</w:t>
      </w:r>
    </w:p>
    <w:p w14:paraId="07185287" w14:textId="77777777" w:rsidR="000E133F" w:rsidRDefault="00EC5ECA">
      <w:pPr>
        <w:spacing w:before="60" w:after="140" w:line="360" w:lineRule="auto"/>
      </w:pPr>
      <w:r>
        <w:t xml:space="preserve">The Orthodox tradition uses the Vincentian Canon as a </w:t>
      </w:r>
      <w:r>
        <w:rPr>
          <w:i/>
          <w:iCs/>
        </w:rPr>
        <w:t>heuristic tool</w:t>
      </w:r>
      <w:r>
        <w:t xml:space="preserve"> rather than an infallible algorithm. It provides guidance for identifying authentic doctrine, but it cannot be applied mechanically: not every ancient practice is necessarily apostolic, and not every apparently universal consensus is necessarily permanent. The Council at Jerusalem (Acts 15) superseded the universal Jewish Christian practice of circumcision; the Seventh Ecumenical Council (787) overthrew the apparently universal practice of iconoclasm that had been enforced under imperial pres</w:t>
      </w:r>
      <w:r>
        <w:t>sure. The Vincentian Canon works within the context of the Church's living Spirit-guided discernment, not as a substitute for it.</w:t>
      </w:r>
    </w:p>
    <w:p w14:paraId="4B22C568" w14:textId="77777777" w:rsidR="000E133F" w:rsidRDefault="00EC5ECA">
      <w:pPr>
        <w:pStyle w:val="Heading3"/>
      </w:pPr>
      <w:bookmarkStart w:id="83" w:name="_Toc232765310"/>
      <w:r>
        <w:t>6.1.d The New Testament's Presupposition of Tradition</w:t>
      </w:r>
      <w:bookmarkEnd w:id="83"/>
    </w:p>
    <w:p w14:paraId="0FFC01BF" w14:textId="77777777" w:rsidR="000E133F" w:rsidRDefault="00EC5ECA">
      <w:pPr>
        <w:spacing w:before="60" w:after="140" w:line="360" w:lineRule="auto"/>
      </w:pPr>
      <w:r>
        <w:t xml:space="preserve">The Orthodox appeal to Tradition as the context of Scripture is confirmed by the New Testament's own self-witness. Paul, writing to the churches he founded, consistently appeals to Tradition as a normative authority alongside Scripture. In 2 Thessalonians </w:t>
      </w:r>
      <w:r>
        <w:lastRenderedPageBreak/>
        <w:t>2:15, he commands: "Stand firm and hold to the traditions (</w:t>
      </w:r>
      <w:r>
        <w:rPr>
          <w:i/>
          <w:iCs/>
        </w:rPr>
        <w:t>paradoseis</w:t>
      </w:r>
      <w:r>
        <w:t xml:space="preserve">) that you were taught by us, either by our spoken word or by our letter." The </w:t>
      </w:r>
      <w:r>
        <w:rPr>
          <w:i/>
          <w:iCs/>
        </w:rPr>
        <w:t>paradoseis</w:t>
      </w:r>
      <w:r>
        <w:t xml:space="preserve"> here includes both oral and written transmission: the oral word and the letter are two modes of the one apostolic Tradition, equally authoritative, not hierarchically ranked with the written superseding the oral. In 1 Corinthians 11:2, he commends the Corinthians: "I commend you because you remember me in everything and maintain the traditions (</w:t>
      </w:r>
      <w:r>
        <w:rPr>
          <w:i/>
          <w:iCs/>
        </w:rPr>
        <w:t>parado</w:t>
      </w:r>
      <w:r>
        <w:rPr>
          <w:i/>
          <w:iCs/>
        </w:rPr>
        <w:t>seis</w:t>
      </w:r>
      <w:r>
        <w:t>) even as I delivered them to you." Again, the traditions are the content of Paul's apostolic preaching, both written and unwritten.</w:t>
      </w:r>
    </w:p>
    <w:p w14:paraId="51DBC37E" w14:textId="77777777" w:rsidR="000E133F" w:rsidRDefault="00EC5ECA">
      <w:pPr>
        <w:spacing w:before="60" w:after="140" w:line="360" w:lineRule="auto"/>
      </w:pPr>
      <w:r>
        <w:t>The pre-Pauline liturgical material embedded in the New Testament is itself an argument for the priority of Tradition over Scripture. The great Christological hymn of Philippians 2:6–11 (</w:t>
      </w:r>
      <w:r>
        <w:rPr>
          <w:i/>
          <w:iCs/>
        </w:rPr>
        <w:t>"who, being in the form of God... emptied himself..."</w:t>
      </w:r>
      <w:r>
        <w:t>) is generally agreed by New Testament scholars to be a pre-Pauline Christian hymn that Paul quotes, not a Pauline composition. Similarly, the creedal formula of 1 Corinthians 15:3–5 (</w:t>
      </w:r>
      <w:r>
        <w:rPr>
          <w:i/>
          <w:iCs/>
        </w:rPr>
        <w:t>"that Christ died for our sins according to the Scriptures, that he was buried, that he was raised on the third day..."</w:t>
      </w:r>
      <w:r>
        <w:t xml:space="preserve">) is introduced by Paul with the explicit language of Tradition-transmission: </w:t>
      </w:r>
      <w:r>
        <w:rPr>
          <w:i/>
          <w:iCs/>
        </w:rPr>
        <w:t>"I delivered (</w:t>
      </w:r>
      <w:r>
        <w:t>paredōka</w:t>
      </w:r>
      <w:r>
        <w:rPr>
          <w:i/>
          <w:iCs/>
        </w:rPr>
        <w:t>) to you as of first importance what I also received (</w:t>
      </w:r>
      <w:r>
        <w:t>pa</w:t>
      </w:r>
      <w:r>
        <w:t>relabon</w:t>
      </w:r>
      <w:r>
        <w:rPr>
          <w:i/>
          <w:iCs/>
        </w:rPr>
        <w:t>)."</w:t>
      </w:r>
      <w:r>
        <w:t xml:space="preserve"> The terms </w:t>
      </w:r>
      <w:r>
        <w:rPr>
          <w:i/>
          <w:iCs/>
        </w:rPr>
        <w:t>paradidōmi</w:t>
      </w:r>
      <w:r>
        <w:t xml:space="preserve"> (to hand on) and </w:t>
      </w:r>
      <w:r>
        <w:rPr>
          <w:i/>
          <w:iCs/>
        </w:rPr>
        <w:t>paralambanō</w:t>
      </w:r>
      <w:r>
        <w:t xml:space="preserve"> (to receive) are the technical vocabulary of </w:t>
      </w:r>
      <w:r>
        <w:rPr>
          <w:i/>
          <w:iCs/>
        </w:rPr>
        <w:t>paradosis</w:t>
      </w:r>
      <w:r>
        <w:t xml:space="preserve"> — tradition, transmission. Paul is explicitly situating himself within a chain of traditioned transmission: he received the formula, he is transmitting it, and the Corinthians are to receive and transmit it in turn. Scripture itself, at its most authoritative formulations, is a product of Tradition.</w:t>
      </w:r>
    </w:p>
    <w:p w14:paraId="76E7A112" w14:textId="77777777" w:rsidR="000E133F" w:rsidRDefault="00EC5ECA">
      <w:pPr>
        <w:pStyle w:val="Heading2"/>
      </w:pPr>
      <w:bookmarkStart w:id="84" w:name="_Toc232765311"/>
      <w:r>
        <w:t>6.2 Scripture Within Tradition: The Orthodox Hermeneutical Principle</w:t>
      </w:r>
      <w:bookmarkEnd w:id="84"/>
    </w:p>
    <w:p w14:paraId="2F1B29C0" w14:textId="77777777" w:rsidR="000E133F" w:rsidRDefault="00EC5ECA">
      <w:pPr>
        <w:pStyle w:val="Heading3"/>
      </w:pPr>
      <w:bookmarkStart w:id="85" w:name="_Toc232765312"/>
      <w:r>
        <w:t>6.2.a The Patristic Hermeneutic</w:t>
      </w:r>
      <w:bookmarkEnd w:id="85"/>
    </w:p>
    <w:p w14:paraId="401D681E" w14:textId="77777777" w:rsidR="000E133F" w:rsidRDefault="00EC5ECA">
      <w:pPr>
        <w:spacing w:before="60" w:after="140" w:line="360" w:lineRule="auto"/>
      </w:pPr>
      <w:r>
        <w:t xml:space="preserve">The Orthodox reading of Scripture is always, constitutively, an ecclesial reading. Scripture is not a text that exists independently of the interpretive community that produced and received it; it is the Church's book, to be read within the Church, by the Church, for the sake of the Church's mission. The Fathers are not merely ancient scholars whose opinions may be consulted as one authority among others; they are the normative interpreters of Scripture within the tradition, whose interpretive instinct and </w:t>
      </w:r>
      <w:r>
        <w:lastRenderedPageBreak/>
        <w:t>theological judgment represent the mind of the Church (</w:t>
      </w:r>
      <w:r>
        <w:rPr>
          <w:i/>
          <w:iCs/>
        </w:rPr>
        <w:t>phronema tēs Ekklēsias</w:t>
      </w:r>
      <w:r>
        <w:t>) as guided by the Holy Spirit.</w:t>
      </w:r>
    </w:p>
    <w:p w14:paraId="433017AC" w14:textId="77777777" w:rsidR="000E133F" w:rsidRDefault="00EC5ECA">
      <w:pPr>
        <w:spacing w:before="60" w:after="140" w:line="360" w:lineRule="auto"/>
      </w:pPr>
      <w:r>
        <w:t xml:space="preserve">This hermeneutical principle has several important consequences. First, it means that no individual reader of Scripture — however learned, however spiritually advanced — has the authority to interpret Scripture in isolation from the tradition. The Protestant principle of the perspicuity of Scripture (that Scripture is sufficiently clear to be understood by the pious individual reader without the mediation of church tradition) is, from the Orthodox perspective, theologically naive: it ignores the structural </w:t>
      </w:r>
      <w:r>
        <w:t>reality that all reading of any text requires prior interpretive frameworks, and that the prior interpretive framework for reading Scripture is precisely the apostolic Tradition that the Holy Spirit has preserved in the Church. To read Scripture without the guidance of the Tradition is not to read it more freely; it is to read it through the unacknowledged framework of one's own cultural, psychological, and intellectual presuppositions.</w:t>
      </w:r>
    </w:p>
    <w:p w14:paraId="2708F3FB" w14:textId="77777777" w:rsidR="000E133F" w:rsidRDefault="00EC5ECA">
      <w:pPr>
        <w:spacing w:before="60" w:after="140" w:line="360" w:lineRule="auto"/>
      </w:pPr>
      <w:r>
        <w:t>Second, the hermeneutical principle means that patristic exegesis is authoritative in a way that modern critical scholarship, however valuable, cannot supplant. The Fathers read Scripture within the full context of the worshiping, praying, sacramental life of the Church; they brought to the text a formation in the spiritual life that equipped them to perceive dimensions of the text invisible to the merely intellectual reader. Florovsky's description of the patristic mind (</w:t>
      </w:r>
      <w:r>
        <w:rPr>
          <w:i/>
          <w:iCs/>
        </w:rPr>
        <w:t>phronema</w:t>
      </w:r>
      <w:r>
        <w:t>) as a living orientation toward the divine — shaped by the Liturgy, by ascetic practice, by participation in the sacraments — captures the Orthodox sense that authentic biblical interpretation is not a purely intellectual achievement but a fruit of the whole Christian life.</w:t>
      </w:r>
    </w:p>
    <w:p w14:paraId="1D84BD80" w14:textId="77777777" w:rsidR="000E133F" w:rsidRDefault="00EC5ECA">
      <w:pPr>
        <w:pStyle w:val="Heading3"/>
      </w:pPr>
      <w:bookmarkStart w:id="86" w:name="_Toc232765313"/>
      <w:r>
        <w:t>6.2.b The Liturgy as Hermeneutical Context</w:t>
      </w:r>
      <w:bookmarkEnd w:id="86"/>
    </w:p>
    <w:p w14:paraId="08669EC3" w14:textId="77777777" w:rsidR="000E133F" w:rsidRDefault="00EC5ECA">
      <w:pPr>
        <w:spacing w:before="60" w:after="140" w:line="360" w:lineRule="auto"/>
      </w:pPr>
      <w:r>
        <w:t xml:space="preserve">Alexander Schmemann's insistence that the Liturgy is the primary locus of scriptural interpretation — that the </w:t>
      </w:r>
      <w:r>
        <w:rPr>
          <w:i/>
          <w:iCs/>
        </w:rPr>
        <w:t>lex orandi</w:t>
      </w:r>
      <w:r>
        <w:t xml:space="preserve"> precedes and shapes the </w:t>
      </w:r>
      <w:r>
        <w:rPr>
          <w:i/>
          <w:iCs/>
        </w:rPr>
        <w:t>lex credendi</w:t>
      </w:r>
      <w:r>
        <w:t xml:space="preserve"> — has a specific application to the Orthodox theology of Scripture. The Orthodox lectionary — the selection and arrangement of Scripture readings for the liturgical year — is itself a theological act, a form of interpretation. The pairing of Old Testament readings with New Testament passages, the selection of particular psalms for particular seasons, the choice of Gospel readings for specific feasts — all of these decisions reflect and transmit </w:t>
      </w:r>
      <w:r>
        <w:lastRenderedPageBreak/>
        <w:t>a theological u</w:t>
      </w:r>
      <w:r>
        <w:t>nderstanding of the unity of Scripture and the structure of salvation history.</w:t>
      </w:r>
    </w:p>
    <w:p w14:paraId="63E54859" w14:textId="77777777" w:rsidR="000E133F" w:rsidRDefault="00EC5ECA">
      <w:pPr>
        <w:spacing w:before="60" w:after="140" w:line="360" w:lineRule="auto"/>
      </w:pPr>
      <w:r>
        <w:t>The Septuagint, as the Bible read in the Divine Liturgy and in the offices of the daily cycle, is not merely one version of the Old Testament among others. It is the theological context in which the New Testament was written, preached, and heard. The authors of the New Testament quoted the Septuagint, not the Hebrew Masoretic text; the theological arguments of Paul, the author of Hebrews, and others depend in many cases on the specific Septuagintal Greek wording, not the Hebrew original. The Messianic readi</w:t>
      </w:r>
      <w:r>
        <w:t xml:space="preserve">ngs of many Septuagintal texts — the famous Isaiah 7:14 ("a virgin shall conceive") rendering </w:t>
      </w:r>
      <w:r>
        <w:rPr>
          <w:i/>
          <w:iCs/>
        </w:rPr>
        <w:t>parthenos</w:t>
      </w:r>
      <w:r>
        <w:t xml:space="preserve"> for the Hebrew </w:t>
      </w:r>
      <w:r>
        <w:rPr>
          <w:i/>
          <w:iCs/>
        </w:rPr>
        <w:t>almah</w:t>
      </w:r>
      <w:r>
        <w:t xml:space="preserve"> — have their foundation in the Septuagintal Greek and are part of the apostolic tradition of reading the Old Testament through the lens of the New.</w:t>
      </w:r>
    </w:p>
    <w:p w14:paraId="6E15704C" w14:textId="77777777" w:rsidR="000E133F" w:rsidRDefault="00EC5ECA">
      <w:pPr>
        <w:pStyle w:val="Heading2"/>
      </w:pPr>
      <w:bookmarkStart w:id="87" w:name="_Toc232765314"/>
      <w:r>
        <w:t>6.3 The Septuagint Canon and the Deuterocanonicals</w:t>
      </w:r>
      <w:bookmarkEnd w:id="87"/>
    </w:p>
    <w:p w14:paraId="4781F803" w14:textId="77777777" w:rsidR="000E133F" w:rsidRDefault="00EC5ECA">
      <w:pPr>
        <w:pStyle w:val="Heading3"/>
      </w:pPr>
      <w:bookmarkStart w:id="88" w:name="_Toc232765315"/>
      <w:r>
        <w:t>6.3.a The Historical Case</w:t>
      </w:r>
      <w:bookmarkEnd w:id="88"/>
    </w:p>
    <w:p w14:paraId="60147436" w14:textId="77777777" w:rsidR="000E133F" w:rsidRDefault="00EC5ECA">
      <w:pPr>
        <w:spacing w:before="60" w:after="140" w:line="360" w:lineRule="auto"/>
      </w:pPr>
      <w:r>
        <w:t>The Eastern Orthodox Church has always used the Septuagint (LXX) as its authoritative Old Testament text, and this usage carries with it the inclusion of books in the Old Testament canon that are absent from the Protestant (and ultimately Masoretic Hebrew) canon but present in the LXX. These books — Tobit, Judith, First and Second Maccabees, Wisdom of Solomon, Sirach (Ecclesiasticus), Baruch, additions to Daniel (the Prayer of Azariah, the Song of the Three Young Men, Bel and the Dragon, Susanna) and additi</w:t>
      </w:r>
      <w:r>
        <w:t>ons to Esther — are called "deuterocanonical" by Catholics and Orthodox, "Apocrypha" by Protestants.</w:t>
      </w:r>
    </w:p>
    <w:p w14:paraId="0BBB35C1" w14:textId="77777777" w:rsidR="000E133F" w:rsidRDefault="00EC5ECA">
      <w:pPr>
        <w:spacing w:before="60" w:after="140" w:line="360" w:lineRule="auto"/>
      </w:pPr>
      <w:r>
        <w:t>The historical argument for the deuterocanonical books rests on the simple observation that the LXX was the Bible of the apostolic and early Church. When Paul writes, he quotes from the LXX; when Matthew, Mark, Luke, John, and the author of Hebrews cite the Old Testament, they characteristically use the LXX text. The Apostolic Church did not have a specifically delimited "Old Testament canon" in the modern Protestant sense; it used the Greek Jewish scriptures as its Old Testament, and the Greek Jewish scrip</w:t>
      </w:r>
      <w:r>
        <w:t xml:space="preserve">tures included the deuterocanonical books. The argument that the Apostolic </w:t>
      </w:r>
      <w:r>
        <w:lastRenderedPageBreak/>
        <w:t>Church was using a heretically expanded canon — one that deviated from the authentic Hebrew original — imports anachronistic categories into a first-century context where the boundaries of the Jewish scriptural collection were not yet rigidly fixed even within Judaism.</w:t>
      </w:r>
    </w:p>
    <w:p w14:paraId="2809E370" w14:textId="77777777" w:rsidR="000E133F" w:rsidRDefault="00EC5ECA">
      <w:pPr>
        <w:spacing w:before="60" w:after="140" w:line="360" w:lineRule="auto"/>
      </w:pPr>
      <w:r>
        <w:t>The New Testament's use of the deuterocanonical books is demonstrable, though the evidence must be assessed carefully since no explicit citation of a deuterocanonical book with the introductory formula "it is written" or "the Scripture says" occurs in the New Testament. However, numerous allusions and intertextual echoes are present. Most significant for the Orthodox argument is Hebrews 11:35b, which refers to those who "were tortured, not accepting release, so that they might obtain a better resurrection."</w:t>
      </w:r>
      <w:r>
        <w:t xml:space="preserve"> This is a transparent allusion to the martyrdoms described in 2 Maccabees 7, where the seven brothers and their mother accept death under torture because they believe in the resurrection of the dead. The argument in Hebrews requires the deuterocanonical text to function as Scripture; the author is citing it as an example of faith in the resurrection that belongs to the "cloud of witnesses" of Hebrews 11. If 2 Maccabees is not Scripture, the argument breaks down.</w:t>
      </w:r>
    </w:p>
    <w:p w14:paraId="1E670D9E" w14:textId="77777777" w:rsidR="000E133F" w:rsidRDefault="00EC5ECA">
      <w:pPr>
        <w:pStyle w:val="Heading3"/>
      </w:pPr>
      <w:bookmarkStart w:id="89" w:name="_Toc232765316"/>
      <w:r>
        <w:t>6.3.b The Synod of Jerusalem (1672) and the Confession of Dositheus</w:t>
      </w:r>
      <w:bookmarkEnd w:id="89"/>
    </w:p>
    <w:p w14:paraId="72821646" w14:textId="77777777" w:rsidR="000E133F" w:rsidRDefault="00EC5ECA">
      <w:pPr>
        <w:spacing w:before="60" w:after="140" w:line="360" w:lineRule="auto"/>
      </w:pPr>
      <w:r>
        <w:t>The Synod of Jerusalem of 1672 — convened by Patriarch Dositheus of Jerusalem — produced the most authoritative post-Reformation Orthodox statement on the canon of Scripture and other disputed points of doctrine. The Confession of Dositheus (eighteen decrees, known also as the Confession of the Eastern Catholic and Apostolic Church) addresses the canon in Decree 3: "We believe the Divine and Sacred Scriptures to be God-taught... We believe the following to be Canonical Scriptures..." and proceeds to list th</w:t>
      </w:r>
      <w:r>
        <w:t>e Old Testament books, including Tobit, Judith, Ecclesiasticus (Sirach), Wisdom, and 1–4 Maccabees. The inclusion of the deuterocanonical books in the authoritative Orthodox canonical list is definitive at this point.</w:t>
      </w:r>
    </w:p>
    <w:p w14:paraId="039D7E42" w14:textId="77777777" w:rsidR="000E133F" w:rsidRDefault="00EC5ECA">
      <w:pPr>
        <w:spacing w:before="60" w:after="140" w:line="360" w:lineRule="auto"/>
      </w:pPr>
      <w:r>
        <w:t xml:space="preserve">The Synod of Jerusalem was responding, in part, to Protestant (specifically Calvinist) attempts to influence the Ecumenical Patriarchate through the person of Patriarch Cyril Lucaris (1572–1638), whose </w:t>
      </w:r>
      <w:r>
        <w:rPr>
          <w:i/>
          <w:iCs/>
        </w:rPr>
        <w:t>Confession of Faith</w:t>
      </w:r>
      <w:r>
        <w:t xml:space="preserve"> (1629) showed significant Calvinist influence including a Protestant understanding of the canon. The Orthodox response — </w:t>
      </w:r>
      <w:r>
        <w:lastRenderedPageBreak/>
        <w:t>articulated through the condemnation of Lucaris at several synods and the positive statement of doctrine at Jerusalem — definitively rejected the Protestant reduction of the Old Testament to the Hebrew Masoretic canon and affirmed the full LXX canon, including the deuterocanonicals.</w:t>
      </w:r>
    </w:p>
    <w:p w14:paraId="4C016325" w14:textId="77777777" w:rsidR="000E133F" w:rsidRDefault="00EC5ECA">
      <w:pPr>
        <w:pStyle w:val="Heading3"/>
      </w:pPr>
      <w:bookmarkStart w:id="90" w:name="_Toc232765317"/>
      <w:r>
        <w:t>6.3.c The Protestant Canon and the Rabbinic Jamnia Decision</w:t>
      </w:r>
      <w:bookmarkEnd w:id="90"/>
    </w:p>
    <w:p w14:paraId="6C4572FB" w14:textId="77777777" w:rsidR="000E133F" w:rsidRDefault="00EC5ECA">
      <w:pPr>
        <w:spacing w:before="60" w:after="140" w:line="360" w:lineRule="auto"/>
      </w:pPr>
      <w:r>
        <w:t>The Orthodox critique of the Protestant Old Testament canon operates on both historical and theological grounds. The historical argument: the Protestant Reformers, in reducing the Old Testament to the twenty-two books of the Hebrew Bible (thirty-nine in the modern Protestant enumeration), aligned themselves with the rabbinic canon as fixed by the Pharisaic tradition, represented in the proceedings sometimes called the "Council of Jamnia" (c. 90 AD). This rabbinic delimitation of the canon — which excluded m</w:t>
      </w:r>
      <w:r>
        <w:t>any Greek texts — was a post-Christian, arguably anti-Christian development. The rabbinical assembly at Jamnia (if the scholarly reconstruction of this event is correct) took place after the destruction of the Temple (70 AD) and the expulsion of Jewish Christians from the synagogue; it reflects the consolidation of rabbinic Judaism as a distinct religious movement defining itself over against both Christianity and the diaspora Judaism that had used the LXX. For the Christian Church to accept the Jamnia rabb</w:t>
      </w:r>
      <w:r>
        <w:t>inic canon as normative for its own Old Testament is, on the Orthodox argument, to allow a post-Christian Jewish decision to override the practice of the Apostles and the patristic Church.</w:t>
      </w:r>
    </w:p>
    <w:p w14:paraId="3F5900A5" w14:textId="77777777" w:rsidR="000E133F" w:rsidRDefault="00EC5ECA">
      <w:pPr>
        <w:spacing w:before="60" w:after="140" w:line="360" w:lineRule="auto"/>
      </w:pPr>
      <w:r>
        <w:t xml:space="preserve">The theological argument: the canon of Scripture belongs to the Church, not to any external authority. The Christian Church received its Old Testament from the Apostles, who used the LXX; the Apostolic Church, the Patristic Church, and the conciliar Church all employed the LXX-based canon including the deuterocanonical books. The Reformation's appeal to the Hebrew Masoretic text as the superior or normative text (the appeal to </w:t>
      </w:r>
      <w:r>
        <w:rPr>
          <w:i/>
          <w:iCs/>
        </w:rPr>
        <w:t>Hebraica veritas</w:t>
      </w:r>
      <w:r>
        <w:t xml:space="preserve">, Hebrew truth) reflects humanist philological instincts of the Renaissance more than theological argument: the claim that the Hebrew text is more "original" and therefore more authoritative than the Greek does not do justice to the Orthodox conviction that the LXX translation itself was providentially guided — that </w:t>
      </w:r>
      <w:r>
        <w:lastRenderedPageBreak/>
        <w:t>the "seventy" translators (according to the Letter of Aristeas tradition and the patristic interpretation of it) translated under the guidance of the Holy Spirit.</w:t>
      </w:r>
    </w:p>
    <w:p w14:paraId="547A7E5A" w14:textId="77777777" w:rsidR="000E133F" w:rsidRDefault="00EC5ECA">
      <w:pPr>
        <w:pStyle w:val="Heading2"/>
      </w:pPr>
      <w:bookmarkStart w:id="91" w:name="_Toc232765318"/>
      <w:r>
        <w:t>6.4 Iconography as Theology in Image</w:t>
      </w:r>
      <w:bookmarkEnd w:id="91"/>
    </w:p>
    <w:p w14:paraId="7A4E1650" w14:textId="77777777" w:rsidR="000E133F" w:rsidRDefault="00EC5ECA">
      <w:pPr>
        <w:pStyle w:val="Heading3"/>
      </w:pPr>
      <w:bookmarkStart w:id="92" w:name="_Toc232765319"/>
      <w:r>
        <w:t>6.4.a The Theological Basis: Incarnation and the Icon</w:t>
      </w:r>
      <w:bookmarkEnd w:id="92"/>
    </w:p>
    <w:p w14:paraId="20BAF02D" w14:textId="77777777" w:rsidR="000E133F" w:rsidRDefault="00EC5ECA">
      <w:pPr>
        <w:spacing w:before="60" w:after="140" w:line="360" w:lineRule="auto"/>
      </w:pPr>
      <w:r>
        <w:t xml:space="preserve">The Orthodox theology of icons cannot be understood apart from the Christological convictions that ground it. The decisive theological argument was made with unmatched clarity by John of Damascus in his </w:t>
      </w:r>
      <w:r>
        <w:rPr>
          <w:i/>
          <w:iCs/>
        </w:rPr>
        <w:t>Three Treatises on the Divine Images</w:t>
      </w:r>
      <w:r>
        <w:t xml:space="preserve"> (c. 730 AD), written in defense of icon veneration during the first phase of the Iconoclast Controversy. Damascus's central argument is that the Incarnation is itself the theological justification for the icon. Before the Incarnation, the prohibition on images was absolute and unqualified: God is spirit, God has no form, God cannot be depicted in matter. But this changed with the Incarnation: "In former times God, who is without form or body, could never be depicted. But</w:t>
      </w:r>
      <w:r>
        <w:t xml:space="preserve"> now when God is seen in the flesh, conversing with men, I make an image of the God whom I see. I do not worship matter; I worship the Creator of matter who became matter for my sake, who willed to take His abode in matter, who worked out my salvation through matter. I will not cease from honoring that matter which works my salvation. I venerate it, though not as God."</w:t>
      </w:r>
    </w:p>
    <w:p w14:paraId="3E9CC497" w14:textId="77777777" w:rsidR="000E133F" w:rsidRDefault="00EC5ECA">
      <w:pPr>
        <w:spacing w:before="60" w:after="140" w:line="360" w:lineRule="auto"/>
      </w:pPr>
      <w:r>
        <w:t>The argument has a compelling inner logic. The Iconoclast objection to icons appealed to the transcendence of God: God is spirit, cannot be circumscribed, cannot be depicted in the finite terms of any material image. If the icons depicted God, the argument ran, they committed idolatry, because no image of the infinite God is possible or licit. Damascus's response: the icons of Christ do not depict the divine nature (which is uncircumscribable) but the divine Person in His assumed humanity (which is circumsc</w:t>
      </w:r>
      <w:r>
        <w:t>ribable). Since the Son of God became man — since He took to Himself a real, physical, historical, visible human nature — He became depictable. To refuse to depict Him is implicitly to deny the reality or the visibility of His humanity; iconoclasm is, therefore, covert Docetism or Monophysitism. If Christ truly became man, He can truly be depicted.</w:t>
      </w:r>
    </w:p>
    <w:p w14:paraId="1F2EB152" w14:textId="77777777" w:rsidR="000E133F" w:rsidRDefault="00EC5ECA">
      <w:pPr>
        <w:spacing w:before="60" w:after="140" w:line="360" w:lineRule="auto"/>
      </w:pPr>
      <w:r>
        <w:lastRenderedPageBreak/>
        <w:t>This Christological argument carries an immediate implication for the theology of matter. The Incarnation sanctified matter. By taking on a human body made of the same matter as the whole of the physical world, the Son of God communicated a divine dignity and a sacramental potential to material reality as such. Matter is no longer simply the lower realm of the perishable and the ephemeral; it has become the vehicle of the divine presence. The same principle that justifies the icon justifies the Eucharist, b</w:t>
      </w:r>
      <w:r>
        <w:t>aptismal water, and the relics of saints: matter, touched by the divine, becomes a bearer of the divine presence and a vehicle of divine grace. The iconoclastic rejection of icons is thus not merely an aesthetic or liturgical dispute; it is a theological rejection of the incarnational transformation of matter.</w:t>
      </w:r>
    </w:p>
    <w:p w14:paraId="5D554FCF" w14:textId="77777777" w:rsidR="000E133F" w:rsidRDefault="00EC5ECA">
      <w:pPr>
        <w:pStyle w:val="Heading3"/>
      </w:pPr>
      <w:bookmarkStart w:id="93" w:name="_Toc232765320"/>
      <w:r>
        <w:t>6.4.b The Theology of the Prototype</w:t>
      </w:r>
      <w:bookmarkEnd w:id="93"/>
    </w:p>
    <w:p w14:paraId="2CE39ACE" w14:textId="77777777" w:rsidR="000E133F" w:rsidRDefault="00EC5ECA">
      <w:pPr>
        <w:spacing w:before="60" w:after="140" w:line="360" w:lineRule="auto"/>
      </w:pPr>
      <w:r>
        <w:t xml:space="preserve">The second great argument of John of Damascus — and of the Seventh Ecumenical Council (Nicaea II, 787), which incorporated and developed his argument — is the distinction between the icon and its prototype, and the claim that honor given to the icon passes through to its prototype. Damascus draws on Basil of Caesarea's authoritative statement in </w:t>
      </w:r>
      <w:r>
        <w:rPr>
          <w:i/>
          <w:iCs/>
        </w:rPr>
        <w:t>On the Holy Spirit</w:t>
      </w:r>
      <w:r>
        <w:t xml:space="preserve"> 18.45: "The honor paid to the image (</w:t>
      </w:r>
      <w:r>
        <w:rPr>
          <w:i/>
          <w:iCs/>
        </w:rPr>
        <w:t>eikonos timē</w:t>
      </w:r>
      <w:r>
        <w:t>) passes to its archetype (</w:t>
      </w:r>
      <w:r>
        <w:rPr>
          <w:i/>
          <w:iCs/>
        </w:rPr>
        <w:t>epi to prōtotypon diabainei</w:t>
      </w:r>
      <w:r>
        <w:t xml:space="preserve">)." The icon is not honored as if it were the person depicted; it is honored </w:t>
      </w:r>
      <w:r>
        <w:rPr>
          <w:i/>
          <w:iCs/>
        </w:rPr>
        <w:t>because</w:t>
      </w:r>
      <w:r>
        <w:t xml:space="preserve"> it is the image of the person depicted, and this honor passes through the material image to the person beyond it. The veneration of an icon of Christ is veneration of Christ; the veneration of an icon of the Theotokos is veneration of the Theotokos; the veneration of an icon of a saint is veneration of that saint. The material object through which this veneration flows is not itself worshiped; it is the transparent medium through which contact with the prototype is established.</w:t>
      </w:r>
    </w:p>
    <w:p w14:paraId="32B6AC2D" w14:textId="77777777" w:rsidR="000E133F" w:rsidRDefault="00EC5ECA">
      <w:pPr>
        <w:spacing w:before="60" w:after="140" w:line="360" w:lineRule="auto"/>
      </w:pPr>
      <w:r>
        <w:t xml:space="preserve">The Seventh Ecumenical Council formalized this principle with canonical precision, drawing the decisive distinction between two types of honor: </w:t>
      </w:r>
      <w:r>
        <w:rPr>
          <w:i/>
          <w:iCs/>
        </w:rPr>
        <w:t>latreia</w:t>
      </w:r>
      <w:r>
        <w:t xml:space="preserve"> (worship, adoration — due to God alone) and </w:t>
      </w:r>
      <w:r>
        <w:rPr>
          <w:i/>
          <w:iCs/>
        </w:rPr>
        <w:t>proskynesis</w:t>
      </w:r>
      <w:r>
        <w:t xml:space="preserve"> (veneration, respectful honor — licitly offered to icons, saints, relics, and sacred objects). The canons of Nicaea II state: "We define with all care and exactitude that the venerable and holy images are set up in just the same way as the figure of the precious and life-giving Cross; painted images as well as those in </w:t>
      </w:r>
      <w:r>
        <w:lastRenderedPageBreak/>
        <w:t>mosaic and those of other suitable material, in the holy churches of God, on holy utensils and vestments, on walls and in pictu</w:t>
      </w:r>
      <w:r>
        <w:t>res, in houses and by roadsides: namely the image of our Lord, God, and Savior Jesus Christ; of our undefiled Lady, the holy Mother of God; of the honorable angels; and of all saintly and holy men. The more frequently they are seen in representational art, the more are those who see them drawn to remember and long for those who serve as models, and to pay these images the tribute of salutation and respectful veneration (</w:t>
      </w:r>
      <w:r>
        <w:rPr>
          <w:i/>
          <w:iCs/>
        </w:rPr>
        <w:t>timētikēn proskynēsin</w:t>
      </w:r>
      <w:r>
        <w:t>). Certainly this is not the full adoration (</w:t>
      </w:r>
      <w:r>
        <w:rPr>
          <w:i/>
          <w:iCs/>
        </w:rPr>
        <w:t>latreia</w:t>
      </w:r>
      <w:r>
        <w:t>) in accordance</w:t>
      </w:r>
      <w:r>
        <w:t xml:space="preserve"> with our faith, which is properly paid only to the divine nature."</w:t>
      </w:r>
    </w:p>
    <w:p w14:paraId="24F7FDEF" w14:textId="77777777" w:rsidR="000E133F" w:rsidRDefault="00EC5ECA">
      <w:pPr>
        <w:pStyle w:val="Heading3"/>
      </w:pPr>
      <w:bookmarkStart w:id="94" w:name="_Toc232765321"/>
      <w:r>
        <w:t>6.4.c The Iconographic Tradition: Reverse Perspective and Uncreated Light</w:t>
      </w:r>
      <w:bookmarkEnd w:id="94"/>
    </w:p>
    <w:p w14:paraId="58D58D85" w14:textId="77777777" w:rsidR="000E133F" w:rsidRDefault="00EC5ECA">
      <w:pPr>
        <w:spacing w:before="60" w:after="140" w:line="360" w:lineRule="auto"/>
      </w:pPr>
      <w:r>
        <w:t>The distinctive formal qualities of Orthodox iconographic art are not aesthetic conventions or stylistic preferences; they are theological statements expressed in visual form. Each formal element of the canonical icon encodes a theological claim about the nature of the reality depicted.</w:t>
      </w:r>
    </w:p>
    <w:p w14:paraId="13A2FD0A" w14:textId="77777777" w:rsidR="000E133F" w:rsidRDefault="00EC5ECA">
      <w:pPr>
        <w:spacing w:before="60" w:after="140" w:line="360" w:lineRule="auto"/>
      </w:pPr>
      <w:r>
        <w:t xml:space="preserve">The most theologically significant of these formal elements is reverse (or inverse) perspective. In Western Renaissance art, the perspectival system is constructed so that parallel lines converge toward a vanishing point </w:t>
      </w:r>
      <w:r>
        <w:rPr>
          <w:i/>
          <w:iCs/>
        </w:rPr>
        <w:t>behind</w:t>
      </w:r>
      <w:r>
        <w:t xml:space="preserve"> the picture plane — that is, within the depicted world, pulling the viewer's eye </w:t>
      </w:r>
      <w:r>
        <w:rPr>
          <w:i/>
          <w:iCs/>
        </w:rPr>
        <w:t>into</w:t>
      </w:r>
      <w:r>
        <w:t xml:space="preserve"> the painting's fictional depth. In Orthodox icons, perspective is reversed: the lines of convergence are in </w:t>
      </w:r>
      <w:r>
        <w:rPr>
          <w:i/>
          <w:iCs/>
        </w:rPr>
        <w:t>front</w:t>
      </w:r>
      <w:r>
        <w:t xml:space="preserve"> of the picture plane, in the space occupied by the viewer. Objects in the icon appear to widen rather than narrow as they recede, as if the depicted world is expanding toward the viewer rather than receding from him. Theologically, this reversal encodes the eschatological character of the icon: the etern</w:t>
      </w:r>
      <w:r>
        <w:t xml:space="preserve">al world is not a world that the viewer can enter by following the lines of receding space; it is a world that enters the viewer's space, opening toward and impinging upon the viewer. The saint depicted in the icon is not contained within a fictional space accessible to the observer's imagination; the saint inhabits eternity, which </w:t>
      </w:r>
      <w:r>
        <w:rPr>
          <w:i/>
          <w:iCs/>
        </w:rPr>
        <w:t>opens</w:t>
      </w:r>
      <w:r>
        <w:t xml:space="preserve"> toward the present moment of the observer.</w:t>
      </w:r>
    </w:p>
    <w:p w14:paraId="6ED21450" w14:textId="77777777" w:rsidR="000E133F" w:rsidRDefault="00EC5ECA">
      <w:pPr>
        <w:spacing w:before="60" w:after="140" w:line="360" w:lineRule="auto"/>
      </w:pPr>
      <w:r>
        <w:t xml:space="preserve">The gold background of the traditional icon is the theological symbol for the uncreated divine light — the same light that Palamas identifies as the Taboric light experienced by </w:t>
      </w:r>
      <w:r>
        <w:lastRenderedPageBreak/>
        <w:t xml:space="preserve">the hesychasts. Gold, in the iconographic tradition, does not represent a material thing (a golden wall, a golden sky) but the ontological state of the depicted persons: they are bathed in, penetrated by, and radiant with the uncreated divine light that is the energy of God. The absence of natural shadow in the canonical icon confirms this: in the natural world, shadows are the sign of the bodies that block the light; in the deified world of the Kingdom — which is what the icon depicts — there is no shadow </w:t>
      </w:r>
      <w:r>
        <w:t>because the divine light penetrates all things and is blocked by nothing. The bodies of the saints in the icon are not opaque obstructions to light but transparent mediators of light; they are themselves light, as Paul promises: "Then the righteous will shine like the sun in the kingdom of their Father" (Matthew 13:43).</w:t>
      </w:r>
    </w:p>
    <w:p w14:paraId="0C623D4C" w14:textId="77777777" w:rsidR="000E133F" w:rsidRDefault="00EC5ECA">
      <w:pPr>
        <w:spacing w:before="60" w:after="140" w:line="360" w:lineRule="auto"/>
      </w:pPr>
      <w:r>
        <w:t>The stylized, hieratic quality of the figures in the canonical icon — the elongated proportions, the simplified physiognomy, the large eyes and attenuated hands — is not a failure of artistic technique but a theological statement about the nature of the glorified body. The glorified body of the saint is not identical with the natural, biological body; it has been transformed, transfigured, freed from the gross materiality of the fallen body to become the "spiritual body" (</w:t>
      </w:r>
      <w:r>
        <w:rPr>
          <w:i/>
          <w:iCs/>
        </w:rPr>
        <w:t>sōma pneumatikon</w:t>
      </w:r>
      <w:r>
        <w:t>) of which Paul writes in 1 Corinthians 15. The elongated proportions of the icon express the dynamic quality of the glorified body — its orientation upward, its "stretching" (</w:t>
      </w:r>
      <w:r>
        <w:rPr>
          <w:i/>
          <w:iCs/>
        </w:rPr>
        <w:t>epektasis</w:t>
      </w:r>
      <w:r>
        <w:t>) toward the inexhaustible divine goodness that it contemplates eternally. The large, wide-open eyes express the total contemplative availability of the deified person — the saint who sees everything in the light of God, whose vision is no longer turned inward on the self but opened entirely to the divine pres</w:t>
      </w:r>
      <w:r>
        <w:t>ence.</w:t>
      </w:r>
    </w:p>
    <w:p w14:paraId="2FD64661" w14:textId="77777777" w:rsidR="000E133F" w:rsidRDefault="00EC5ECA">
      <w:pPr>
        <w:pStyle w:val="Heading3"/>
      </w:pPr>
      <w:bookmarkStart w:id="95" w:name="_Toc232765322"/>
      <w:r>
        <w:t>6.4.d The Iconostasis as the Boundary of Heaven and Earth</w:t>
      </w:r>
      <w:bookmarkEnd w:id="95"/>
    </w:p>
    <w:p w14:paraId="4A56D2CD" w14:textId="77777777" w:rsidR="000E133F" w:rsidRDefault="00EC5ECA">
      <w:pPr>
        <w:spacing w:before="60" w:after="140" w:line="360" w:lineRule="auto"/>
      </w:pPr>
      <w:r>
        <w:t xml:space="preserve">The </w:t>
      </w:r>
      <w:r>
        <w:rPr>
          <w:i/>
          <w:iCs/>
        </w:rPr>
        <w:t>iconostasis</w:t>
      </w:r>
      <w:r>
        <w:t xml:space="preserve"> — the screen of icons that stands between the nave (the space of the assembled faithful) and the sanctuary (the space of the altar and the eucharistic sacrifice) in an Orthodox church — is the architectural expression of the eschatological theology of the icon. The iconostasis is not a wall that separates the laity from the clergy; it is the boundary between heaven and earth, the visible symbol of the membrane between the present age and the age to come. The royal doors (</w:t>
      </w:r>
      <w:r>
        <w:rPr>
          <w:i/>
          <w:iCs/>
        </w:rPr>
        <w:t>didaskalike pyle</w:t>
      </w:r>
      <w:r>
        <w:t>) at the</w:t>
      </w:r>
      <w:r>
        <w:t xml:space="preserve"> center of the iconostasis open to admit the priest at the moments of the Great and Little </w:t>
      </w:r>
      <w:r>
        <w:lastRenderedPageBreak/>
        <w:t>Entrances — the moments when Christ enters His assembled people bearing the gifts of the Eucharist and bearing the Scripture. These openings reveal, momentarily, the sanctuary beyond — the space in which the heavenly sacrifice is taking place — as a revelation of the Kingdom that is always present but not always visible. The interplay of revelation and concealment that the iconostasis enacts — now closed, now open, gl</w:t>
      </w:r>
      <w:r>
        <w:t>impses of the beyond — is the visual theology of the eschatological Church: the Kingdom is here, it is real, it is the ground of all present reality, but it is not yet fully revealed; it will be fully revealed at the Parousia, when the veil between heaven and earth is removed and God is "all in all" (1 Corinthians 15:28).</w:t>
      </w:r>
    </w:p>
    <w:p w14:paraId="7FE1DAF6" w14:textId="77777777" w:rsidR="000E133F" w:rsidRDefault="00EC5ECA">
      <w:pPr>
        <w:spacing w:before="60" w:after="140" w:line="360" w:lineRule="auto"/>
      </w:pPr>
      <w:r>
        <w:t xml:space="preserve">The program of icons on the iconostasis — Christ Pantocrator at the center, the Theotokos and John the Baptist at His sides (the great </w:t>
      </w:r>
      <w:r>
        <w:rPr>
          <w:i/>
          <w:iCs/>
        </w:rPr>
        <w:t>deēsis</w:t>
      </w:r>
      <w:r>
        <w:t xml:space="preserve"> composition), the Twelve Apostles, the Great Feasts, and the full communion of saints extending outward — is a visual theology of salvation history and the Church's eschatological identity. The saints depicted on the iconostasis are not absent from the Liturgy; they are present in it. Their depiction in the iconic medium is not a memorial of the dead but a window into the eternal life they inhabit. When the Orthodox community gathers for the Liturgy, it gathers not as a merely earthly assembly but as</w:t>
      </w:r>
      <w:r>
        <w:t xml:space="preserve"> a participation in the full assembly of the Church — "the church of the firstborn who are enrolled in heaven" (Hebrews 12:23) — which spans both sides of the boundary between time and eternity that the iconostasis represents.</w:t>
      </w:r>
    </w:p>
    <w:p w14:paraId="1699FD11" w14:textId="77777777" w:rsidR="000E133F" w:rsidRDefault="00EC5ECA">
      <w:pPr>
        <w:pStyle w:val="Heading2"/>
      </w:pPr>
      <w:bookmarkStart w:id="96" w:name="_Toc232765323"/>
      <w:r>
        <w:t>Concluding Theological Synthesis</w:t>
      </w:r>
      <w:bookmarkEnd w:id="96"/>
    </w:p>
    <w:p w14:paraId="2C8E25A8" w14:textId="77777777" w:rsidR="000E133F" w:rsidRDefault="00EC5ECA">
      <w:pPr>
        <w:spacing w:before="60" w:after="140" w:line="360" w:lineRule="auto"/>
      </w:pPr>
      <w:r>
        <w:t xml:space="preserve">The three chapters of this treatise constitute a theologically coherent whole because they deal with three dimensions of a single reality: how God saves and transforms the human person (Chapter 4), through what concrete mediations this salvation is accomplished (Chapter 5), and within what context of living knowledge and interpretation this saving action is received and transmitted (Chapter 6). Orthodox soteriology, sacramental theology, and the theology of Tradition are not separate doctrinal departments; </w:t>
      </w:r>
      <w:r>
        <w:t xml:space="preserve">they are three perspectives on the single mystery of </w:t>
      </w:r>
      <w:r>
        <w:rPr>
          <w:i/>
          <w:iCs/>
        </w:rPr>
        <w:t>theosis</w:t>
      </w:r>
      <w:r>
        <w:t xml:space="preserve"> — the participatory union of the human person with the divine life — which is the heart and goal of all Orthodox Christianity.</w:t>
      </w:r>
    </w:p>
    <w:p w14:paraId="64476583" w14:textId="77777777" w:rsidR="000E133F" w:rsidRDefault="00EC5ECA">
      <w:pPr>
        <w:spacing w:before="60" w:after="140" w:line="360" w:lineRule="auto"/>
      </w:pPr>
      <w:r>
        <w:lastRenderedPageBreak/>
        <w:t>Theosis requires the conquest of death (the atonement as Christus Victor), the healing of human nature (the Incarnation as recapitulation and deification), the cooperation of human freedom with divine grace (synergism), the mediation of the divine life through the sacramental mysteries (the seven Holy Mysteries as vehicles of theosis), and the pneumatic context of authentic reception and interpretation that makes both Scripture and Tradition intelligible and life-giving (Holy Tradition as the life of the Ho</w:t>
      </w:r>
      <w:r>
        <w:t>ly Spirit in the Church). Without theosis, there is no Orthodox soteriology; without the mysteries, there is no Orthodox sacramental theology; without Tradition as the life of the Spirit, there is no Orthodox hermeneutics. The unity of the three is the unity of the Orthodox vision of the Christian life: a life of continuous, deepening, ever-more-complete participation in the inexhaustible life of the Holy Trinity.</w:t>
      </w:r>
    </w:p>
    <w:p w14:paraId="220E375F" w14:textId="77777777" w:rsidR="000E133F" w:rsidRDefault="00EC5ECA">
      <w:pPr>
        <w:spacing w:before="60" w:after="140" w:line="360" w:lineRule="auto"/>
      </w:pPr>
      <w:r>
        <w:t>The icon with which to conclude is the Anastasis icon of Holy Saturday — the image of Christ harrowing Hell. Christ, in brilliant white, stands over the shattered gates of Hades, grasping Adam and Eve by the wrists with both hands and lifting them bodily from their tombs. His descent into death was not a defeat but a victory; His death was the death of death; His resurrection is their resurrection, and ours. Around Him stand the prophets and kings of the Old Covenant, the forefathers of the faith, all those</w:t>
      </w:r>
      <w:r>
        <w:t xml:space="preserve"> who had awaited this moment from the foundation of the world. This is what salvation looks like, in the Orthodox theological imagination: not a legal transaction executed in the courtroom of divine justice, but a divine warrior descending into the stronghold of the enemy, breaking the gates of hell, and lifting with His own hands the whole of fallen humanity into the light of the Kingdom that has no end.</w:t>
      </w:r>
    </w:p>
    <w:p w14:paraId="166EF6C1" w14:textId="77777777" w:rsidR="000E133F" w:rsidRDefault="00EC5ECA">
      <w:pPr>
        <w:spacing w:before="60" w:after="140" w:line="360" w:lineRule="auto"/>
      </w:pPr>
      <w:r>
        <w:rPr>
          <w:i/>
          <w:iCs/>
        </w:rPr>
        <w:t>This is the Orthodox Gospel — not in spite of its engagement with the subtleties of Greek metaphysics, not merely accommodated to the piety of icon and incense, but exactly and precisely the Gospel as proclaimed in the language of Him who said: "I am the Way, the Truth, and the Life" — the Life that destroys death, the Truth that illumines darkness, the Way that is the Way of the Cross and the Way of Theosis, the Way by which God and the human person become one without confusion, without change, without div</w:t>
      </w:r>
      <w:r>
        <w:rPr>
          <w:i/>
          <w:iCs/>
        </w:rPr>
        <w:t>ision, and without separation.</w:t>
      </w:r>
    </w:p>
    <w:p w14:paraId="39FD0947" w14:textId="77777777" w:rsidR="000E133F" w:rsidRDefault="00EC5ECA">
      <w:pPr>
        <w:pStyle w:val="Heading2"/>
      </w:pPr>
      <w:bookmarkStart w:id="97" w:name="_Toc232765324"/>
      <w:r>
        <w:t>Sources and References</w:t>
      </w:r>
      <w:bookmarkEnd w:id="97"/>
    </w:p>
    <w:p w14:paraId="3B59C75A" w14:textId="77777777" w:rsidR="000E133F" w:rsidRDefault="00EC5ECA">
      <w:pPr>
        <w:spacing w:before="60" w:after="140" w:line="360" w:lineRule="auto"/>
      </w:pPr>
      <w:r>
        <w:lastRenderedPageBreak/>
        <w:t>This treatise draws on the following primary and secondary sources:</w:t>
      </w:r>
    </w:p>
    <w:p w14:paraId="7E41AA5F" w14:textId="77777777" w:rsidR="000E133F" w:rsidRDefault="00EC5ECA">
      <w:pPr>
        <w:spacing w:before="60" w:after="140" w:line="360" w:lineRule="auto"/>
      </w:pPr>
      <w:r>
        <w:t xml:space="preserve">- Athanasius of Alexandria, </w:t>
      </w:r>
      <w:r>
        <w:rPr>
          <w:i/>
          <w:iCs/>
        </w:rPr>
        <w:t>On the Incarnation</w:t>
      </w:r>
      <w:r>
        <w:t xml:space="preserve"> (</w:t>
      </w:r>
      <w:r>
        <w:rPr>
          <w:i/>
          <w:iCs/>
        </w:rPr>
        <w:t>De Incarnatione</w:t>
      </w:r>
      <w:r>
        <w:t>), trans. John Behr (Popular Patristics Series), especially ch. 3, 5, 8, 9, 54. [https://www.newadvent.org/fathers/2802.htm](https://www.newadvent.org/fathers/2802.htm)</w:t>
      </w:r>
    </w:p>
    <w:p w14:paraId="3832072F" w14:textId="77777777" w:rsidR="000E133F" w:rsidRDefault="00EC5ECA">
      <w:pPr>
        <w:spacing w:before="60" w:after="140" w:line="360" w:lineRule="auto"/>
      </w:pPr>
      <w:r>
        <w:t xml:space="preserve">- John Chrysostom, </w:t>
      </w:r>
      <w:r>
        <w:rPr>
          <w:i/>
          <w:iCs/>
        </w:rPr>
        <w:t>Homily 10 on Romans</w:t>
      </w:r>
      <w:r>
        <w:t>, NPNF Series I, Vol. 11. [https://www.newadvent.org/fathers/210210.htm](https://www.newadvent.org/fathers/210210.htm)</w:t>
      </w:r>
    </w:p>
    <w:p w14:paraId="724A5589" w14:textId="77777777" w:rsidR="000E133F" w:rsidRDefault="00EC5ECA">
      <w:pPr>
        <w:spacing w:before="60" w:after="140" w:line="360" w:lineRule="auto"/>
      </w:pPr>
      <w:r>
        <w:t xml:space="preserve">- Gregory of Nazianzus, </w:t>
      </w:r>
      <w:r>
        <w:rPr>
          <w:i/>
          <w:iCs/>
        </w:rPr>
        <w:t>Epistle 101 to Cledonius the Priest Against Apollinarius</w:t>
      </w:r>
      <w:r>
        <w:t>. [https://catholiclibrary.org/library/view?docId=%2FSynchronized-EN%2Fnpnf.GregoryNazianzen.Letters.en.html&amp;chunk.id=00000101](https://catholiclibrary.org/library/view?docId=%2FSynchronized-EN%2Fnpnf.GregoryNazianzen.Letters.en.html&amp;chunk.id=00000101)</w:t>
      </w:r>
    </w:p>
    <w:p w14:paraId="28C06334" w14:textId="77777777" w:rsidR="000E133F" w:rsidRDefault="00EC5ECA">
      <w:pPr>
        <w:spacing w:before="60" w:after="140" w:line="360" w:lineRule="auto"/>
      </w:pPr>
      <w:r>
        <w:t xml:space="preserve">- Gregory of Nyssa, </w:t>
      </w:r>
      <w:r>
        <w:rPr>
          <w:i/>
          <w:iCs/>
        </w:rPr>
        <w:t>The Great Catechism</w:t>
      </w:r>
      <w:r>
        <w:t xml:space="preserve"> (Oratio Catechetica Magna), chs. 22–26. [https://www.ccel.org/ccel/schaff/npnf205.xi.ii.xxviii.html](https://www.ccel.org/ccel/schaff/npnf205.xi.ii.xxviii.html)</w:t>
      </w:r>
    </w:p>
    <w:p w14:paraId="77AA943C" w14:textId="77777777" w:rsidR="000E133F" w:rsidRDefault="00EC5ECA">
      <w:pPr>
        <w:spacing w:before="60" w:after="140" w:line="360" w:lineRule="auto"/>
      </w:pPr>
      <w:r>
        <w:t xml:space="preserve">- Irenaeus of Lyons, </w:t>
      </w:r>
      <w:r>
        <w:rPr>
          <w:i/>
          <w:iCs/>
        </w:rPr>
        <w:t>Adversus Haereses</w:t>
      </w:r>
      <w:r>
        <w:t xml:space="preserve"> III.18–19; V.1, 21. NPNF/ANF Series.</w:t>
      </w:r>
    </w:p>
    <w:p w14:paraId="6605B389" w14:textId="77777777" w:rsidR="000E133F" w:rsidRDefault="00EC5ECA">
      <w:pPr>
        <w:spacing w:before="60" w:after="140" w:line="360" w:lineRule="auto"/>
      </w:pPr>
      <w:r>
        <w:t xml:space="preserve">- Maximus the Confessor, </w:t>
      </w:r>
      <w:r>
        <w:rPr>
          <w:i/>
          <w:iCs/>
        </w:rPr>
        <w:t>Ambigua</w:t>
      </w:r>
      <w:r>
        <w:t xml:space="preserve"> (selected sections), translated in Lars Thunberg, </w:t>
      </w:r>
      <w:r>
        <w:rPr>
          <w:i/>
          <w:iCs/>
        </w:rPr>
        <w:t>Microcosm and Mediator</w:t>
      </w:r>
      <w:r>
        <w:t xml:space="preserve">; also Polycarp Sherwood, </w:t>
      </w:r>
      <w:r>
        <w:rPr>
          <w:i/>
          <w:iCs/>
        </w:rPr>
        <w:t>The Earlier Ambigua</w:t>
      </w:r>
      <w:r>
        <w:t>.</w:t>
      </w:r>
    </w:p>
    <w:p w14:paraId="03C584C9" w14:textId="77777777" w:rsidR="000E133F" w:rsidRDefault="00EC5ECA">
      <w:pPr>
        <w:spacing w:before="60" w:after="140" w:line="360" w:lineRule="auto"/>
      </w:pPr>
      <w:r>
        <w:t xml:space="preserve">- Vladimir Lossky, </w:t>
      </w:r>
      <w:r>
        <w:rPr>
          <w:i/>
          <w:iCs/>
        </w:rPr>
        <w:t>The Mystical Theology of the Eastern Church</w:t>
      </w:r>
      <w:r>
        <w:t xml:space="preserve"> (St. Vladimir's Seminary Press, 1957). [https://jbburnett.com/resources/lossky/lossky_myst1-theol-myst.pdf](https://jbburnett.com/resources/lossky/lossky_myst1-theol-myst.pdf)</w:t>
      </w:r>
    </w:p>
    <w:p w14:paraId="4B83C9B8" w14:textId="77777777" w:rsidR="000E133F" w:rsidRDefault="00EC5ECA">
      <w:pPr>
        <w:spacing w:before="60" w:after="140" w:line="360" w:lineRule="auto"/>
      </w:pPr>
      <w:r>
        <w:t xml:space="preserve">- Vladimir Lossky, "Tradition and Traditions," in </w:t>
      </w:r>
      <w:r>
        <w:rPr>
          <w:i/>
          <w:iCs/>
        </w:rPr>
        <w:t>In the Image and Likeness of God</w:t>
      </w:r>
      <w:r>
        <w:t xml:space="preserve"> (St. Vladimir's Seminary Press, 1974). [https://jbburnett.com/resources/lossky/lossky-trad&amp;trads.pdf](https://jbburnett.com/resources/lossky/lossky-trad&amp;trads.pdf)</w:t>
      </w:r>
    </w:p>
    <w:p w14:paraId="19DE6240" w14:textId="77777777" w:rsidR="000E133F" w:rsidRDefault="00EC5ECA">
      <w:pPr>
        <w:spacing w:before="60" w:after="140" w:line="360" w:lineRule="auto"/>
      </w:pPr>
      <w:r>
        <w:t xml:space="preserve">- Alexander Schmemann, </w:t>
      </w:r>
      <w:r>
        <w:rPr>
          <w:i/>
          <w:iCs/>
        </w:rPr>
        <w:t>For the Life of the World: Sacraments and Orthodoxy</w:t>
      </w:r>
      <w:r>
        <w:t xml:space="preserve"> (St. Vladimir's Seminary Press, 1963). [https://christspieces.org/wp-</w:t>
      </w:r>
      <w:r>
        <w:lastRenderedPageBreak/>
        <w:t>content/uploads/2020/02/schmemann1973_forthelifeoftheworld.pdf](https://christspieces.org/wp-content/uploads/2020/02/schmemann1973_forthelifeoftheworld.pdf)</w:t>
      </w:r>
    </w:p>
    <w:p w14:paraId="036BF2E4" w14:textId="77777777" w:rsidR="000E133F" w:rsidRDefault="00EC5ECA">
      <w:pPr>
        <w:spacing w:before="60" w:after="140" w:line="360" w:lineRule="auto"/>
      </w:pPr>
      <w:r>
        <w:t xml:space="preserve">- John of Damascus, </w:t>
      </w:r>
      <w:r>
        <w:rPr>
          <w:i/>
          <w:iCs/>
        </w:rPr>
        <w:t>An Exact Exposition of the Orthodox Faith</w:t>
      </w:r>
      <w:r>
        <w:t xml:space="preserve"> (De Fide Orthodoxa), Books III–IV. [https://www.newadvent.org/fathers/33043.htm](https://www.newadvent.org/fathers/33043.htm)</w:t>
      </w:r>
    </w:p>
    <w:p w14:paraId="5F51CCCC" w14:textId="77777777" w:rsidR="000E133F" w:rsidRDefault="00EC5ECA">
      <w:pPr>
        <w:spacing w:before="60" w:after="140" w:line="360" w:lineRule="auto"/>
      </w:pPr>
      <w:r>
        <w:t xml:space="preserve">- Georges Florovsky, </w:t>
      </w:r>
      <w:r>
        <w:rPr>
          <w:i/>
          <w:iCs/>
        </w:rPr>
        <w:t>Bible, Church, Tradition: An Eastern Orthodox View</w:t>
      </w:r>
      <w:r>
        <w:t xml:space="preserve"> (Nordland Publishing, 1972).</w:t>
      </w:r>
    </w:p>
    <w:p w14:paraId="602AA23F" w14:textId="77777777" w:rsidR="000E133F" w:rsidRDefault="00EC5ECA">
      <w:pPr>
        <w:spacing w:before="60" w:after="140" w:line="360" w:lineRule="auto"/>
      </w:pPr>
      <w:r>
        <w:t xml:space="preserve">- John Meyendorff, </w:t>
      </w:r>
      <w:r>
        <w:rPr>
          <w:i/>
          <w:iCs/>
        </w:rPr>
        <w:t>Byzantine Theology: Historical Trends and Doctrinal Themes</w:t>
      </w:r>
      <w:r>
        <w:t xml:space="preserve"> (Fordham University Press, 1974).</w:t>
      </w:r>
    </w:p>
    <w:p w14:paraId="5E9F398E" w14:textId="77777777" w:rsidR="000E133F" w:rsidRDefault="00EC5ECA">
      <w:pPr>
        <w:spacing w:before="60" w:after="140" w:line="360" w:lineRule="auto"/>
      </w:pPr>
      <w:r>
        <w:t xml:space="preserve">- Theodoret of Cyrrhus, Commentary on Romans, in </w:t>
      </w:r>
      <w:r>
        <w:rPr>
          <w:i/>
          <w:iCs/>
        </w:rPr>
        <w:t>On Ancestral Sin</w:t>
      </w:r>
      <w:r>
        <w:t>. [https://preachersinstitute.com/2010/04/09/on-ancestral-sin-by-st-theodoret-of-cyrus/](https://preachersinstitute.com/2010/04/09/on-ancestral-sin-by-st-theodoret-of-cyrus/)</w:t>
      </w:r>
    </w:p>
    <w:p w14:paraId="1D6FE14B" w14:textId="77777777" w:rsidR="000E133F" w:rsidRDefault="00EC5ECA">
      <w:pPr>
        <w:spacing w:before="60" w:after="140" w:line="360" w:lineRule="auto"/>
      </w:pPr>
      <w:r>
        <w:t xml:space="preserve">- Vincent of Lérins, </w:t>
      </w:r>
      <w:r>
        <w:rPr>
          <w:i/>
          <w:iCs/>
        </w:rPr>
        <w:t>Commonitorium</w:t>
      </w:r>
      <w:r>
        <w:t xml:space="preserve"> (c. 434 AD). [https://earlychurchtexts.com/main/vincentoflerins/catholic_faith_and_heresy.shtml](https://earlychurchtexts.com/main/vincentoflerins/catholic_faith_and_heresy.shtml)</w:t>
      </w:r>
    </w:p>
    <w:p w14:paraId="6822B284" w14:textId="77777777" w:rsidR="000E133F" w:rsidRDefault="00EC5ECA">
      <w:pPr>
        <w:spacing w:before="60" w:after="140" w:line="360" w:lineRule="auto"/>
      </w:pPr>
      <w:r>
        <w:t>- John Romanides, "Original Sin According to St. Paul." [https://romanity.org/htm/rom.10.en.original_sin_according_to_st._paul.01.htm](https://romanity.org/htm/rom.10.en.original_sin_according_to_st._paul.01.htm)</w:t>
      </w:r>
    </w:p>
    <w:p w14:paraId="16275B9B" w14:textId="77777777" w:rsidR="000E133F" w:rsidRDefault="00EC5ECA">
      <w:pPr>
        <w:spacing w:before="60" w:after="140" w:line="360" w:lineRule="auto"/>
      </w:pPr>
      <w:r>
        <w:t>- Jean-Claude Larchet, "St. Maximus the Confessor on Essence, Energies, and Logoi." [https://maximologia.org/2020/06/02/st-maximus-the-confessor-on-essence-energies-and-logoi-jean-claude-larchet/](https://maximologia.org/2020/06/02/st-maximus-the-confessor-on-essence-energies-and-logoi-jean-claude-larchet/)</w:t>
      </w:r>
    </w:p>
    <w:p w14:paraId="7EF20120" w14:textId="77777777" w:rsidR="000E133F" w:rsidRDefault="00EC5ECA">
      <w:pPr>
        <w:spacing w:before="60" w:after="140" w:line="360" w:lineRule="auto"/>
      </w:pPr>
      <w:r>
        <w:t>- Orthodoxwiki, "Original Sin." [https://orthodoxwiki.org/index.php?title=Original_sin](https://orthodoxwiki.org/index.php?title=Original_sin)</w:t>
      </w:r>
    </w:p>
    <w:p w14:paraId="25223531" w14:textId="77777777" w:rsidR="000E133F" w:rsidRDefault="00EC5ECA">
      <w:pPr>
        <w:spacing w:before="60" w:after="140" w:line="360" w:lineRule="auto"/>
      </w:pPr>
      <w:r>
        <w:lastRenderedPageBreak/>
        <w:t>- St. Mary Orthodox Church, "Ancestral Versus Original Sin." [https://www.stmaryorthodoxchurch.org/orthodoxy/articles/ancestral_versus_original_sin](https://www.stmaryorthodoxchurch.org/orthodoxy/articles/ancestral_versus_original_sin)</w:t>
      </w:r>
    </w:p>
    <w:p w14:paraId="2C5F695A" w14:textId="77777777" w:rsidR="000E133F" w:rsidRDefault="00EC5ECA">
      <w:pPr>
        <w:spacing w:before="60" w:after="140" w:line="360" w:lineRule="auto"/>
      </w:pPr>
      <w:r>
        <w:t>- Patristic Faith, "That which is not assumed is not healed." [https://www.patristicfaith.com/orthodox-christianity/orthodox-christian-theology/christology/that-which-is-not-assumed-is-not-healed-st-gregory-the-theologians-letter-101/](https://www.patristicfaith.com/orthodox-christianity/orthodox-christian-theology/christology/that-which-is-not-assumed-is-not-healed-st-gregory-the-theologians-letter-101/)</w:t>
      </w:r>
    </w:p>
    <w:p w14:paraId="63595F49" w14:textId="77777777" w:rsidR="000E133F" w:rsidRDefault="00EC5ECA">
      <w:pPr>
        <w:spacing w:before="60" w:after="140" w:line="360" w:lineRule="auto"/>
      </w:pPr>
      <w:r>
        <w:t>- Garrettham.com, "Gregory of Nyssa on the Atonement." [https://garrettham.com/gregory-of-nyssa-atonement/](https://garrettham.com/gregory-of-nyssa-atonement/)</w:t>
      </w:r>
    </w:p>
    <w:p w14:paraId="76A95932" w14:textId="77777777" w:rsidR="000E133F" w:rsidRDefault="00EC5ECA">
      <w:pPr>
        <w:spacing w:before="60" w:after="140" w:line="360" w:lineRule="auto"/>
      </w:pPr>
      <w:r>
        <w:t>- The Atonement in Gregory of Nyssa (Durham). [https://earlychurch.org.uk/pdf/nyssa_dunstone.pdf](https://earlychurch.org.uk/pdf/nyssa_dunstone.pdf)</w:t>
      </w:r>
    </w:p>
    <w:p w14:paraId="59CFBFA9" w14:textId="77777777" w:rsidR="000E133F" w:rsidRDefault="00EC5ECA">
      <w:pPr>
        <w:spacing w:before="60" w:after="140" w:line="360" w:lineRule="auto"/>
      </w:pPr>
      <w:r>
        <w:t>- Gregory of Nyssa, Great Catechism Quotations on Atonement. [http://www.newhumanityinstitute.org/pdf-articles/Gregory-of-Nyssa-Great-Catechism-quotations-atonement.pdf](http://www.newhumanityinstitute.org/pdf-articles/Gregory-of-Nyssa-Great-Catechism-quotations-atonement.pdf)</w:t>
      </w:r>
    </w:p>
    <w:p w14:paraId="11F890D6" w14:textId="77777777" w:rsidR="000E133F" w:rsidRDefault="00EC5ECA">
      <w:pPr>
        <w:spacing w:before="60" w:after="140" w:line="360" w:lineRule="auto"/>
      </w:pPr>
      <w:r>
        <w:t>- OCA, "Thinking About the Atonement." [https://www.oca.org/reflections/fr.-lawrence-farley/thinking-about-the-atonement-the-new-testament](https://www.oca.org/reflections/fr.-lawrence-farley/thinking-about-the-atonement-the-new-testament)</w:t>
      </w:r>
    </w:p>
    <w:p w14:paraId="07D91E70" w14:textId="77777777" w:rsidR="000E133F" w:rsidRDefault="00EC5ECA">
      <w:pPr>
        <w:spacing w:before="60" w:after="140" w:line="360" w:lineRule="auto"/>
      </w:pPr>
      <w:r>
        <w:t>- JETS, "The Orthodox Doctrine of Theosis." [https://etsjets.org/wp-content/uploads/2010/07/files_JETS-PDFs_37_37-3_JETS_37-3_365-379_Clendenin.pdf](https://etsjets.org/wp-content/uploads/2010/07/files_JETS-PDFs_37_37-3_JETS_37-3_365-379_Clendenin.pdf)</w:t>
      </w:r>
    </w:p>
    <w:p w14:paraId="2F71671C" w14:textId="77777777" w:rsidR="000E133F" w:rsidRDefault="00EC5ECA">
      <w:pPr>
        <w:spacing w:before="60" w:after="140" w:line="360" w:lineRule="auto"/>
      </w:pPr>
      <w:r>
        <w:rPr>
          <w:i/>
          <w:iCs/>
        </w:rPr>
        <w:lastRenderedPageBreak/>
        <w:t>End of Part I, Chapters 4–6 | Eastern Orthodoxy: A Seminary-Level Theological Treatise</w:t>
      </w:r>
    </w:p>
    <w:p w14:paraId="2C8D6E65" w14:textId="77777777" w:rsidR="000E133F" w:rsidRDefault="00EC5ECA">
      <w:pPr>
        <w:spacing w:before="60" w:after="140" w:line="360" w:lineRule="auto"/>
      </w:pPr>
      <w:r>
        <w:rPr>
          <w:i/>
          <w:iCs/>
        </w:rPr>
        <w:t>Compiled June 2026</w:t>
      </w:r>
    </w:p>
    <w:p w14:paraId="48D0EEA2" w14:textId="77777777" w:rsidR="000E133F" w:rsidRDefault="00EC5ECA">
      <w:pPr>
        <w:pStyle w:val="Heading1"/>
        <w:pageBreakBefore/>
      </w:pPr>
      <w:bookmarkStart w:id="98" w:name="_Toc232765325"/>
      <w:r>
        <w:lastRenderedPageBreak/>
        <w:t>Eastern Orthodoxy: A Seminary-Level Theological Treatise</w:t>
      </w:r>
      <w:bookmarkEnd w:id="98"/>
    </w:p>
    <w:p w14:paraId="125FA3CE" w14:textId="77777777" w:rsidR="000E133F" w:rsidRDefault="00EC5ECA">
      <w:pPr>
        <w:pStyle w:val="Heading2"/>
      </w:pPr>
      <w:bookmarkStart w:id="99" w:name="_Toc232765326"/>
      <w:r>
        <w:t>Part I, Chapters 7–10: Mariology, Icons, Ecumenism, and Key Thinkers</w:t>
      </w:r>
      <w:bookmarkEnd w:id="99"/>
    </w:p>
    <w:p w14:paraId="7A1BDF56" w14:textId="77777777" w:rsidR="000E133F" w:rsidRDefault="00EC5ECA">
      <w:pPr>
        <w:spacing w:before="60" w:after="140" w:line="360" w:lineRule="auto"/>
      </w:pPr>
      <w:r>
        <w:rPr>
          <w:i/>
          <w:iCs/>
        </w:rPr>
        <w:t>A doctoral-level exposition of Eastern Orthodox theology, grounded in patristic sources, conciliar definitions, and the authoritative voices of the tradition.</w:t>
      </w:r>
    </w:p>
    <w:p w14:paraId="1A53EDB7" w14:textId="77777777" w:rsidR="000E133F" w:rsidRDefault="00EC5ECA">
      <w:pPr>
        <w:pStyle w:val="Heading1"/>
        <w:pageBreakBefore/>
      </w:pPr>
      <w:bookmarkStart w:id="100" w:name="_Toc232765327"/>
      <w:r>
        <w:lastRenderedPageBreak/>
        <w:t>CHAPTER SEVEN</w:t>
      </w:r>
      <w:bookmarkEnd w:id="100"/>
    </w:p>
    <w:p w14:paraId="20D3488B" w14:textId="77777777" w:rsidR="000E133F" w:rsidRDefault="00EC5ECA">
      <w:pPr>
        <w:pStyle w:val="Heading2"/>
      </w:pPr>
      <w:bookmarkStart w:id="101" w:name="_Toc232765328"/>
      <w:r>
        <w:t>ORTHODOX MARIOLOGY AND THE VENERATION OF SAINTS</w:t>
      </w:r>
      <w:bookmarkEnd w:id="101"/>
    </w:p>
    <w:p w14:paraId="6492C5C6" w14:textId="77777777" w:rsidR="000E133F" w:rsidRDefault="00EC5ECA">
      <w:pPr>
        <w:pStyle w:val="Heading3"/>
      </w:pPr>
      <w:bookmarkStart w:id="102" w:name="_Toc232765329"/>
      <w:r>
        <w:t>7.1 Theotokos: The Christological and Soteriological Significance</w:t>
      </w:r>
      <w:bookmarkEnd w:id="102"/>
    </w:p>
    <w:p w14:paraId="6DBA2F7E" w14:textId="77777777" w:rsidR="000E133F" w:rsidRDefault="00EC5ECA">
      <w:pPr>
        <w:pStyle w:val="Heading4"/>
      </w:pPr>
      <w:r>
        <w:t>The Council of Ephesus and the Nestorian Controversy</w:t>
      </w:r>
    </w:p>
    <w:p w14:paraId="1ABCEA90" w14:textId="77777777" w:rsidR="000E133F" w:rsidRDefault="00EC5ECA">
      <w:pPr>
        <w:spacing w:before="60" w:after="140" w:line="360" w:lineRule="auto"/>
      </w:pPr>
      <w:r>
        <w:t xml:space="preserve">The most important Mariological title in Eastern Orthodoxy — </w:t>
      </w:r>
      <w:r>
        <w:rPr>
          <w:i/>
          <w:iCs/>
        </w:rPr>
        <w:t>Theotokos</w:t>
      </w:r>
      <w:r>
        <w:t>, "God-bearer" or "Mother of God" — is not, at its root, a statement about Mary at all. It is, first and fundamentally, a statement about Jesus Christ. To understand this claim in its full theological depth, one must understand the precise controversy that gave rise to the Council of Ephesus in the year 431 and the arguments advanced by Cyril of Alexandria, whose christological letters constitute the theological heart of the council's deliberations.</w:t>
      </w:r>
    </w:p>
    <w:p w14:paraId="5C7F5E78" w14:textId="77777777" w:rsidR="000E133F" w:rsidRDefault="00EC5ECA">
      <w:pPr>
        <w:spacing w:before="60" w:after="140" w:line="360" w:lineRule="auto"/>
      </w:pPr>
      <w:r>
        <w:t xml:space="preserve">Nestorius, who had been elected Patriarch of Constantinople in 428, found himself troubled by the devotional use of the title </w:t>
      </w:r>
      <w:r>
        <w:rPr>
          <w:i/>
          <w:iCs/>
        </w:rPr>
        <w:t>Theotokos</w:t>
      </w:r>
      <w:r>
        <w:t xml:space="preserve"> in the liturgical and catechetical practice of his congregation. His position, as articulated in his surviving sermons and letters, was that the title was theologically imprecise, even dangerous. Mary, Nestorius argued, bore not God but a human being who was the instrument of God's dwelling. The appropriate title, he maintained, was </w:t>
      </w:r>
      <w:r>
        <w:rPr>
          <w:i/>
          <w:iCs/>
        </w:rPr>
        <w:t>Christotokos</w:t>
      </w:r>
      <w:r>
        <w:t xml:space="preserve"> — "Christ-bearer" or "Mother of Christ" — which preserved the distinction between the divine Logos and the human nature assumed in the womb of Mary. Nesto</w:t>
      </w:r>
      <w:r>
        <w:t>rius was operating out of a christological model associated with the Antiochene school, a model that emphasized the genuine integrity and distinctness of Christ's two natures — divine and human — to such a degree that it risked positing what amounted to a moral or dynamic union between two distinct persons rather than the metaphysical union of two natures in one divine Person. For Nestorius, to say that the divine Word was born, suffered, or died was to compromise the impassibility and transcendence of divi</w:t>
      </w:r>
      <w:r>
        <w:t>nity itself. The Virgin Mary could bear the human nature; she could bear the human being in whom the divine Logos dwelt; but she could not, in Nestorius's view, literally bear the eternal divine Word as such.</w:t>
      </w:r>
    </w:p>
    <w:p w14:paraId="1D57F85D" w14:textId="77777777" w:rsidR="000E133F" w:rsidRDefault="00EC5ECA">
      <w:pPr>
        <w:spacing w:before="60" w:after="140" w:line="360" w:lineRule="auto"/>
      </w:pPr>
      <w:r>
        <w:lastRenderedPageBreak/>
        <w:t xml:space="preserve">Cyril of Alexandria, who would become the theological architect of the council's condemnation of Nestorius, recognized immediately that what was at stake was not a minor terminological dispute but the very coherence of the Christian doctrine of redemption. His </w:t>
      </w:r>
      <w:r>
        <w:rPr>
          <w:i/>
          <w:iCs/>
        </w:rPr>
        <w:t>Second Letter to Nestorius</w:t>
      </w:r>
      <w:r>
        <w:t>, which the Council of Ephesus formally accepted as an authoritative expression of orthodox Christology, sets out the argument with relentless precision. Cyril writes:</w:t>
      </w:r>
    </w:p>
    <w:p w14:paraId="52DFC84C" w14:textId="77777777" w:rsidR="000E133F" w:rsidRDefault="00EC5ECA">
      <w:pPr>
        <w:spacing w:before="120" w:after="120" w:line="360" w:lineRule="auto"/>
        <w:ind w:left="720" w:right="720"/>
      </w:pPr>
      <w:r>
        <w:rPr>
          <w:i/>
          <w:iCs/>
          <w:color w:val="444444"/>
        </w:rPr>
        <w:t>"For we do not say that the nature of the Word was changed and became flesh, or that it was transformed into a complete human being consisting of soul and body; but rather this, that the Word, having personally united to himself flesh animated by a rational soul, ineffably and incomprehensibly became human and was called Son of Man, not merely by will or favor, nor simply by the assumption of a person, and that while the natures which were brought together into this true unity were different, there was of b</w:t>
      </w:r>
      <w:r>
        <w:rPr>
          <w:i/>
          <w:iCs/>
          <w:color w:val="444444"/>
        </w:rPr>
        <w:t>oth one Christ and one Son; not as though the difference of the natures was abolished by the union, but rather the divinity and humanity completed for us one Lord and Christ and Son by their indescribable and ineffable concurrence into unity... We do not divide the words of our Saviour in the gospels between two hypostases or persons. For the one and only Christ is not twofold, even though he be understood to be from two different realities brought together into an indivisible unity, in the same way as a hu</w:t>
      </w:r>
      <w:r>
        <w:rPr>
          <w:i/>
          <w:iCs/>
          <w:color w:val="444444"/>
        </w:rPr>
        <w:t>man being is understood to be from soul and body, yet is not twofold, but one."</w:t>
      </w:r>
    </w:p>
    <w:p w14:paraId="6E13F482" w14:textId="77777777" w:rsidR="000E133F" w:rsidRDefault="00EC5ECA">
      <w:pPr>
        <w:spacing w:before="60" w:after="140" w:line="360" w:lineRule="auto"/>
      </w:pPr>
      <w:r>
        <w:t xml:space="preserve">This passage captures the essential christological principle at stake: there is one Christ, one Person, one hypostasis — not two persons loosely united by divine indwelling. The divine nature and the human nature are united in a single subject. They are not mixed or confused, but neither are they divided into independent agents. The Greek term that crystallizes this unity is </w:t>
      </w:r>
      <w:r>
        <w:rPr>
          <w:i/>
          <w:iCs/>
        </w:rPr>
        <w:t>hypostasis</w:t>
      </w:r>
      <w:r>
        <w:t xml:space="preserve"> (</w:t>
      </w:r>
      <w:r>
        <w:t>ὑ</w:t>
      </w:r>
      <w:r>
        <w:t xml:space="preserve">πόστασις) — the concrete individual existence, the "who" of Christ. There is only one "who," and that one who is the eternal Son of God. From this follows the famous christological principle that Cyril wields as a theological hammer against Nestorius: the principle of </w:t>
      </w:r>
      <w:r>
        <w:rPr>
          <w:i/>
          <w:iCs/>
        </w:rPr>
        <w:t>communicatio idiomatum</w:t>
      </w:r>
      <w:r>
        <w:t xml:space="preserve">, the communication of attributes between the two natures through the unity of the one </w:t>
      </w:r>
      <w:r>
        <w:lastRenderedPageBreak/>
        <w:t>Person. Because the one Person of Christ is the eternal Word, it is legitimate to say that God was born, that God suffere</w:t>
      </w:r>
      <w:r>
        <w:t>d, that God died — not in His divine nature as such, but in the human nature that He, the divine Person, has personally assumed and made His own.</w:t>
      </w:r>
    </w:p>
    <w:p w14:paraId="0E980475" w14:textId="77777777" w:rsidR="000E133F" w:rsidRDefault="00EC5ECA">
      <w:pPr>
        <w:spacing w:before="60" w:after="140" w:line="360" w:lineRule="auto"/>
      </w:pPr>
      <w:r>
        <w:t xml:space="preserve">The </w:t>
      </w:r>
      <w:r>
        <w:rPr>
          <w:i/>
          <w:iCs/>
        </w:rPr>
        <w:t>Theotokos</w:t>
      </w:r>
      <w:r>
        <w:t xml:space="preserve"> title is the direct application of this principle to Mary. If the one born of Mary is the eternal Son of God — if that infant in her womb is not a human being in whom God subsequently dwelt, but the divine Word Himself personally present in human flesh — then Mary is genuinely and truly the Mother of God. The title does not say that Mary is the source of the divinity, or that she pre-exists the divine Word, or that God in His eternal transcendence was conditioned by her maternity. It says, rather,</w:t>
      </w:r>
      <w:r>
        <w:t xml:space="preserve"> that the one she bore was God incarnate, that her Son is the divine Person of the Son, and that her relationship to Him is genuinely and fully maternal with respect to that Person, even if His divine nature transcends her and all creation.</w:t>
      </w:r>
    </w:p>
    <w:p w14:paraId="78EFBF43" w14:textId="77777777" w:rsidR="000E133F" w:rsidRDefault="00EC5ECA">
      <w:pPr>
        <w:spacing w:before="60" w:after="140" w:line="360" w:lineRule="auto"/>
      </w:pPr>
      <w:r>
        <w:t>The Council of Ephesus, meeting in June 431, accepted Cyril's letters as orthodox and issued a formal definition: "If anyone does not confess that Emmanuel is truly God and that consequently the holy Virgin is the Mother of God (</w:t>
      </w:r>
      <w:r>
        <w:rPr>
          <w:i/>
          <w:iCs/>
        </w:rPr>
        <w:t>Theotokos</w:t>
      </w:r>
      <w:r>
        <w:t xml:space="preserve">) — since she begot according to the flesh the Word of God made flesh — let him be anathema." The council did not proceed to elaborate an extended Mariological system. Its singular concern was Christological: to safeguard the unity of the divine Person of Christ against the Nestorian tendency to fragment that Person into two loosely united subjects. The Mariological implication — the </w:t>
      </w:r>
      <w:r>
        <w:rPr>
          <w:i/>
          <w:iCs/>
        </w:rPr>
        <w:t>Theotokos</w:t>
      </w:r>
      <w:r>
        <w:t xml:space="preserve"> — was the necessary corollary, not the primary goal.</w:t>
      </w:r>
    </w:p>
    <w:p w14:paraId="2089677A" w14:textId="77777777" w:rsidR="000E133F" w:rsidRDefault="00EC5ECA">
      <w:pPr>
        <w:spacing w:before="60" w:after="140" w:line="360" w:lineRule="auto"/>
      </w:pPr>
      <w:r>
        <w:t>It is worth pausing here to appreciate the full weight of what Cyril and the council achieved. Nestorius's position, despite its apparent concern for divine transcendence, actually undermined the very possibility of redemption. If the one who became incarnate, suffered, died, and rose again is a human person in whom God merely dwelt, then it is the human person who conquered death and achieved redemption — and the redemption available to us is merely that of one exceptional human being, not that of the divi</w:t>
      </w:r>
      <w:r>
        <w:t xml:space="preserve">ne life itself breaking into our mortality. As Cyril writes in his </w:t>
      </w:r>
      <w:r>
        <w:rPr>
          <w:i/>
          <w:iCs/>
        </w:rPr>
        <w:t>Third Letter to Nestorius</w:t>
      </w:r>
      <w:r>
        <w:t xml:space="preserve">, accompanied by the Twelve Anathemas: "If anyone divides the hypostases in </w:t>
      </w:r>
      <w:r>
        <w:lastRenderedPageBreak/>
        <w:t xml:space="preserve">the one Christ after the union, joining them only by a conjunction of dignity or authority or power, and not rather by a coming together in a union by nature, let him be anathema." The language of "union by nature" — the hypostatic union — means precisely that God and humanity are united at the level of the Person, not merely at the level of activity or will. And this is why the title </w:t>
      </w:r>
      <w:r>
        <w:rPr>
          <w:i/>
          <w:iCs/>
        </w:rPr>
        <w:t>Theotokos</w:t>
      </w:r>
      <w:r>
        <w:t xml:space="preserve"> is not simply a pious honorific but a </w:t>
      </w:r>
      <w:r>
        <w:t>dogmatic necessity: to deny it is to deny the hypostatic union, and to deny the hypostatic union is to evacuate the Incarnation of its redemptive force.</w:t>
      </w:r>
    </w:p>
    <w:p w14:paraId="525369CB" w14:textId="77777777" w:rsidR="000E133F" w:rsidRDefault="00EC5ECA">
      <w:pPr>
        <w:pStyle w:val="Heading4"/>
      </w:pPr>
      <w:r>
        <w:t>Mary as the New Eve: Soteriological Dimensions</w:t>
      </w:r>
    </w:p>
    <w:p w14:paraId="650E6C9B" w14:textId="77777777" w:rsidR="000E133F" w:rsidRDefault="00EC5ECA">
      <w:pPr>
        <w:spacing w:before="60" w:after="140" w:line="360" w:lineRule="auto"/>
      </w:pPr>
      <w:r>
        <w:t xml:space="preserve">The Mariological significance of Ephesus does not end with the Christological definition, however. The title </w:t>
      </w:r>
      <w:r>
        <w:rPr>
          <w:i/>
          <w:iCs/>
        </w:rPr>
        <w:t>Theotokos</w:t>
      </w:r>
      <w:r>
        <w:t xml:space="preserve"> opens onto a rich soteriological dimension that Eastern Orthodoxy has developed at length through the typological category of Mary as the New Eve. This typology, whose origins predate Ephesus by two centuries, is stated with particular force in Irenaeus of Lyons, writing in the late second century in his </w:t>
      </w:r>
      <w:r>
        <w:rPr>
          <w:i/>
          <w:iCs/>
        </w:rPr>
        <w:t>Adversus Haereses</w:t>
      </w:r>
      <w:r>
        <w:t xml:space="preserve"> (Against Heresies). In Book III, Chapter 22, Irenaeus makes the following argument:</w:t>
      </w:r>
    </w:p>
    <w:p w14:paraId="75696AAB" w14:textId="77777777" w:rsidR="000E133F" w:rsidRDefault="00EC5ECA">
      <w:pPr>
        <w:spacing w:before="120" w:after="120" w:line="360" w:lineRule="auto"/>
        <w:ind w:left="720" w:right="720"/>
      </w:pPr>
      <w:r>
        <w:rPr>
          <w:i/>
          <w:iCs/>
          <w:color w:val="444444"/>
        </w:rPr>
        <w:t>"In accordance with this design, Mary the Virgin is found obedient, saying, 'Behold the handmaid of the Lord; be it unto me according to thy word.' But Eve was disobedient; for she did not obey when as yet she was a virgin. And even as she, having indeed a husband, Adam, but being nevertheless as yet a virgin... having become disobedient, was made the cause of death, both to herself and to the entire human race; so also did Mary, having a man betrothed to her, and being nevertheless a virgin, by yielding ob</w:t>
      </w:r>
      <w:r>
        <w:rPr>
          <w:i/>
          <w:iCs/>
          <w:color w:val="444444"/>
        </w:rPr>
        <w:t>edience, become the cause of salvation, both to herself and the whole human race... And thus also it was that the knot of Eve's disobedience was loosed by the obedience of Mary. For what the virgin Eve had bound fast through unbelief, this did the virgin Mary set free through faith."</w:t>
      </w:r>
    </w:p>
    <w:p w14:paraId="682E25B1" w14:textId="77777777" w:rsidR="000E133F" w:rsidRDefault="00EC5ECA">
      <w:pPr>
        <w:spacing w:before="60" w:after="140" w:line="360" w:lineRule="auto"/>
      </w:pPr>
      <w:r>
        <w:t>The theological structure articulated by Irenaeus is of the highest significance. Salvation, for Irenaeus, is recapitulation (</w:t>
      </w:r>
      <w:r>
        <w:rPr>
          <w:i/>
          <w:iCs/>
        </w:rPr>
        <w:t>anakephalaiōsis</w:t>
      </w:r>
      <w:r>
        <w:t xml:space="preserve">) — Christ as the New Adam re-traverses the entire history of humanity, undoing at each point what Adam did, and Mary as the </w:t>
      </w:r>
      <w:r>
        <w:lastRenderedPageBreak/>
        <w:t xml:space="preserve">New Eve participates structurally in this re-doing. The parallel is precise: Eve was a virgin, unbetrothed but free, confronted with the word of an angelic messenger (the serpent), and she chose disobedience and death. Mary was a virgin, betrothed but free, confronted with the word of the Archangel Gabriel, and she chose obedience and life. Where Eve's disobedient word </w:t>
      </w:r>
      <w:r>
        <w:t>("I will eat") introduced death, Mary's obedient word ("Let it be to me according to your word," Luke 1:38) introduced Life incarnate.</w:t>
      </w:r>
    </w:p>
    <w:p w14:paraId="4D68F601" w14:textId="77777777" w:rsidR="000E133F" w:rsidRDefault="00EC5ECA">
      <w:pPr>
        <w:spacing w:before="60" w:after="140" w:line="360" w:lineRule="auto"/>
      </w:pPr>
      <w:r>
        <w:t xml:space="preserve">The Eastern Orthodox theological tradition has received this patristic insight and developed it with considerable theological precision. Mary's </w:t>
      </w:r>
      <w:r>
        <w:rPr>
          <w:i/>
          <w:iCs/>
        </w:rPr>
        <w:t>fiat</w:t>
      </w:r>
      <w:r>
        <w:t xml:space="preserve"> — her free, uncoerced consent to the divine invitation — is understood as the paradigmatic act of synergism: the free human will cooperating fully and receptively with divine grace. God did not become incarnate without Mary's consent. This is not to say that her consent was a necessary precondition that God required and without which He could not act. Rather, it is a statement about the kind of God who acts in the Incarnation: a God who respects the freedom of the creature He has made, who invites rath</w:t>
      </w:r>
      <w:r>
        <w:t xml:space="preserve">er than compels, who awaits the "yes" of His creature before entering into flesh. The </w:t>
      </w:r>
      <w:r>
        <w:rPr>
          <w:i/>
          <w:iCs/>
        </w:rPr>
        <w:t>fiat</w:t>
      </w:r>
      <w:r>
        <w:t xml:space="preserve"> of Mary is the hinge of salvation history, the moment at which humanity, through one free human being, said "yes" to God's saving plan.</w:t>
      </w:r>
    </w:p>
    <w:p w14:paraId="4EB2641F" w14:textId="77777777" w:rsidR="000E133F" w:rsidRDefault="00EC5ECA">
      <w:pPr>
        <w:spacing w:before="60" w:after="140" w:line="360" w:lineRule="auto"/>
      </w:pPr>
      <w:r>
        <w:t xml:space="preserve">It must be emphasized, however — and Eastern Orthodoxy is insistent on this point — that Mary's role as the New Eve does not make her a co-redeemer in any autonomous or parallel sense to Christ's unique mediation. The distinction is crucial. Mary's consent and cooperation are not independent contributions to redemption that stand alongside Christ's atoning work; they are, rather, the form which the divine gift of salvation took as it entered the world. She is, in the language of Orthodox hymnography, "more </w:t>
      </w:r>
      <w:r>
        <w:t>spacious than the heavens" (</w:t>
      </w:r>
      <w:r>
        <w:rPr>
          <w:i/>
          <w:iCs/>
        </w:rPr>
        <w:t>platуtera ton ouranon</w:t>
      </w:r>
      <w:r>
        <w:t>) because she contained within her womb the One whom the heavens cannot contain — but this spaciousness is itself a divine gift, the fruit of grace, not a natural human achievement. She is the first of the redeemed, not a co-redeemer; the first fruit of salvation, not its independent cause. Her unique holiness consists in her being the one human person most fully, most completely, most transparently open to the divine energies — the one who most perfectly emb</w:t>
      </w:r>
      <w:r>
        <w:t>odied the human vocation to become by grace what God is by nature.</w:t>
      </w:r>
    </w:p>
    <w:p w14:paraId="2CB7D859" w14:textId="77777777" w:rsidR="000E133F" w:rsidRDefault="00EC5ECA">
      <w:pPr>
        <w:spacing w:before="60" w:after="140" w:line="360" w:lineRule="auto"/>
      </w:pPr>
      <w:r>
        <w:lastRenderedPageBreak/>
        <w:t xml:space="preserve">This understanding shapes the Orthodox attitude toward Mary in a way quite distinct from certain elaborations within Western Catholic theology. Where some Western theologians have been drawn to speak of Mary's "merits," her "co-redemptive suffering," or her role as "co-mediatrix," Orthodoxy consistently interprets her role in categories of receptivity, cooperation, and icon. Mary is the </w:t>
      </w:r>
      <w:r>
        <w:rPr>
          <w:i/>
          <w:iCs/>
        </w:rPr>
        <w:t>icon</w:t>
      </w:r>
      <w:r>
        <w:t xml:space="preserve"> of the Church — she represents, in a single person, what the Church corporately is called to be: the body that receives the divine Word, that bears Christ into the world, that is made holy by his indwelling presence. The Annunciation is not only a historical event but a permanent type of the Church's relationship to the Trinity: always awaiting, always receiving, always saying "yes" to the divine initiative.</w:t>
      </w:r>
    </w:p>
    <w:p w14:paraId="23F39511" w14:textId="77777777" w:rsidR="000E133F" w:rsidRDefault="00EC5ECA">
      <w:pPr>
        <w:spacing w:before="60" w:after="140" w:line="360" w:lineRule="auto"/>
      </w:pPr>
      <w:r>
        <w:t xml:space="preserve">The Fourth Ecumenical Council at Chalcedon (451) reconfirmed the </w:t>
      </w:r>
      <w:r>
        <w:rPr>
          <w:i/>
          <w:iCs/>
        </w:rPr>
        <w:t>Theotokos</w:t>
      </w:r>
      <w:r>
        <w:t xml:space="preserve"> title within the broader Christological definition, insisting that the two natures of Christ — divine and human, without confusion, change, division, or separation — are united in a single Person. The Chalcedonian </w:t>
      </w:r>
      <w:r>
        <w:rPr>
          <w:i/>
          <w:iCs/>
        </w:rPr>
        <w:t>Horos</w:t>
      </w:r>
      <w:r>
        <w:t xml:space="preserve"> explicitly opens with the affirmation "following, then, the holy Fathers, we all with one voice teach the confession of one and the same Son, our Lord Jesus Christ: the same perfect in divinity and perfect in humanity... the same one born before time from the Father according to th</w:t>
      </w:r>
      <w:r>
        <w:t xml:space="preserve">e divinity, and in the last days, the same one, born for us and for our salvation from Mary the Virgin Theotokos according to the humanity." The </w:t>
      </w:r>
      <w:r>
        <w:rPr>
          <w:i/>
          <w:iCs/>
        </w:rPr>
        <w:t>Theotokos</w:t>
      </w:r>
      <w:r>
        <w:t xml:space="preserve"> is thus woven into the very fabric of Chalcedonian orthodoxy, inseparable from the two-natures Christology that defines the council's achievement.</w:t>
      </w:r>
    </w:p>
    <w:p w14:paraId="52AA72A2" w14:textId="77777777" w:rsidR="000E133F" w:rsidRDefault="00EC5ECA">
      <w:pPr>
        <w:pStyle w:val="Heading3"/>
      </w:pPr>
      <w:bookmarkStart w:id="103" w:name="_Toc232765330"/>
      <w:r>
        <w:t>7.2 The Dormition of the Theotokos (Koimesis)</w:t>
      </w:r>
      <w:bookmarkEnd w:id="103"/>
    </w:p>
    <w:p w14:paraId="6FFC994D" w14:textId="77777777" w:rsidR="000E133F" w:rsidRDefault="00EC5ECA">
      <w:pPr>
        <w:pStyle w:val="Heading4"/>
      </w:pPr>
      <w:r>
        <w:t>The Feast and Its Theological Content</w:t>
      </w:r>
    </w:p>
    <w:p w14:paraId="489200C1" w14:textId="77777777" w:rsidR="000E133F" w:rsidRDefault="00EC5ECA">
      <w:pPr>
        <w:spacing w:before="60" w:after="140" w:line="360" w:lineRule="auto"/>
      </w:pPr>
      <w:r>
        <w:t>On the fifteenth day of August, Eastern Orthodoxy celebrates the great Feast of the Dormition of the Theotokos (</w:t>
      </w:r>
      <w:r>
        <w:rPr>
          <w:i/>
          <w:iCs/>
        </w:rPr>
        <w:t>Koimesis</w:t>
      </w:r>
      <w:r>
        <w:t xml:space="preserve"> — literally "the falling asleep"), one of the twelve Great Feasts of the Orthodox liturgical year. This feast is preceded by a two-week fast (August 1–14) of penitential seriousness second only to Great Lent, a liturgical fact that speaks eloquently to the weight the Orthodox tradition assigns to this event in salvation history. The troparion of the feast declares: "In giving birth you preserved your virginity, and in falling asleep you did not forsake the world, O Theotokos. You were translated to</w:t>
      </w:r>
      <w:r>
        <w:t xml:space="preserve"> </w:t>
      </w:r>
      <w:r>
        <w:lastRenderedPageBreak/>
        <w:t>life, O Mother of Life, and by your prayers you deliver our souls from death." The theological content embedded in this liturgical text deserves careful unpacking.</w:t>
      </w:r>
    </w:p>
    <w:p w14:paraId="2433C79A" w14:textId="77777777" w:rsidR="000E133F" w:rsidRDefault="00EC5ECA">
      <w:pPr>
        <w:spacing w:before="60" w:after="140" w:line="360" w:lineRule="auto"/>
      </w:pPr>
      <w:r>
        <w:t>The Orthodox understanding of the Dormition involves three interlocking claims: first, that Mary genuinely died — she "fell asleep" in the literal sense of passing from this life; second, that after her death, her body was glorified and taken into the divine presence in a bodily manner; and third, that this bodily glorification is eschatologically significant — it is the first fruits, the pledge and prototype, of the bodily resurrection that awaits all the faithful at the consummation of all things.</w:t>
      </w:r>
    </w:p>
    <w:p w14:paraId="717D3077" w14:textId="77777777" w:rsidR="000E133F" w:rsidRDefault="00EC5ECA">
      <w:pPr>
        <w:spacing w:before="60" w:after="140" w:line="360" w:lineRule="auto"/>
      </w:pPr>
      <w:r>
        <w:t xml:space="preserve">The patristic and homiletical tradition on the Dormition reaches its highest literary and theological expression in the three </w:t>
      </w:r>
      <w:r>
        <w:rPr>
          <w:i/>
          <w:iCs/>
        </w:rPr>
        <w:t>Homilies on the Dormition</w:t>
      </w:r>
      <w:r>
        <w:t xml:space="preserve"> of John of Damascus (c. 675–749). In the First Homily, John writes:</w:t>
      </w:r>
    </w:p>
    <w:p w14:paraId="6AB9370B" w14:textId="77777777" w:rsidR="000E133F" w:rsidRDefault="00EC5ECA">
      <w:pPr>
        <w:spacing w:before="120" w:after="120" w:line="360" w:lineRule="auto"/>
        <w:ind w:left="720" w:right="720"/>
      </w:pPr>
      <w:r>
        <w:rPr>
          <w:i/>
          <w:iCs/>
          <w:color w:val="444444"/>
        </w:rPr>
        <w:t>"It was fitting that she who at the Nativity had preserved her virginity intact should also have her body kept free from all corruption after death. It was fitting that she who had carried the Creator as a child at her breast should dwell in the divine tabernacles. It was fitting that the spouse whom the Father had taken to himself should live in the divine mansions. It was fitting that she who had seen her Son upon the cross and who had thereby received into her heart the sword of sorrow which she had esca</w:t>
      </w:r>
      <w:r>
        <w:rPr>
          <w:i/>
          <w:iCs/>
          <w:color w:val="444444"/>
        </w:rPr>
        <w:t>ped at the birth, should look upon him as he sits with the Father. It was fitting that God's Mother should possess what belongs to her Son, and that she should be honored by every creature as the Mother and as the handmaid of God."</w:t>
      </w:r>
    </w:p>
    <w:p w14:paraId="5E819DE6" w14:textId="77777777" w:rsidR="000E133F" w:rsidRDefault="00EC5ECA">
      <w:pPr>
        <w:spacing w:before="60" w:after="140" w:line="360" w:lineRule="auto"/>
      </w:pPr>
      <w:r>
        <w:t>John's argument moves from theological fitness (</w:t>
      </w:r>
      <w:r>
        <w:rPr>
          <w:i/>
          <w:iCs/>
        </w:rPr>
        <w:t>prepei</w:t>
      </w:r>
      <w:r>
        <w:t>) — from the pattern of who Mary is and what she has been given — to the claim about what God must have done. This is not, he is careful to indicate, a matter of human speculation; it is a matter of theological inference from the Church's living tradition, which itself has received what has been transmitted from the Apostles. The homilies report the tradition that after Mary's death and burial, when the Apostle Thomas arrived late and asked to see her tomb, it was found to be empty and filled with flo</w:t>
      </w:r>
      <w:r>
        <w:t>wers.</w:t>
      </w:r>
    </w:p>
    <w:p w14:paraId="2D9378E4" w14:textId="77777777" w:rsidR="000E133F" w:rsidRDefault="00EC5ECA">
      <w:pPr>
        <w:spacing w:before="60" w:after="140" w:line="360" w:lineRule="auto"/>
      </w:pPr>
      <w:r>
        <w:lastRenderedPageBreak/>
        <w:t>In the Second Homily on the Dormition, John offers a profound theological reflection on the nature of Mary's death:</w:t>
      </w:r>
    </w:p>
    <w:p w14:paraId="0D9191BB" w14:textId="77777777" w:rsidR="000E133F" w:rsidRDefault="00EC5ECA">
      <w:pPr>
        <w:spacing w:before="120" w:after="120" w:line="360" w:lineRule="auto"/>
        <w:ind w:left="720" w:right="720"/>
      </w:pPr>
      <w:r>
        <w:rPr>
          <w:i/>
          <w:iCs/>
          <w:color w:val="444444"/>
        </w:rPr>
        <w:t>"Today the holy and living Ark of the living God, she who bore her own Creator, rests in the temple of God which is not made by hands. David her forefather dances, and with him the angels lead the dance; the archangels sing praise; the virtues glorify; the principalities exalt; the powers celebrate; the dominations rejoice; the thrones give holiday; the cherubim offer song of praise; the seraphim glorify that holy soul — the holy, guileless, and sacred soul of her whose glory is to carry God."</w:t>
      </w:r>
    </w:p>
    <w:p w14:paraId="249070AD" w14:textId="77777777" w:rsidR="000E133F" w:rsidRDefault="00EC5ECA">
      <w:pPr>
        <w:spacing w:before="60" w:after="140" w:line="360" w:lineRule="auto"/>
      </w:pPr>
      <w:r>
        <w:t xml:space="preserve">The theological density of this passage is remarkable. The Ark typology — Mary as the living Ark of the Covenant — is developed in explicit detail. Just as the Ark of the Old Covenant contained the tablets of the law, the rod of Aaron, and the manna, so Mary "contained" the Author of the law, the true High Priest, and the Bread from heaven. And just as the Old Covenant Ark was taken up and brought to its place of honor in Solomon's Temple (1 Kings 8), so Mary — the living New Covenant Ark — is taken up and </w:t>
      </w:r>
      <w:r>
        <w:t>brought to her place of honor in the heavenly temple. This Ark typology further connects the Dormition to the vision of Revelation 11:19–12:1, where the prophet sees "the ark of the Lord's covenant" in the heavenly temple, and immediately thereafter a great portent appears: "a woman clothed with the sun, with the moon under her feet, and on her head a crown of twelve stars." Eastern patristic interpretation has consistently read this passage as an image of the Theotokos in her heavenly glory.</w:t>
      </w:r>
    </w:p>
    <w:p w14:paraId="543F6A19" w14:textId="77777777" w:rsidR="000E133F" w:rsidRDefault="00EC5ECA">
      <w:pPr>
        <w:pStyle w:val="Heading4"/>
      </w:pPr>
      <w:r>
        <w:t>Distinction from the Roman Catholic Dogma of the Assumption</w:t>
      </w:r>
    </w:p>
    <w:p w14:paraId="1FD62557" w14:textId="77777777" w:rsidR="000E133F" w:rsidRDefault="00EC5ECA">
      <w:pPr>
        <w:spacing w:before="60" w:after="140" w:line="360" w:lineRule="auto"/>
      </w:pPr>
      <w:r>
        <w:t xml:space="preserve">The parallel between the Orthodox feast of the Dormition and the Roman Catholic dogma of the Assumption of Mary (defined by Pope Pius XII in the apostolic constitution </w:t>
      </w:r>
      <w:r>
        <w:rPr>
          <w:i/>
          <w:iCs/>
        </w:rPr>
        <w:t>Munificentissimus Deus</w:t>
      </w:r>
      <w:r>
        <w:t xml:space="preserve"> on November 1, 1950) is close enough to create genuine ecumenical interest, but the differences are sufficiently important to require careful delineation.</w:t>
      </w:r>
    </w:p>
    <w:p w14:paraId="75632F6D" w14:textId="77777777" w:rsidR="000E133F" w:rsidRDefault="00EC5ECA">
      <w:pPr>
        <w:spacing w:before="60" w:after="140" w:line="360" w:lineRule="auto"/>
      </w:pPr>
      <w:r>
        <w:t xml:space="preserve">The Roman Catholic dogma, as defined by Pius XII, states: "We pronounce, declare, and define it to be a divinely revealed dogma: that the Immaculate Virgin Mary, the Mother of God, when the course of her earthly life was completed, was taken up body and soul </w:t>
      </w:r>
      <w:r>
        <w:lastRenderedPageBreak/>
        <w:t>into heavenly glory." The definition deliberately and explicitly leaves open whether Mary died before being assumed — the question of her death was not resolved by the definition, and significant theological opinion on both sides of the question has existed in Latin theology. The dogma focuses on the bodily glorification as the defined content.</w:t>
      </w:r>
    </w:p>
    <w:p w14:paraId="791F6AF8" w14:textId="77777777" w:rsidR="000E133F" w:rsidRDefault="00EC5ECA">
      <w:pPr>
        <w:spacing w:before="60" w:after="140" w:line="360" w:lineRule="auto"/>
      </w:pPr>
      <w:r>
        <w:t xml:space="preserve">Orthodox theology has several responses to this definition. First, Orthodoxy affirms the bodily glorification — the Dormition feast itself witnesses to a bodily assumption that is the presupposition of the empty tomb tradition. Second, and critically, Orthodoxy insists on Mary's death (the Dormition) as the </w:t>
      </w:r>
      <w:r>
        <w:rPr>
          <w:i/>
          <w:iCs/>
        </w:rPr>
        <w:t>first</w:t>
      </w:r>
      <w:r>
        <w:t xml:space="preserve"> element of the event: Mary died, truly and genuinely, before being glorified. Death, in Orthodox understanding, is not something from which Mary would have been exempt; to exempt her from death would be to separate her from the rest of humanity and to diminish the theological significance of her glorification. It is precisely because she genuinely died that her glorification is the pledge and prototype of the resurrection for all the faithful: she who was truly mortal has been truly glorified, and in </w:t>
      </w:r>
      <w:r>
        <w:t>her glorification we see the destiny of all who die in Christ. The Dormition is thus an eschatological statement of the first order.</w:t>
      </w:r>
    </w:p>
    <w:p w14:paraId="4557AE65" w14:textId="77777777" w:rsidR="000E133F" w:rsidRDefault="00EC5ECA">
      <w:pPr>
        <w:spacing w:before="60" w:after="140" w:line="360" w:lineRule="auto"/>
      </w:pPr>
      <w:r>
        <w:t xml:space="preserve">Third, and most importantly from an ecclesiological perspective, Orthodoxy objects not only to the content of the 1950 definition but to the manner of its definition. Pope Pius XII defined the dogma </w:t>
      </w:r>
      <w:r>
        <w:rPr>
          <w:i/>
          <w:iCs/>
        </w:rPr>
        <w:t>ex cathedra</w:t>
      </w:r>
      <w:r>
        <w:t xml:space="preserve"> through the exercise of papal infallibility — a category of authority that the Eastern Orthodox Church does not recognize. An ecumenical council never defined the bodily glorification of Mary as dogma in the conciliar sense, and a unilateral papal definition — whatever its theological content — cannot bind the conscience of the Orthodox Christian, for whom dogma is determined by the ecumenical consensus of the Church expressed through its councils and received by its faithful.</w:t>
      </w:r>
    </w:p>
    <w:p w14:paraId="4FCA2DBC" w14:textId="77777777" w:rsidR="000E133F" w:rsidRDefault="00EC5ECA">
      <w:pPr>
        <w:spacing w:before="60" w:after="140" w:line="360" w:lineRule="auto"/>
      </w:pPr>
      <w:r>
        <w:t xml:space="preserve">The Orthodox feast of the Dormition, then, represents a firm doctrinal tradition expressed in liturgy, hymnography, and patristic reflection, without having been elevated to a conciliar dogma in the technical sense. This is not a sign of theological timidity but of a different epistemological approach: the Church does not define everything that she believes; much of the faith is carried in doxological practice, in the </w:t>
      </w:r>
      <w:r>
        <w:lastRenderedPageBreak/>
        <w:t>lex orandi which is also the lex credendi, and the absence of a conciliar definition does not imply uncertainty or indifference.</w:t>
      </w:r>
    </w:p>
    <w:p w14:paraId="1A49655C" w14:textId="77777777" w:rsidR="000E133F" w:rsidRDefault="00EC5ECA">
      <w:pPr>
        <w:pStyle w:val="Heading4"/>
      </w:pPr>
      <w:r>
        <w:t>The Orthodox Rejection of the Immaculate Conception</w:t>
      </w:r>
    </w:p>
    <w:p w14:paraId="0CC228A8" w14:textId="77777777" w:rsidR="000E133F" w:rsidRDefault="00EC5ECA">
      <w:pPr>
        <w:spacing w:before="60" w:after="140" w:line="360" w:lineRule="auto"/>
      </w:pPr>
      <w:r>
        <w:t xml:space="preserve">The Roman Catholic dogma of the Immaculate Conception, defined by Pope Pius IX in the bull </w:t>
      </w:r>
      <w:r>
        <w:rPr>
          <w:i/>
          <w:iCs/>
        </w:rPr>
        <w:t>Ineffabilis Deus</w:t>
      </w:r>
      <w:r>
        <w:t xml:space="preserve"> on December 8, 1854, defines that "the Blessed Virgin Mary, in the first instant of her conception, by a singular grace and privilege of Almighty God, in view of the merits of Jesus Christ the Savior of the human race, was preserved free from all stain of original sin." Eastern Orthodoxy rejects this dogma on both theological and ecclesiological grounds, and it is essential to understand the precise grounds for this rejection.</w:t>
      </w:r>
    </w:p>
    <w:p w14:paraId="0F9E6B48" w14:textId="77777777" w:rsidR="000E133F" w:rsidRDefault="00EC5ECA">
      <w:pPr>
        <w:spacing w:before="60" w:after="140" w:line="360" w:lineRule="auto"/>
      </w:pPr>
      <w:r>
        <w:t xml:space="preserve">The ecclesiological objection is the same as with the Assumption: a unilateral papal definition cannot bind the whole Church. But the theological objection is more fundamental and more illuminating. Orthodox theology does not accept the Augustinian doctrine of inherited guilt as the defining content of what is transmitted through human generation from Adam. As Section 4.2 of this treatise has already noted, the Orthodox doctrine of </w:t>
      </w:r>
      <w:r>
        <w:rPr>
          <w:i/>
          <w:iCs/>
        </w:rPr>
        <w:t>ancestral sin</w:t>
      </w:r>
      <w:r>
        <w:t xml:space="preserve"> (protopathorikē hamartia) holds that what is inherited from Adam is mortality, corruption, and an inclination toward sin — not the guilt of Adam's specific act. Every person bears guilt only for their own freely chosen sins. The Greek Fathers interpreted the Fall primarily in ontological rather than forensic categories: Adam introduced death into humanity, and death is the root of sin rather than sin being the root of death.</w:t>
      </w:r>
    </w:p>
    <w:p w14:paraId="4B86701D" w14:textId="77777777" w:rsidR="000E133F" w:rsidRDefault="00EC5ECA">
      <w:pPr>
        <w:spacing w:before="60" w:after="140" w:line="360" w:lineRule="auto"/>
      </w:pPr>
      <w:r>
        <w:t>The Immaculate Conception as a Roman Catholic dogma is formulated within an Augustinian framework that presupposes inherited guilt. The claim is that Mary needed to be exempted from this inherited guilt in order to be a holy vessel for the Incarnation. But from the Orthodox perspective, if inherited guilt does not exist in the first place — if what Mary would have inherited is mortality and the inclination toward sin, but not personal guilt — then the entire Augustinian problematic that generated the defini</w:t>
      </w:r>
      <w:r>
        <w:t xml:space="preserve">tion is theologically alien to Eastern thought. Orthodoxy does not deny Mary's extraordinary holiness; on the contrary, it affirms her as </w:t>
      </w:r>
      <w:r>
        <w:rPr>
          <w:i/>
          <w:iCs/>
        </w:rPr>
        <w:t>Panagia</w:t>
      </w:r>
      <w:r>
        <w:t xml:space="preserve"> (All-Holy), </w:t>
      </w:r>
      <w:r>
        <w:rPr>
          <w:i/>
          <w:iCs/>
        </w:rPr>
        <w:t>Achrantos</w:t>
      </w:r>
      <w:r>
        <w:t xml:space="preserve"> (immaculate), </w:t>
      </w:r>
      <w:r>
        <w:rPr>
          <w:i/>
          <w:iCs/>
        </w:rPr>
        <w:t>Amometos</w:t>
      </w:r>
      <w:r>
        <w:t xml:space="preserve"> (without blemish). But this holiness is understood as the fruit of her lifelong </w:t>
      </w:r>
      <w:r>
        <w:lastRenderedPageBreak/>
        <w:t>cooperation with grace, the accumulated effect of a life of perfect receptivity to the divine energies, not a retroactive divine exemption from a category of inherited guilt that Orthodoxy does not recognize. Mary's sinlessness is, in Orthod</w:t>
      </w:r>
      <w:r>
        <w:t>ox understanding, a grace-filled achievement within the life of faithful cooperation with God — making it all the more a model for the Christian life, rather than an exemption from the common human condition.</w:t>
      </w:r>
    </w:p>
    <w:p w14:paraId="7F87E2E5" w14:textId="77777777" w:rsidR="000E133F" w:rsidRDefault="00EC5ECA">
      <w:pPr>
        <w:pStyle w:val="Heading3"/>
      </w:pPr>
      <w:bookmarkStart w:id="104" w:name="_Toc232765331"/>
      <w:r>
        <w:t>7.3 The Perpetual Virginity of the Theotokos (Aeiparthenos)</w:t>
      </w:r>
      <w:bookmarkEnd w:id="104"/>
    </w:p>
    <w:p w14:paraId="1B186DA5" w14:textId="77777777" w:rsidR="000E133F" w:rsidRDefault="00EC5ECA">
      <w:pPr>
        <w:pStyle w:val="Heading4"/>
      </w:pPr>
      <w:r>
        <w:t>The Dogmatic Content and Its Theological Grounding</w:t>
      </w:r>
    </w:p>
    <w:p w14:paraId="13330F90" w14:textId="77777777" w:rsidR="000E133F" w:rsidRDefault="00EC5ECA">
      <w:pPr>
        <w:spacing w:before="60" w:after="140" w:line="360" w:lineRule="auto"/>
      </w:pPr>
      <w:r>
        <w:t>The Orthodox confession of Mary as Ever-Virgin (</w:t>
      </w:r>
      <w:r>
        <w:rPr>
          <w:i/>
          <w:iCs/>
        </w:rPr>
        <w:t>Aeiparthenos</w:t>
      </w:r>
      <w:r>
        <w:t xml:space="preserve"> — </w:t>
      </w:r>
      <w:r>
        <w:t>ἀ</w:t>
      </w:r>
      <w:r>
        <w:t xml:space="preserve">ειπάρθενος) involves the claim that she was a virgin before, during, and after the birth of Christ. This threefold affirmation is iconographically represented by the three stars on the </w:t>
      </w:r>
      <w:r>
        <w:rPr>
          <w:i/>
          <w:iCs/>
        </w:rPr>
        <w:t>maphorion</w:t>
      </w:r>
      <w:r>
        <w:t xml:space="preserve"> (veil) of the Theotokos in traditional iconography — one on her forehead and one on each shoulder. The title </w:t>
      </w:r>
      <w:r>
        <w:rPr>
          <w:i/>
          <w:iCs/>
        </w:rPr>
        <w:t>Aeiparthenos</w:t>
      </w:r>
      <w:r>
        <w:t xml:space="preserve"> was formally defined at the Second Council of Constantinople (553) as part of the broader Christological definition, and it is accepted throughout the Orthodox Church as a firm do</w:t>
      </w:r>
      <w:r>
        <w:t>ctrinal commitment.</w:t>
      </w:r>
    </w:p>
    <w:p w14:paraId="28E8B8C4" w14:textId="77777777" w:rsidR="000E133F" w:rsidRDefault="00EC5ECA">
      <w:pPr>
        <w:spacing w:before="60" w:after="140" w:line="360" w:lineRule="auto"/>
      </w:pPr>
      <w:r>
        <w:t>The theological grounding for the perpetual virginity operates on several levels. The virginal conception — that Christ was conceived by the Holy Spirit without the agency of a human father (Matthew 1:18–23; Luke 1:35) — is universally accepted in Orthodox theology as a historical fact and as a theological sign. The sign-value of the virginal conception reaches back through Matthew to Isaiah 7:14 ("Behold, a virgin shall conceive and bear a son, and his name shall be called Emmanuel"), and the virginal conc</w:t>
      </w:r>
      <w:r>
        <w:t>eption is understood as the sign of the new creation: just as the first creation proceeded from the Spirit of God moving over the waters of the void (Genesis 1:2), so the new creation proceeds from the Holy Spirit overshadowing the Virgin Mary (Luke 1:35 — "The Holy Spirit will come upon you, and the power of the Most High will overshadow you"). The parallelism is deliberate and theologically structured: the creation of the old Adam from virgin earth (the earth had not yet been fertilized by rain, Genesis 2</w:t>
      </w:r>
      <w:r>
        <w:t>:5–7) corresponds to the creation of the New Adam from a virgin womb; both are direct creative acts of the divine Spirit, bypassing the ordinary processes of natural generation.</w:t>
      </w:r>
    </w:p>
    <w:p w14:paraId="03050C8D" w14:textId="77777777" w:rsidR="000E133F" w:rsidRDefault="00EC5ECA">
      <w:pPr>
        <w:spacing w:before="60" w:after="140" w:line="360" w:lineRule="auto"/>
      </w:pPr>
      <w:r>
        <w:lastRenderedPageBreak/>
        <w:t xml:space="preserve">This theological grounding of the virginal conception in the theology of the new creation extends naturally to the virginity </w:t>
      </w:r>
      <w:r>
        <w:rPr>
          <w:i/>
          <w:iCs/>
        </w:rPr>
        <w:t>during</w:t>
      </w:r>
      <w:r>
        <w:t xml:space="preserve"> birth — a more difficult concept that Eastern theology has addressed through the notion that the virginal birth left no sign of ordinary parturition, that Mary bore Christ as the sun shines through glass, transforming without violating the medium. The Fathers find scriptural support in Ezekiel 44:2 ("This gate shall remain shut; it shall not be opened, and no one shall enter by it, for the Lord, the God of Israel, has entered by it; therefore it shall remain shut"), interpreted as a type of the ever-</w:t>
      </w:r>
      <w:r>
        <w:t>virgin birth. The theological import is that Mary's virginity is not simply a biological fact but a sign of the transcendent manner in which the divine has entered creation — not by the ordinary processes of nature but by a direct creative act of the Spirit.</w:t>
      </w:r>
    </w:p>
    <w:p w14:paraId="73BF2C6D" w14:textId="77777777" w:rsidR="000E133F" w:rsidRDefault="00EC5ECA">
      <w:pPr>
        <w:spacing w:before="60" w:after="140" w:line="360" w:lineRule="auto"/>
      </w:pPr>
      <w:r>
        <w:t xml:space="preserve">The virginity </w:t>
      </w:r>
      <w:r>
        <w:rPr>
          <w:i/>
          <w:iCs/>
        </w:rPr>
        <w:t>after</w:t>
      </w:r>
      <w:r>
        <w:t xml:space="preserve"> the birth — the perpetual virginity throughout Mary's life — is grounded theologically in the understanding of Mary as the holy vessel, the living Ark of the Covenant, the sacred space in which God dwelt. As John of Damascus argues, it would be unfitting (</w:t>
      </w:r>
      <w:r>
        <w:rPr>
          <w:i/>
          <w:iCs/>
        </w:rPr>
        <w:t>aprepēs</w:t>
      </w:r>
      <w:r>
        <w:t>) for the womb that had been the sanctuary of the divine Word to be used for ordinary human generation after the Incarnation. The logic is typological: the holiness of the space is proportioned to the holiness of the One who inhabited it.</w:t>
      </w:r>
    </w:p>
    <w:p w14:paraId="08183C14" w14:textId="77777777" w:rsidR="000E133F" w:rsidRDefault="00EC5ECA">
      <w:pPr>
        <w:pStyle w:val="Heading4"/>
      </w:pPr>
      <w:r>
        <w:t>The Brothers of the Lord</w:t>
      </w:r>
    </w:p>
    <w:p w14:paraId="24C573A7" w14:textId="77777777" w:rsidR="000E133F" w:rsidRDefault="00EC5ECA">
      <w:pPr>
        <w:spacing w:before="60" w:after="140" w:line="360" w:lineRule="auto"/>
      </w:pPr>
      <w:r>
        <w:t xml:space="preserve">The most obvious exegetical difficulty for the perpetual virginity is the repeated mention of "the brothers of the Lord" (and occasionally sisters) in the Gospels and Epistles (Matthew 12:46–50, 13:55–56; Mark 6:3; John 2:12, 7:3–5; Acts 1:14; 1 Corinthians 9:5; Galatians 1:19). Three interpretations have been advanced in the tradition. The first, associated with Helvidius (4th century) and later adopted by Protestant interpreters, is that these are children of Mary and Joseph born after Jesus — biological </w:t>
      </w:r>
      <w:r>
        <w:t xml:space="preserve">siblings in the full sense. The second, associated with Jerome, is that these are cousins of Jesus, the children of a different Mary (identified with "Mary the wife of Clopas" in John 19:25), and that the Greek word </w:t>
      </w:r>
      <w:r>
        <w:rPr>
          <w:i/>
          <w:iCs/>
        </w:rPr>
        <w:t>adelphos</w:t>
      </w:r>
      <w:r>
        <w:t xml:space="preserve"> is used in a broader Semitic sense of close kinship. The third, associated with Epiphanius of Salamis (4th century) and preserved in the most ancient Eastern traditions including those of Origen, is that these are children of Joseph from a prior marriage, stepbrothers of Jesus who were </w:t>
      </w:r>
      <w:r>
        <w:t>part of the household.</w:t>
      </w:r>
    </w:p>
    <w:p w14:paraId="45F2A3D6" w14:textId="77777777" w:rsidR="000E133F" w:rsidRDefault="00EC5ECA">
      <w:pPr>
        <w:spacing w:before="60" w:after="140" w:line="360" w:lineRule="auto"/>
      </w:pPr>
      <w:r>
        <w:lastRenderedPageBreak/>
        <w:t>Eastern Orthodoxy has generally followed the Epiphanian interpretation — the children of Joseph from a prior marriage — rather than Jerome's cousin interpretation. This interpretation has the advantage of explaining several features of the Gospel narrative: it accounts for the apparent age and authority that "the brothers" exercise in relation to Jesus (they rebuke him in John 7:3–4, suggesting elder-brother status), it explains the tradition that Joseph was an older widower when betrothed to Mary (preserve</w:t>
      </w:r>
      <w:r>
        <w:t xml:space="preserve">d in multiple ancient sources including the </w:t>
      </w:r>
      <w:r>
        <w:rPr>
          <w:i/>
          <w:iCs/>
        </w:rPr>
        <w:t>Protoevangelium of James</w:t>
      </w:r>
      <w:r>
        <w:t>), and it coheres with the ancient tradition that Joseph himself appears in the Gospel narratives only during the early years of Jesus's ministry and is thereafter absent, suggesting he had died before the public ministry — a plausible circumstance if he had been significantly older than Mary at their betrothal.</w:t>
      </w:r>
    </w:p>
    <w:p w14:paraId="08841E3D" w14:textId="77777777" w:rsidR="000E133F" w:rsidRDefault="00EC5ECA">
      <w:pPr>
        <w:spacing w:before="60" w:after="140" w:line="360" w:lineRule="auto"/>
      </w:pPr>
      <w:r>
        <w:t xml:space="preserve">The theological significance of the perpetual virginity is not merely a matter of biographical detail. It is, in Orthodox understanding, a permanent characterization of Mary's consecrated state: she is the one who has been entirely, wholly, and permanently given over to God — body, soul, and life — as the vessel of the divine indwelling. Her virginity after the birth of Christ is the external sign of her interior state of total self-donation to God, the permanent form of her </w:t>
      </w:r>
      <w:r>
        <w:rPr>
          <w:i/>
          <w:iCs/>
        </w:rPr>
        <w:t>fiat</w:t>
      </w:r>
      <w:r>
        <w:t>. She is, in the language of Revelation 11–12, the Ark of the Covenant and the Woman Clothed with the Sun — figures of the Church as the permanent, sacred dwelling-place of God.</w:t>
      </w:r>
    </w:p>
    <w:p w14:paraId="4F88C74D" w14:textId="77777777" w:rsidR="000E133F" w:rsidRDefault="00EC5ECA">
      <w:pPr>
        <w:pStyle w:val="Heading3"/>
      </w:pPr>
      <w:bookmarkStart w:id="105" w:name="_Toc232765332"/>
      <w:r>
        <w:t>7.4 The Veneration of Saints and Their Intercession</w:t>
      </w:r>
      <w:bookmarkEnd w:id="105"/>
    </w:p>
    <w:p w14:paraId="4D52B734" w14:textId="77777777" w:rsidR="000E133F" w:rsidRDefault="00EC5ECA">
      <w:pPr>
        <w:pStyle w:val="Heading4"/>
      </w:pPr>
      <w:r>
        <w:t>The Theological Foundation: The Communion of Saints</w:t>
      </w:r>
    </w:p>
    <w:p w14:paraId="794B24BF" w14:textId="77777777" w:rsidR="000E133F" w:rsidRDefault="00EC5ECA">
      <w:pPr>
        <w:spacing w:before="60" w:after="140" w:line="360" w:lineRule="auto"/>
      </w:pPr>
      <w:r>
        <w:t>Orthodox theology understands the Church not as a merely human institution confined to the living members of this world, but as a divine-human community that spans the boundary between time and eternity, embracing the living on earth and the glorified saints in heaven within a single Body of Christ. The scriptural foundation for this understanding is stated most concisely in our Lord's argument against the Sadducees: "He is not the God of the dead but of the living; for all live to him" (Luke 20:38). The sa</w:t>
      </w:r>
      <w:r>
        <w:t>ints who have departed this life are not simply absent; they are alive — more fully alive, in Orthodox understanding, than they were in this earthly existence — and they remain members of the Body of Christ, which knows no boundary at death.</w:t>
      </w:r>
    </w:p>
    <w:p w14:paraId="52CDB1F1" w14:textId="77777777" w:rsidR="000E133F" w:rsidRDefault="00EC5ECA">
      <w:pPr>
        <w:spacing w:before="60" w:after="140" w:line="360" w:lineRule="auto"/>
      </w:pPr>
      <w:r>
        <w:lastRenderedPageBreak/>
        <w:t>This theological conviction is not an addition to the Gospel but a direct implication of the doctrine of the resurrection and the nature of the Church. Saint Paul's extended meditation on the Body of Christ in First Corinthians 12 presents the Church as an organism whose members are bound to one another by the life of the one Spirit that animates the whole: "If one member suffers, all suffer together; if one member is honored, all rejoice together" (1 Corinthians 12:26). The question of whether this organic</w:t>
      </w:r>
      <w:r>
        <w:t xml:space="preserve"> unity persists across death is answered clearly in the Orthodox reading of Scripture: the resurrection of Christ has broken the power of death, and those who are in Christ have passed through death into a fuller participation in the divine life. "Whether we live or whether we die, we are the Lord's" (Romans 14:8). The saints in glory are not waiting passively for the Final Resurrection; they are alive in God, and as members of the same Body, they pray for their brothers and sisters who are still on pilgrim</w:t>
      </w:r>
      <w:r>
        <w:t>age.</w:t>
      </w:r>
    </w:p>
    <w:p w14:paraId="38303C73" w14:textId="77777777" w:rsidR="000E133F" w:rsidRDefault="00EC5ECA">
      <w:pPr>
        <w:spacing w:before="60" w:after="140" w:line="360" w:lineRule="auto"/>
      </w:pPr>
      <w:r>
        <w:t>Patristic testimony to this conviction is ancient and universal. Origen, in his homilies on Joshua, writes of the martyrs present at and active in the Church's prayers. Tertullian speaks of the martyrs interceding before the throne. Cyprian of Carthage, writing to his community during the Decian persecution, refers to the martyrs' power of intercession before God. Basil the Great, in his homily on the forty martyrs of Sebaste, addresses the martyrs directly as present and active intercessors: "When the peop</w:t>
      </w:r>
      <w:r>
        <w:t>le come together in groups, and the souls of those who are present mingle with those who are worthy, they share in the holy love. They are present at one another's tears, and by their intercession they aid those who struggle." John Chrysostom, in his commentary on the Letter to the Hebrews, draws out the significance of Hebrews 12:1 — "surrounded by so great a cloud of witnesses" — as indicating the active presence of the glorified saints: they are not merely spectators but participants in the Church's ongo</w:t>
      </w:r>
      <w:r>
        <w:t>ing life.</w:t>
      </w:r>
    </w:p>
    <w:p w14:paraId="2D8BCFB6" w14:textId="77777777" w:rsidR="000E133F" w:rsidRDefault="00EC5ECA">
      <w:pPr>
        <w:pStyle w:val="Heading4"/>
      </w:pPr>
      <w:r>
        <w:t>The Theological Distinction: Latreia and Proskynesis</w:t>
      </w:r>
    </w:p>
    <w:p w14:paraId="67AC3AFA" w14:textId="77777777" w:rsidR="000E133F" w:rsidRDefault="00EC5ECA">
      <w:pPr>
        <w:spacing w:before="60" w:after="140" w:line="360" w:lineRule="auto"/>
      </w:pPr>
      <w:r>
        <w:t xml:space="preserve">The most fundamental theological distinction in the Orthodox theology of veneration is the distinction between </w:t>
      </w:r>
      <w:r>
        <w:rPr>
          <w:i/>
          <w:iCs/>
        </w:rPr>
        <w:t>latreia</w:t>
      </w:r>
      <w:r>
        <w:t xml:space="preserve"> (λατρεία — worship, adoration, the service owed to God alone) and </w:t>
      </w:r>
      <w:r>
        <w:rPr>
          <w:i/>
          <w:iCs/>
        </w:rPr>
        <w:t>proskynesis</w:t>
      </w:r>
      <w:r>
        <w:t xml:space="preserve"> or </w:t>
      </w:r>
      <w:r>
        <w:rPr>
          <w:i/>
          <w:iCs/>
        </w:rPr>
        <w:t>timētikē proskunēsis</w:t>
      </w:r>
      <w:r>
        <w:t xml:space="preserve"> (προσκύνησις τιμητική — veneration, honor, respect offered to holy persons and things). This distinction is not an Orthodox invention designed to justify a popular religious practice; it is a theological category </w:t>
      </w:r>
      <w:r>
        <w:lastRenderedPageBreak/>
        <w:t>drawn from Scripture and systematically developed by the Greek Fathers in response to the challenge of iconoclasm, but applicable equally to the veneration of saints.</w:t>
      </w:r>
    </w:p>
    <w:p w14:paraId="555F7C0F" w14:textId="77777777" w:rsidR="000E133F" w:rsidRDefault="00EC5ECA">
      <w:pPr>
        <w:spacing w:before="60" w:after="140" w:line="360" w:lineRule="auto"/>
      </w:pPr>
      <w:r>
        <w:t xml:space="preserve">Basil the Great provides a foundational statement of the principle in his treatise </w:t>
      </w:r>
      <w:r>
        <w:rPr>
          <w:i/>
          <w:iCs/>
        </w:rPr>
        <w:t>On the Holy Spirit</w:t>
      </w:r>
      <w:r>
        <w:t>, Chapter 18, Section 45, where he discusses the honor given to the Holy Spirit in the doxological formula "with the Holy Spirit." He argues: "The honor given to the image passes over to the prototype" (</w:t>
      </w:r>
      <w:r>
        <w:rPr>
          <w:i/>
          <w:iCs/>
        </w:rPr>
        <w:t>hē tēs eikonos timē epi to prōtotypon diabainei</w:t>
      </w:r>
      <w:r>
        <w:t xml:space="preserve">). This principle, while stated in a Trinitarian context, has universal application in Orthodox theology: when the Orthodox Christian venerates an icon of a saint, or bows before a relic, or asks a saint for intercession, the act of honor does </w:t>
      </w:r>
      <w:r>
        <w:t>not terminate in the created object or the created saint but passes through them to the uncreated divine life that has sanctified them. The saint is venerated not as a divine being but as a person who, through grace, has been so thoroughly conformed to the image of God that to honor them is to honor the image of God that shines through them.</w:t>
      </w:r>
    </w:p>
    <w:p w14:paraId="4B273339" w14:textId="77777777" w:rsidR="000E133F" w:rsidRDefault="00EC5ECA">
      <w:pPr>
        <w:spacing w:before="60" w:after="140" w:line="360" w:lineRule="auto"/>
      </w:pPr>
      <w:r>
        <w:t xml:space="preserve">This principle was adopted and formally applied to iconography by the Second Ecumenical Council of Nicaea in 787, whose </w:t>
      </w:r>
      <w:r>
        <w:rPr>
          <w:i/>
          <w:iCs/>
        </w:rPr>
        <w:t>Horos</w:t>
      </w:r>
      <w:r>
        <w:t xml:space="preserve"> (definition) states with precision: "The honor given to the image passes to the prototype, and whoever venerates the image venerates the hypostasis of the one depicted in it." The distinction the council draws is explicit: "We define, with all accuracy and care, that the venerable and holy icons should be set up like the form of the venerable and life-giving Cross, in the holy churches of God, on holy vessels and vestments, on walls and boards, in houses and in public paths, both icons of our Lord and</w:t>
      </w:r>
      <w:r>
        <w:t xml:space="preserve"> God and Savior Jesus Christ, and of our spotless Lady the holy Mother of God, of the honorable angels, and of all saints and holy men. For as often as they are seen in artistic representation, the beholders are aroused to remember and desire the prototypes, and to give them respectful veneration (</w:t>
      </w:r>
      <w:r>
        <w:rPr>
          <w:i/>
          <w:iCs/>
        </w:rPr>
        <w:t>proskynēsin timētikēn</w:t>
      </w:r>
      <w:r>
        <w:t>), but not true worship (</w:t>
      </w:r>
      <w:r>
        <w:rPr>
          <w:i/>
          <w:iCs/>
        </w:rPr>
        <w:t>latreia</w:t>
      </w:r>
      <w:r>
        <w:t>) which, according to our faith, is proper only to the divine nature."</w:t>
      </w:r>
    </w:p>
    <w:p w14:paraId="39E50180" w14:textId="77777777" w:rsidR="000E133F" w:rsidRDefault="00EC5ECA">
      <w:pPr>
        <w:spacing w:before="60" w:after="140" w:line="360" w:lineRule="auto"/>
      </w:pPr>
      <w:r>
        <w:t xml:space="preserve">The council is thus precise about three things: (1) icons are to be set up and venerated — this is mandated, not merely permitted; (2) the veneration offered is </w:t>
      </w:r>
      <w:r>
        <w:rPr>
          <w:i/>
          <w:iCs/>
        </w:rPr>
        <w:t>timētikē proskunēsis</w:t>
      </w:r>
      <w:r>
        <w:t xml:space="preserve"> — honorific veneration, not divine worship; (3) the divine worship (</w:t>
      </w:r>
      <w:r>
        <w:rPr>
          <w:i/>
          <w:iCs/>
        </w:rPr>
        <w:t>latreia</w:t>
      </w:r>
      <w:r>
        <w:t xml:space="preserve">) is proper to God alone. The iconoclasts had attempted to collapse this distinction — </w:t>
      </w:r>
      <w:r>
        <w:lastRenderedPageBreak/>
        <w:t>arguing that any bow before a painted surface constituted idolatry — and the council refused the collapse, insisting that the tradition of the Church had always known the difference between the honor due to holy things and persons and the worship due to God. This same distinction applies directly to the veneration of saints and</w:t>
      </w:r>
      <w:r>
        <w:t xml:space="preserve"> the invocation of their intercession: to ask a saint to pray for you is not to worship the saint; it is to honor a member of the Body of Christ and to invoke the communion of love that binds the Church across the boundary of death.</w:t>
      </w:r>
    </w:p>
    <w:p w14:paraId="217765A4" w14:textId="77777777" w:rsidR="000E133F" w:rsidRDefault="00EC5ECA">
      <w:pPr>
        <w:spacing w:before="60" w:after="140" w:line="360" w:lineRule="auto"/>
      </w:pPr>
      <w:r>
        <w:t>The hesychast theological tradition provides a further grounding for the veneration of saints that is deeply original and illuminating. Gregory Palamas, in his defense of the hesychast monks, argued that the saints have participated in the uncreated divine energies to such a degree that their bodies themselves become vessels of divine light. The bodies of the saints — those bodies in which prayer was offered, in which fasting was practiced, in which the Holy Spirit dwelt and operated — have been transformed</w:t>
      </w:r>
      <w:r>
        <w:t xml:space="preserve"> from within by the divine energies. This is the theological basis for the Orthodox veneration of relics. The incorruption of the bodies of certain saints after death — a phenomenon that the Orthodox Church takes as a sign of glorification — is not merely a supernatural curiosity but a statement about the transformative power of theosis: the body that has been so thoroughly sanctified by the indwelling divine energies that even death and decay cannot undo what the Spirit has wrought in it. Palamas writes in</w:t>
      </w:r>
      <w:r>
        <w:t xml:space="preserve"> his homilies: "Those who have tasted the Spirit and have been deemed worthy to be divinized by Him, have already received in themselves the earnest of the coming grace; and by the same grace that deifies them, they will be glorified in the resurrection." The miracles that are reported at the shrines of saints, at the tombs of martyrs, at the icons of the Theotokos — these are, in Orthodox theology, manifestations of the divine energies continuing to operate through the sanctified matter that the saint's li</w:t>
      </w:r>
      <w:r>
        <w:t>fe of prayer has made a channel of divine grace.</w:t>
      </w:r>
    </w:p>
    <w:p w14:paraId="7C830BC2" w14:textId="77777777" w:rsidR="000E133F" w:rsidRDefault="00EC5ECA">
      <w:pPr>
        <w:pStyle w:val="Heading4"/>
      </w:pPr>
      <w:r>
        <w:t>The Prayer of Intercession: Theological Analysis</w:t>
      </w:r>
    </w:p>
    <w:p w14:paraId="4A6700BF" w14:textId="77777777" w:rsidR="000E133F" w:rsidRDefault="00EC5ECA">
      <w:pPr>
        <w:spacing w:before="60" w:after="140" w:line="360" w:lineRule="auto"/>
      </w:pPr>
      <w:r>
        <w:t>The Protestant objection to the invocation of saints — that it violates the unique mediation of Christ ("there is one mediator between God and men, the man Christ Jesus," 1 Timothy 2:5) — is one that Orthodox theology takes seriously and addresses at length. The response begins with the observation that the same passage (1 Timothy 2:1–</w:t>
      </w:r>
      <w:r>
        <w:lastRenderedPageBreak/>
        <w:t>6) that speaks of Christ as the one mediator also urges that "supplications, prayers, intercessions, and thanksgivings be made for all men." There is no contradiction, Paul implies, between Christ's unique mediatorial role and the practice of Christians praying for one another. The mediation of Christ is not rendered redundant or compromised by the prayers of Christians for one another; on the contrary, Christian intercessory prayer for one another is an expression of the one body of Christ, in which the me</w:t>
      </w:r>
      <w:r>
        <w:t>mbers care for one another through the instrumentality of prayer offered to the one Lord.</w:t>
      </w:r>
    </w:p>
    <w:p w14:paraId="6C946F2F" w14:textId="77777777" w:rsidR="000E133F" w:rsidRDefault="00EC5ECA">
      <w:pPr>
        <w:spacing w:before="60" w:after="140" w:line="360" w:lineRule="auto"/>
      </w:pPr>
      <w:r>
        <w:t>The saints' intercession is entirely within this framework. When the Orthodox Christian asks Saint Nicholas or the Theotokos to pray for him, he is asking a member of the Body of Christ to pray — precisely as he might ask a living Christian friend to pray. The saint's prayer, like the friend's prayer, is not a substitute for or competitor to Christ's mediation; it is an exercise of the communal life of the Body, in which members care for one another through prayer. The saint's prayer is, moreover, qualitati</w:t>
      </w:r>
      <w:r>
        <w:t>vely more powerful than the friend's prayer — not because the saint has independent access to divine power, but because the saint is more fully conformed to God's will, more transparent to the divine life, less obstructed by the disordering effects of sin and passion. To ask a holy person to pray for you is a well-established principle of Christian devotion ("The prayer of a righteous person has great power as it is working," James 5:16); the saints are supremely holy, supremely righteous, supremely transpa</w:t>
      </w:r>
      <w:r>
        <w:t>rent to the divine will.</w:t>
      </w:r>
    </w:p>
    <w:p w14:paraId="157A4913" w14:textId="77777777" w:rsidR="000E133F" w:rsidRDefault="00EC5ECA">
      <w:pPr>
        <w:spacing w:before="60" w:after="140" w:line="360" w:lineRule="auto"/>
      </w:pPr>
      <w:r>
        <w:t xml:space="preserve">The Theotokos occupies a unique position in this theology of intercession. She is addressed as </w:t>
      </w:r>
      <w:r>
        <w:rPr>
          <w:i/>
          <w:iCs/>
        </w:rPr>
        <w:t>Hyperagia</w:t>
      </w:r>
      <w:r>
        <w:t xml:space="preserve"> (Most Holy), </w:t>
      </w:r>
      <w:r>
        <w:rPr>
          <w:i/>
          <w:iCs/>
        </w:rPr>
        <w:t>Pammakaristos</w:t>
      </w:r>
      <w:r>
        <w:t xml:space="preserve"> (the All-Blessed), and — in the prayer appended to almost every Orthodox liturgical service — "Most Holy Theotokos, save us!" This last invocation requires theological attention: in Orthodox usage, "save" in such contexts means "intercede for our salvation," not "be the independent agent of our salvation." The Theotokos saves through her intercession with her Son, not as an independent savior. The </w:t>
      </w:r>
      <w:r>
        <w:rPr>
          <w:i/>
          <w:iCs/>
        </w:rPr>
        <w:t>Paraklesis</w:t>
      </w:r>
      <w:r>
        <w:t xml:space="preserve"> (Supplication Canon) to the Theotokos, sung throughout the Dormition fast and on various occasions throughout the year, addresses her as "speedy helper and intercessor" (</w:t>
      </w:r>
      <w:r>
        <w:rPr>
          <w:i/>
          <w:iCs/>
        </w:rPr>
        <w:t>gorē bohāthinya i zastūpnitsa</w:t>
      </w:r>
      <w:r>
        <w:t>) and asks her to "intercede with thy Son and our God for the salvation of our souls." The theological structure is consistent: she intercedes, He saves.</w:t>
      </w:r>
    </w:p>
    <w:p w14:paraId="0F522011" w14:textId="77777777" w:rsidR="000E133F" w:rsidRDefault="00EC5ECA">
      <w:pPr>
        <w:spacing w:before="60" w:after="140" w:line="360" w:lineRule="auto"/>
      </w:pPr>
      <w:r>
        <w:lastRenderedPageBreak/>
        <w:t xml:space="preserve">The </w:t>
      </w:r>
      <w:r>
        <w:rPr>
          <w:i/>
          <w:iCs/>
        </w:rPr>
        <w:t>Akathist Hymn</w:t>
      </w:r>
      <w:r>
        <w:t xml:space="preserve"> to the Theotokos, composed in the 6th century and attributed in some traditions to Romanos the Melodist, is the supreme expression of Orthodox Marian devotion. Sung on the fifth Saturday of Great Lent and at other occasions throughout the year, it consists of twenty-four strophes organized around the letters of the Greek alphabet, alternating longer </w:t>
      </w:r>
      <w:r>
        <w:rPr>
          <w:i/>
          <w:iCs/>
        </w:rPr>
        <w:t>kontakia</w:t>
      </w:r>
      <w:r>
        <w:t xml:space="preserve"> (addressed to the Theotokos in celebration of her role in the Incarnation) with shorter </w:t>
      </w:r>
      <w:r>
        <w:rPr>
          <w:i/>
          <w:iCs/>
        </w:rPr>
        <w:t>ikos</w:t>
      </w:r>
      <w:r>
        <w:t xml:space="preserve"> (hymns of praise). The opening lines of the </w:t>
      </w:r>
      <w:r>
        <w:t>hymn — "To thee, the Champion Leader, we thy servants dedicate a feast of victory and of thanksgiving, as ones rescued out of sufferings, O Theotokos: but as thou art one with might which is invincible, from all dangers that can be do thou deliver us, that we may cry to thee: Rejoice, O Unwedded Bride!" — set the theological tone of the entire hymn: the Theotokos as intercessor and protector, not as independent savior, but as the one through whose prayers the faithful are delivered.</w:t>
      </w:r>
    </w:p>
    <w:p w14:paraId="5CA4EE90" w14:textId="77777777" w:rsidR="000E133F" w:rsidRDefault="00EC5ECA">
      <w:pPr>
        <w:pStyle w:val="Heading1"/>
        <w:pageBreakBefore/>
      </w:pPr>
      <w:bookmarkStart w:id="106" w:name="_Toc232765333"/>
      <w:r>
        <w:lastRenderedPageBreak/>
        <w:t>CHAPTER EIGHT</w:t>
      </w:r>
      <w:bookmarkEnd w:id="106"/>
    </w:p>
    <w:p w14:paraId="3E60E19B" w14:textId="77777777" w:rsidR="000E133F" w:rsidRDefault="00EC5ECA">
      <w:pPr>
        <w:pStyle w:val="Heading2"/>
      </w:pPr>
      <w:bookmarkStart w:id="107" w:name="_Toc232765334"/>
      <w:r>
        <w:t>ICONS, HESYCHASM, AND THE ORTHODOX SPIRITUAL LIFE</w:t>
      </w:r>
      <w:bookmarkEnd w:id="107"/>
    </w:p>
    <w:p w14:paraId="25BBC23D" w14:textId="77777777" w:rsidR="000E133F" w:rsidRDefault="00EC5ECA">
      <w:pPr>
        <w:pStyle w:val="Heading3"/>
      </w:pPr>
      <w:bookmarkStart w:id="108" w:name="_Toc232765335"/>
      <w:r>
        <w:t>8.1 The Theology of Iconography: John of Damascus and the Incarnational Argument</w:t>
      </w:r>
      <w:bookmarkEnd w:id="108"/>
    </w:p>
    <w:p w14:paraId="2F176A37" w14:textId="77777777" w:rsidR="000E133F" w:rsidRDefault="00EC5ECA">
      <w:pPr>
        <w:pStyle w:val="Heading4"/>
      </w:pPr>
      <w:r>
        <w:t>The Incarnation as the Foundation of Christian Art</w:t>
      </w:r>
    </w:p>
    <w:p w14:paraId="30528178" w14:textId="77777777" w:rsidR="000E133F" w:rsidRDefault="00EC5ECA">
      <w:pPr>
        <w:spacing w:before="60" w:after="140" w:line="360" w:lineRule="auto"/>
      </w:pPr>
      <w:r>
        <w:t xml:space="preserve">The question of whether the divine may be depicted in visual form is not, in Eastern Orthodox theology, primarily an aesthetic question or even primarily a practical one about the usefulness of images in the instruction of the illiterate. It is, fundamentally, a Christological question, and the decisive answer to it was formulated with incomparable clarity and force by John of Damascus in his three </w:t>
      </w:r>
      <w:r>
        <w:rPr>
          <w:i/>
          <w:iCs/>
        </w:rPr>
        <w:t>Treatises on the Divine Images</w:t>
      </w:r>
      <w:r>
        <w:t xml:space="preserve"> (written c. 730, before the Second Council of Nicaea). John's argument is so foundational to the entire Orthodox theology of iconography that it deserves to be reproduced and analyzed at length.</w:t>
      </w:r>
    </w:p>
    <w:p w14:paraId="683DA8FD" w14:textId="77777777" w:rsidR="000E133F" w:rsidRDefault="00EC5ECA">
      <w:pPr>
        <w:spacing w:before="60" w:after="140" w:line="360" w:lineRule="auto"/>
      </w:pPr>
      <w:r>
        <w:t>The argument begins with the theology of the Second Commandment. The iconoclasts cited Exodus 20:4 — "You shall not make for yourself a graven image, or any likeness of anything that is in heaven above, or that is in the earth beneath" — as the definitive divine prohibition of all religious images. John accepts the authority of this commandment but insists that it must be understood in its proper historical context and its proper theological scope. The commandment was given to Israel at a specific moment in</w:t>
      </w:r>
      <w:r>
        <w:t xml:space="preserve"> salvation history — a moment at which God had not yet assumed visible human form. The prohibition was directed against idolatry: against depicting the invisible God as if He were one of the visible gods of the surrounding nations. John writes in the </w:t>
      </w:r>
      <w:r>
        <w:rPr>
          <w:i/>
          <w:iCs/>
        </w:rPr>
        <w:t>First Treatise on the Divine Images</w:t>
      </w:r>
      <w:r>
        <w:t xml:space="preserve"> (§4):</w:t>
      </w:r>
    </w:p>
    <w:p w14:paraId="2088EE4B" w14:textId="77777777" w:rsidR="000E133F" w:rsidRDefault="00EC5ECA">
      <w:pPr>
        <w:spacing w:before="120" w:after="120" w:line="360" w:lineRule="auto"/>
        <w:ind w:left="720" w:right="720"/>
      </w:pPr>
      <w:r>
        <w:rPr>
          <w:i/>
          <w:iCs/>
          <w:color w:val="444444"/>
        </w:rPr>
        <w:t xml:space="preserve">"In former times, God who is without form or body could never be depicted. But now when God is seen in the flesh conversing with men, I make an image of the God whom I see. I do not worship matter; I worship the Creator of matter who became matter for my sake, who willed to take His abode in matter; who worked out my salvation </w:t>
      </w:r>
      <w:r>
        <w:rPr>
          <w:i/>
          <w:iCs/>
          <w:color w:val="444444"/>
        </w:rPr>
        <w:lastRenderedPageBreak/>
        <w:t>through matter. Never will I cease honoring the matter which wrought my salvation! I honor it, but not as God. How could God be born out of things which have no existence in themselves? God's body is God because it is joined to His person by a union which shall never pass away."</w:t>
      </w:r>
    </w:p>
    <w:p w14:paraId="402A7ACE" w14:textId="77777777" w:rsidR="000E133F" w:rsidRDefault="00EC5ECA">
      <w:pPr>
        <w:spacing w:before="60" w:after="140" w:line="360" w:lineRule="auto"/>
      </w:pPr>
      <w:r>
        <w:t>This passage is decisive. John distinguishes between the invisible God who cannot be depicted (and who may not be depicted, under the Second Commandment) and the incarnate God who has assumed visible human form (and who therefore can and should be depicted). The logic is strict: the God who was "without form or body" is the God who cannot be depicted; the God who has taken on "the form of a servant, being born in the likeness of men" (Philippians 2:7) is the God who can and should be depicted, because He ha</w:t>
      </w:r>
      <w:r>
        <w:t>s chosen to become depictable. To refuse to depict the incarnate Christ is implicitly to deny the Incarnation — to suggest that Christ's human nature is not genuinely visible, tangible, material; that it has not genuinely taken its place among the visible things of this world.</w:t>
      </w:r>
    </w:p>
    <w:p w14:paraId="38B5F638" w14:textId="77777777" w:rsidR="000E133F" w:rsidRDefault="00EC5ECA">
      <w:pPr>
        <w:spacing w:before="60" w:after="140" w:line="360" w:lineRule="auto"/>
      </w:pPr>
      <w:r>
        <w:t>In Sections 8 through 16 of the First Treatise, John develops this argument in several important directions. He distinguishes several different kinds of "images": the eternal Image of the Father, which is the Son (Colossians 1:15 — "He is the image of the invisible God"; 2 Corinthians 4:4 — "the image of the glory of God"); the images that God gave to the prophets in visions (the theophanies of the Old Testament); human beings as "images and likenesses of God" (Genesis 1:26); and the material images made by</w:t>
      </w:r>
      <w:r>
        <w:t xml:space="preserve"> human craft that represent historical and theological realities. The incarnate Christ is the supreme and definitive Image — the Eikōn — of the invisible God, and all other images find their coherence and legitimacy in relation to Him. To depict Christ in an icon is to confess what Paul confesses in Colossians 1:15: that the Son of God, in His Incarnation, has become the visible Image of the invisible Father.</w:t>
      </w:r>
    </w:p>
    <w:p w14:paraId="37B3A3D4" w14:textId="77777777" w:rsidR="000E133F" w:rsidRDefault="00EC5ECA">
      <w:pPr>
        <w:spacing w:before="60" w:after="140" w:line="360" w:lineRule="auto"/>
      </w:pPr>
      <w:r>
        <w:t>John proceeds in Section 16 to articulate the principle of veneration that will become the cornerstone of the Nicaean definition:</w:t>
      </w:r>
    </w:p>
    <w:p w14:paraId="01A0BB8F" w14:textId="77777777" w:rsidR="000E133F" w:rsidRDefault="00EC5ECA">
      <w:pPr>
        <w:spacing w:before="120" w:after="120" w:line="360" w:lineRule="auto"/>
        <w:ind w:left="720" w:right="720"/>
      </w:pPr>
      <w:r>
        <w:rPr>
          <w:i/>
          <w:iCs/>
          <w:color w:val="444444"/>
        </w:rPr>
        <w:t xml:space="preserve">"Of old, God the incorporeal and uncircumscribed was never depicted. Now, however, when God is seen in the flesh and conversing with humans, I make an image of the God whom I see... Draw near to the </w:t>
      </w:r>
      <w:r>
        <w:rPr>
          <w:i/>
          <w:iCs/>
          <w:color w:val="444444"/>
        </w:rPr>
        <w:lastRenderedPageBreak/>
        <w:t>image and contemplate the Master's face. Do not remain at a distance, but approach as closely as you are able, so that you may gaze upon the image of the God-man who has come to save you."</w:t>
      </w:r>
    </w:p>
    <w:p w14:paraId="0E4811A1" w14:textId="77777777" w:rsidR="000E133F" w:rsidRDefault="00EC5ECA">
      <w:pPr>
        <w:spacing w:before="60" w:after="140" w:line="360" w:lineRule="auto"/>
      </w:pPr>
      <w:r>
        <w:t>The imperative is theological: approaching the icon is approaching Christ; contemplating the depicted face of Christ is a genuine act of encounter with the incarnate Word. The icon is not a barrier between the worshiper and God; it is a window — a material medium through which the incarnate God, who entered the material order in the Incarnation, continues to be present and accessible to His worshipers.</w:t>
      </w:r>
    </w:p>
    <w:p w14:paraId="7DD8F533" w14:textId="77777777" w:rsidR="000E133F" w:rsidRDefault="00EC5ECA">
      <w:pPr>
        <w:pStyle w:val="Heading4"/>
      </w:pPr>
      <w:r>
        <w:t>The Icon as Theology in Color</w:t>
      </w:r>
    </w:p>
    <w:p w14:paraId="07439536" w14:textId="77777777" w:rsidR="000E133F" w:rsidRDefault="00EC5ECA">
      <w:pPr>
        <w:spacing w:before="60" w:after="140" w:line="360" w:lineRule="auto"/>
      </w:pPr>
      <w:r>
        <w:t>Orthodox iconography is not religious art in the Western sense — not the expression of an individual artist's spiritual experience or aesthetic vision. It is, rather, a form of theological statement, a visual creed, a form of catechesis in color. The distinctive aesthetic features of the Orthodox icon are not arbitrary stylistic choices; each element carries specific theological meaning, and the iconographer is bound by the canonical tradition that specifies these meanings with great precision.</w:t>
      </w:r>
    </w:p>
    <w:p w14:paraId="46BFF53C" w14:textId="77777777" w:rsidR="000E133F" w:rsidRDefault="00EC5ECA">
      <w:pPr>
        <w:spacing w:before="60" w:after="140" w:line="360" w:lineRule="auto"/>
      </w:pPr>
      <w:r>
        <w:t xml:space="preserve">The gold background that characterizes Orthodox icons is not a decorative choice expressing the wealth or magnificence of the commissioner. It is a theological statement about the divine light — the uncreated energy of God — that pervades the world of the icon. Icons are set in the eschatological Kingdom of God, not in the fallen world of natural light and shadow. Gold is the color of the Kingdom, the color of the uncreated Taboric light that floods the transfigured world of the saints. The saints depicted </w:t>
      </w:r>
      <w:r>
        <w:t>in icons live in this golden world — a world that has been transformed by the divine energies and rendered transparent to the divine radiance.</w:t>
      </w:r>
    </w:p>
    <w:p w14:paraId="4D2FD69D" w14:textId="77777777" w:rsidR="000E133F" w:rsidRDefault="00EC5ECA">
      <w:pPr>
        <w:spacing w:before="60" w:after="140" w:line="360" w:lineRule="auto"/>
      </w:pPr>
      <w:r>
        <w:t>The elongated figures of the saints in Orthodox icons — the attenuated faces, the slender hands, the stylized bodily proportions — are not failures of artistic naturalism or evidence of unsophisticated technique. They are deliberate theological statements about the glorified human body. The body that has undergone theosis — that has been transformed from within by the divine energies — is no longer subject to the gravitational constraints of the fallen world. The elongated proportions express the body's lib</w:t>
      </w:r>
      <w:r>
        <w:t xml:space="preserve">eration from earthly weight, its orientation upward toward God, its </w:t>
      </w:r>
      <w:r>
        <w:lastRenderedPageBreak/>
        <w:t>participation in the life of the Kingdom. The absence of natural shadow and three-dimensional depth in the icon — the flat, frontal, hieratic quality of the figures — expresses the absence of the ambiguity and obscurity that characterize the fallen world. In the Kingdom, there is no shadow; the uncreated light illuminates all things from within.</w:t>
      </w:r>
    </w:p>
    <w:p w14:paraId="3F491A61" w14:textId="77777777" w:rsidR="000E133F" w:rsidRDefault="00EC5ECA">
      <w:pPr>
        <w:spacing w:before="60" w:after="140" w:line="360" w:lineRule="auto"/>
      </w:pPr>
      <w:r>
        <w:t xml:space="preserve">The technique of reverse perspective in Orthodox iconography — in which parallel lines converge toward the viewer's space rather than receding toward a vanishing point within the picture — is a theological statement of the most subtle and profound kind. In natural perspective, the objects in a painting recede into the distance of the painter's (and viewer's) world; the pictorial space is an extension of the viewer's own space. In reverse perspective, the pictorial space projects toward the viewer; the icon </w:t>
      </w:r>
      <w:r>
        <w:t>opens outward rather than inward, and its space extends into the viewer's world rather than retreating from it. This reversal is a statement about the relationship between the Kingdom and the world: the Kingdom is not behind the icon, accessible if only we could penetrate the picture plane; the Kingdom projects itself through the icon into our world, reaching out to meet us wherever we stand.</w:t>
      </w:r>
    </w:p>
    <w:p w14:paraId="7285D0CE" w14:textId="77777777" w:rsidR="000E133F" w:rsidRDefault="00EC5ECA">
      <w:pPr>
        <w:spacing w:before="60" w:after="140" w:line="360" w:lineRule="auto"/>
      </w:pPr>
      <w:r>
        <w:t>The iconographer's preparation for painting — the fasting, the prayer, the confession, the recitation of specific prayers before beginning each session — is not an optional piety but a theological necessity. The iconographer is not expressing personal creativity; he or she is serving as a transparent medium through which the Church's theological vision is transmitted. The tradition speaks of the iconographer "writing" an icon (</w:t>
      </w:r>
      <w:r>
        <w:rPr>
          <w:i/>
          <w:iCs/>
        </w:rPr>
        <w:t>graphein</w:t>
      </w:r>
      <w:r>
        <w:t xml:space="preserve"> — the same verb used for writing the Gospel), not "painting" it, because the act of iconography is an act of theological inscription, not artistic creation. The iconographer must be as free as possible from the distortions of personal passion and individual ego in order to serve as a faithful channel of the tradition's theologically precise visual language.</w:t>
      </w:r>
    </w:p>
    <w:p w14:paraId="12A85950" w14:textId="77777777" w:rsidR="000E133F" w:rsidRDefault="00EC5ECA">
      <w:pPr>
        <w:pStyle w:val="Heading3"/>
      </w:pPr>
      <w:bookmarkStart w:id="109" w:name="_Toc232765336"/>
      <w:r>
        <w:t>8.2 The Seventh Ecumenical Council (Nicaea II, 787): The Iconoclast Controversy</w:t>
      </w:r>
      <w:bookmarkEnd w:id="109"/>
    </w:p>
    <w:p w14:paraId="5F7709E2" w14:textId="77777777" w:rsidR="000E133F" w:rsidRDefault="00EC5ECA">
      <w:pPr>
        <w:pStyle w:val="Heading4"/>
      </w:pPr>
      <w:r>
        <w:t>The First Iconoclast Period (726–787)</w:t>
      </w:r>
    </w:p>
    <w:p w14:paraId="74C3094D" w14:textId="77777777" w:rsidR="000E133F" w:rsidRDefault="00EC5ECA">
      <w:pPr>
        <w:spacing w:before="60" w:after="140" w:line="360" w:lineRule="auto"/>
      </w:pPr>
      <w:r>
        <w:t xml:space="preserve">Byzantine Iconoclasm — the imperial and theological movement to suppress the use of religious images — represents one of the most significant theological controversies in </w:t>
      </w:r>
      <w:r>
        <w:lastRenderedPageBreak/>
        <w:t>the history of Christianity, and its resolution at the Second Council of Nicaea (787) constitutes a foundational moment in the Orthodox understanding of the relationship between matter, grace, and the Incarnation. The first iconoclast period was initiated by the Emperor Leo III, who in 726 ordered the removal of a prominent icon of Christ from the Chalke Gate of the imperial palace in Constantinople, and in 730 issued an edict ordering the systematic destruction of religious images throughout the empire. Le</w:t>
      </w:r>
      <w:r>
        <w:t>o's motives were complex — they appear to have included concern about the theological objections of Jewish and Muslim critics of Christian image-veneration, as well as a general theological rationalism that was suspicious of what he regarded as superstitious popular piety. His son Constantine V (reigned 741–775) pressed the campaign with greater theological energy and convened a council at Hieria in 754 to provide an authoritative theological foundation for iconoclasm.</w:t>
      </w:r>
    </w:p>
    <w:p w14:paraId="7948C5E1" w14:textId="77777777" w:rsidR="000E133F" w:rsidRDefault="00EC5ECA">
      <w:pPr>
        <w:spacing w:before="60" w:after="140" w:line="360" w:lineRule="auto"/>
      </w:pPr>
      <w:r>
        <w:t>The Definition (</w:t>
      </w:r>
      <w:r>
        <w:rPr>
          <w:i/>
          <w:iCs/>
        </w:rPr>
        <w:t>Horos</w:t>
      </w:r>
      <w:r>
        <w:t>) of the Council of Hieria (754) is a document of considerable theological sophistication that deserves to be taken seriously as an attempt to apply Christological principles to the question of iconography, even though it was subsequently condemned by Nicaea II. The council's central argument was that any image purporting to depict Christ necessarily commits one of two Christological errors. Either the image depicts only the human nature of Christ, in which case it falls into Nestorianism — dividing Ch</w:t>
      </w:r>
      <w:r>
        <w:t>rist into two persons and depicting only the human one; or it claims to depict Christ as a whole (both natures), in which case it falls into Monophysitism — confusing and mingling the two natures into a single depicted reality, as if the divine nature could be circumscribed in paint. The iconoclast argument then runs: since any painted image of Christ must commit either Nestorianism or Monophysitism, all such images are theologically impossible and must be destroyed. The Hieria Definition also argued that t</w:t>
      </w:r>
      <w:r>
        <w:t>he Eucharist is the only true image of Christ — the one legitimate material representation that He Himself authorized ("this is my body").</w:t>
      </w:r>
    </w:p>
    <w:p w14:paraId="77DC5321" w14:textId="77777777" w:rsidR="000E133F" w:rsidRDefault="00EC5ECA">
      <w:pPr>
        <w:spacing w:before="60" w:after="140" w:line="360" w:lineRule="auto"/>
      </w:pPr>
      <w:r>
        <w:t xml:space="preserve">The theological sophistication of this argument is real, and it required a sophisticated response. The Patriarchs of Alexandria, Antioch, and Jerusalem were all absent from the council (their sees being under Muslim authority), and the Eastern monks — who were the primary defenders of icon veneration — were vigorously opposed. The council was </w:t>
      </w:r>
      <w:r>
        <w:lastRenderedPageBreak/>
        <w:t>subsequently condemned by Nicaea II as an "assembly of foolish men" (</w:t>
      </w:r>
      <w:r>
        <w:rPr>
          <w:i/>
          <w:iCs/>
        </w:rPr>
        <w:t>synaxis phluarōn</w:t>
      </w:r>
      <w:r>
        <w:t>), but the theological response required more than a simple dismissal.</w:t>
      </w:r>
    </w:p>
    <w:p w14:paraId="5A6E05B5" w14:textId="77777777" w:rsidR="000E133F" w:rsidRDefault="00EC5ECA">
      <w:pPr>
        <w:pStyle w:val="Heading4"/>
      </w:pPr>
      <w:r>
        <w:t>The Theological Response and the Horos of Nicaea II (787)</w:t>
      </w:r>
    </w:p>
    <w:p w14:paraId="49DDE02C" w14:textId="77777777" w:rsidR="000E133F" w:rsidRDefault="00EC5ECA">
      <w:pPr>
        <w:spacing w:before="60" w:after="140" w:line="360" w:lineRule="auto"/>
      </w:pPr>
      <w:r>
        <w:t xml:space="preserve">The Second Council of Nicaea, convened in 787 under Empress Irene as regent for her young son Constantine VI and Patriarch Tarasius of Constantinople, produced the definitive theological response to iconoclasm. The council drew on the prior arguments of John of Damascus and added the contributions of two later defenders of icon veneration: Theodore the Studite (759–826) and Nicephorus of Constantinople (758–828). The council's </w:t>
      </w:r>
      <w:r>
        <w:rPr>
          <w:i/>
          <w:iCs/>
        </w:rPr>
        <w:t>Horos</w:t>
      </w:r>
      <w:r>
        <w:t xml:space="preserve"> — its formal definition — repays extended quotation:</w:t>
      </w:r>
    </w:p>
    <w:p w14:paraId="5FEDD5A5" w14:textId="77777777" w:rsidR="000E133F" w:rsidRDefault="00EC5ECA">
      <w:pPr>
        <w:spacing w:before="120" w:after="120" w:line="360" w:lineRule="auto"/>
        <w:ind w:left="720" w:right="720"/>
      </w:pPr>
      <w:r>
        <w:rPr>
          <w:i/>
          <w:iCs/>
          <w:color w:val="444444"/>
        </w:rPr>
        <w:t>"We define, with all accuracy and care, that the venerable and holy icons should be set up — just as the form of the precious and life-giving Cross — in the holy churches of God, on sacred vessels and vestments, on walls and boards, in houses and in public ways: these are the icons of our Lord and God and Savior Jesus Christ, and of our immaculate Lady the holy Mother of God, and of the honorable angels, and of all holy and sanctified men. For as often as they are seen in artistic representation, the behold</w:t>
      </w:r>
      <w:r>
        <w:rPr>
          <w:i/>
          <w:iCs/>
          <w:color w:val="444444"/>
        </w:rPr>
        <w:t>ers are led to the recollection and memory of the prototypes and are stirred up to give them the salutation and honorable veneration — but not the true worship which according to our faith is proper only to the divine nature. And they are moved to offer to the images both incense and lights, as to the form of the precious and life-giving Cross, and to the holy Gospel books, and to the other sacred dedicated objects, as was the pious custom of the ancients. For the honor given to the image passes over to the</w:t>
      </w:r>
      <w:r>
        <w:rPr>
          <w:i/>
          <w:iCs/>
          <w:color w:val="444444"/>
        </w:rPr>
        <w:t xml:space="preserve"> prototype; and whoever venerates the image venerates the hypostasis of the one depicted in it."</w:t>
      </w:r>
    </w:p>
    <w:p w14:paraId="4229F6BB" w14:textId="77777777" w:rsidR="000E133F" w:rsidRDefault="00EC5ECA">
      <w:pPr>
        <w:spacing w:before="60" w:after="140" w:line="360" w:lineRule="auto"/>
      </w:pPr>
      <w:r>
        <w:t xml:space="preserve">The theological argument of the </w:t>
      </w:r>
      <w:r>
        <w:rPr>
          <w:i/>
          <w:iCs/>
        </w:rPr>
        <w:t>Horos</w:t>
      </w:r>
      <w:r>
        <w:t xml:space="preserve"> moves on several levels simultaneously. First, it invokes the authority of the entire patristic tradition: "we keep without alteration all the traditions of the Church which were established by us, whether written or unwritten." The veneration of icons is not an innovation but a received tradition. Second, it draws on Basil's principle (On the Holy Spirit 18.45) — "the honor given to the image passes </w:t>
      </w:r>
      <w:r>
        <w:lastRenderedPageBreak/>
        <w:t>over to the prototype" — as the formal theological foundation for the distinction between the venerati</w:t>
      </w:r>
      <w:r>
        <w:t>on given to icons and the worship due to God alone. Third, and most crucially, it applies the Chalcedonian Christology to the question: because Christ is truly and genuinely incarnate — truly and genuinely possessed of a human nature that is visible, material, and circumscribed — He can be depicted. To circumscribe His human nature in paint is not to circumscribe His divine nature; the image depicts the hypostasis of the Son of God as that hypostasis has become visible in the Incarnation.</w:t>
      </w:r>
    </w:p>
    <w:p w14:paraId="5EEB2AF7" w14:textId="77777777" w:rsidR="000E133F" w:rsidRDefault="00EC5ECA">
      <w:pPr>
        <w:spacing w:before="60" w:after="140" w:line="360" w:lineRule="auto"/>
      </w:pPr>
      <w:r>
        <w:t xml:space="preserve">Theodore the Studite, who did not participate in Nicaea II but whose work develops its theology in systematic form, articulates the key point with great precision in his </w:t>
      </w:r>
      <w:r>
        <w:rPr>
          <w:i/>
          <w:iCs/>
        </w:rPr>
        <w:t>First Refutation of the Iconoclasts</w:t>
      </w:r>
      <w:r>
        <w:t>: "Christ was circumscribed when he was begotten of a woman. Was he also circumscribed in terms of his divinity when he was begotten from the Father? Of course not. Therefore his circumscription does not involve his divinity, but his humanity. Hence when we make an image of Christ, we are making an image of his human face, not a depiction of the divine nature." The iconoclast dilemma — Nestorianism or Monophysitism — is dissolved by the proper application of Chalcedonian C</w:t>
      </w:r>
      <w:r>
        <w:t>hristology: the image depicts the hypostasis of Christ as humanly circumscribed, without claiming to depict the divine nature as such. The image is of the Person, not of the nature.</w:t>
      </w:r>
    </w:p>
    <w:p w14:paraId="7EDC270F" w14:textId="77777777" w:rsidR="000E133F" w:rsidRDefault="00EC5ECA">
      <w:pPr>
        <w:pStyle w:val="Heading4"/>
      </w:pPr>
      <w:r>
        <w:t>The Second Iconoclast Period and the Triumph of Orthodoxy (843)</w:t>
      </w:r>
    </w:p>
    <w:p w14:paraId="5ED368C7" w14:textId="77777777" w:rsidR="000E133F" w:rsidRDefault="00EC5ECA">
      <w:pPr>
        <w:spacing w:before="60" w:after="140" w:line="360" w:lineRule="auto"/>
      </w:pPr>
      <w:r>
        <w:t>The definition of Nicaea II did not end the controversy. A second iconoclast period erupted under Emperor Leo V (813–820) and continued under Michael II (820–829) and Theophilos (829–842). The theological arguments of the second iconoclast period were similar to those of the first, though perhaps less systematically developed. The defenders of icon veneration — preeminently Theodore the Studite, writing from prison and exile with extraordinary theological energy — continued to develop the Nicaean theology a</w:t>
      </w:r>
      <w:r>
        <w:t>nd to insist on its binding authority as an ecumenical council.</w:t>
      </w:r>
    </w:p>
    <w:p w14:paraId="6F677DB8" w14:textId="77777777" w:rsidR="000E133F" w:rsidRDefault="00EC5ECA">
      <w:pPr>
        <w:spacing w:before="60" w:after="140" w:line="360" w:lineRule="auto"/>
      </w:pPr>
      <w:r>
        <w:t xml:space="preserve">The definitive resolution came in 843 under Empress Theodora, who served as regent for her young son Michael III. On the first Sunday of Lent, 843, the icons were solemnly restored to the churches of Constantinople, and a great liturgical celebration of thanksgiving was held — the event that the Orthodox Church has ever since </w:t>
      </w:r>
      <w:r>
        <w:lastRenderedPageBreak/>
        <w:t>commemorated annually on the first Sunday of Great Lent as the "Sunday of Orthodoxy" (</w:t>
      </w:r>
      <w:r>
        <w:rPr>
          <w:i/>
          <w:iCs/>
        </w:rPr>
        <w:t>Kyriakē tēs Orthodoxias</w:t>
      </w:r>
      <w:r>
        <w:t>). On this day, the Orthodox Synodikon — a liturgical document that pronounces anathemas against heretics and proclaims the Orthodox faith — is read in full, affirming all the definitions of the Seven Ecumenical Councils and celebrating the victory of the faith.</w:t>
      </w:r>
    </w:p>
    <w:p w14:paraId="704EFD78" w14:textId="77777777" w:rsidR="000E133F" w:rsidRDefault="00EC5ECA">
      <w:pPr>
        <w:spacing w:before="60" w:after="140" w:line="360" w:lineRule="auto"/>
      </w:pPr>
      <w:r>
        <w:t>The Orthodox reading of the Triumph of Orthodoxy is not simply that a liturgical practice was vindicated. It is that the full doctrine of the Incarnation was vindicated. Iconoclasm was not merely a dispute about religious art; it was a Christological dispute — a dispute about whether the Son of God had genuinely become visible, circumscribed, material flesh. The triumph of icon veneration is the triumph of the affirmation that God has genuinely entered the material order, that matter can be a vehicle of the</w:t>
      </w:r>
      <w:r>
        <w:t xml:space="preserve"> divine presence, that the Incarnation is not a metaphysical abstraction but a concrete historical and material event with permanent material consequences. This is why the Sunday of Orthodoxy celebrates not only the restoration of icons but the totality of Orthodoxy — all seven councils, the full Christological and Trinitarian faith — as a unified whole.</w:t>
      </w:r>
    </w:p>
    <w:p w14:paraId="215EC7BA" w14:textId="77777777" w:rsidR="000E133F" w:rsidRDefault="00EC5ECA">
      <w:pPr>
        <w:pStyle w:val="Heading3"/>
      </w:pPr>
      <w:bookmarkStart w:id="110" w:name="_Toc232765337"/>
      <w:r>
        <w:t>8.3 Hesychasm: The Desert Tradition and the Jesus Prayer</w:t>
      </w:r>
      <w:bookmarkEnd w:id="110"/>
    </w:p>
    <w:p w14:paraId="4C20EA09" w14:textId="77777777" w:rsidR="000E133F" w:rsidRDefault="00EC5ECA">
      <w:pPr>
        <w:pStyle w:val="Heading4"/>
      </w:pPr>
      <w:r>
        <w:t>The Desert Fathers and the Origins of the Hesychast Tradition</w:t>
      </w:r>
    </w:p>
    <w:p w14:paraId="25BF2F57" w14:textId="77777777" w:rsidR="000E133F" w:rsidRDefault="00EC5ECA">
      <w:pPr>
        <w:spacing w:before="60" w:after="140" w:line="360" w:lineRule="auto"/>
      </w:pPr>
      <w:r>
        <w:t xml:space="preserve">The hesychast tradition in Eastern Orthodox spirituality takes its name from the Greek word </w:t>
      </w:r>
      <w:r>
        <w:rPr>
          <w:i/>
          <w:iCs/>
        </w:rPr>
        <w:t>hesychia</w:t>
      </w:r>
      <w:r>
        <w:t xml:space="preserve"> (</w:t>
      </w:r>
      <w:r>
        <w:t>ἡ</w:t>
      </w:r>
      <w:r>
        <w:t>συχία — stillness, quietude, inner peace), and it represents the experiential and ascetic core of Orthodox spiritual theology. Its roots lie in the Egyptian and Syrian desert monastic movement of the third and fourth centuries, when thousands of Christians fled to the wilderness to pursue a life of uninterrupted prayer and the systematic purification of the passions. The Apophthegmata Patrum — the sayings of the desert fathers — preserve in concentrated form the spiritual wisdom of this movement,</w:t>
      </w:r>
      <w:r>
        <w:t xml:space="preserve"> and from these sayings we can already discern the hesychast goal: the achievement of inner stillness through the guard of the heart, the suppression of distracting thoughts (</w:t>
      </w:r>
      <w:r>
        <w:rPr>
          <w:i/>
          <w:iCs/>
        </w:rPr>
        <w:t>logismoi</w:t>
      </w:r>
      <w:r>
        <w:t>), and the unceasing ascent of the mind to God.</w:t>
      </w:r>
    </w:p>
    <w:p w14:paraId="3287EECE" w14:textId="77777777" w:rsidR="000E133F" w:rsidRDefault="00EC5ECA">
      <w:pPr>
        <w:spacing w:before="60" w:after="140" w:line="360" w:lineRule="auto"/>
      </w:pPr>
      <w:r>
        <w:t xml:space="preserve">The first systematic theoretical account of the life of prayer within this tradition is provided by Evagrius Ponticus (345–399), a brilliant and controversial theologian who had been a disciple of the Cappadocian Fathers before abandoning his ecclesiastical </w:t>
      </w:r>
      <w:r>
        <w:lastRenderedPageBreak/>
        <w:t>career to become a monk in the Egyptian desert. Evagrius articulated a theology of prayer that was deeply influential on subsequent hesychasm, even though some of his cosmological speculations were condemned at the Second Council of Constantinople (553). For Evagrius, prayer is the "laying aside of thoughts" (</w:t>
      </w:r>
      <w:r>
        <w:rPr>
          <w:i/>
          <w:iCs/>
        </w:rPr>
        <w:t>apothesis noēmatōn</w:t>
      </w:r>
      <w:r>
        <w:t>): the mind (</w:t>
      </w:r>
      <w:r>
        <w:rPr>
          <w:i/>
          <w:iCs/>
        </w:rPr>
        <w:t>nous</w:t>
      </w:r>
      <w:r>
        <w:t xml:space="preserve">), which has become clouded and distracted by passionate thoughts arising from the body and the senses, must be systematically stripped of all images and concepts in order to return to its original, pre-lapsarian luminosity. "A theologian is one who prays truly," Evagrius wrote in his </w:t>
      </w:r>
      <w:r>
        <w:rPr>
          <w:i/>
          <w:iCs/>
        </w:rPr>
        <w:t>Praktikos</w:t>
      </w:r>
      <w:r>
        <w:t>, "and one who prays truly is a theologian." At its highest level, prayer is pure, imageless contemplation — the mind knowing God and knowing itself as God's image without the mediation of any created form.</w:t>
      </w:r>
    </w:p>
    <w:p w14:paraId="23E11247" w14:textId="77777777" w:rsidR="000E133F" w:rsidRDefault="00EC5ECA">
      <w:pPr>
        <w:spacing w:before="60" w:after="140" w:line="360" w:lineRule="auto"/>
      </w:pPr>
      <w:r>
        <w:t>The correction of Evagrius's intellectualist tendency came through the tradition associated with Macarius of Egypt (300–390), whose homilies (preserved in the Pseudo-Macarian corpus) insist that the heart (</w:t>
      </w:r>
      <w:r>
        <w:rPr>
          <w:i/>
          <w:iCs/>
        </w:rPr>
        <w:t>kardia</w:t>
      </w:r>
      <w:r>
        <w:t xml:space="preserve"> — not merely the intellect but the total center of the human person, the seat of will, feeling, and spirit) is the primary locus of divine encounter. While Evagrius tended to identify the person with the intellect and to locate salvation in the mind's return to its original luminosity, the Macarian tradition insisted that the whole person — body, soul, and spirit, centered in the heart — is the subject and object of salvation. This emphasis on the heart as the locus of prayer, and on the descent of p</w:t>
      </w:r>
      <w:r>
        <w:t>rayer from the head to the heart as the mark of mature spiritual life, becomes the defining characteristic of the later hesychast tradition.</w:t>
      </w:r>
    </w:p>
    <w:p w14:paraId="0C87058A" w14:textId="77777777" w:rsidR="000E133F" w:rsidRDefault="00EC5ECA">
      <w:pPr>
        <w:spacing w:before="60" w:after="140" w:line="360" w:lineRule="auto"/>
      </w:pPr>
      <w:r>
        <w:t xml:space="preserve">John Climacus (c. 579–649), abbot of the monastery of Saint Catherine on Mount Sinai, provides in </w:t>
      </w:r>
      <w:r>
        <w:rPr>
          <w:i/>
          <w:iCs/>
        </w:rPr>
        <w:t>The Ladder of Divine Ascent</w:t>
      </w:r>
      <w:r>
        <w:t xml:space="preserve"> (</w:t>
      </w:r>
      <w:r>
        <w:rPr>
          <w:i/>
          <w:iCs/>
        </w:rPr>
        <w:t>Klimax tou Paradeisou</w:t>
      </w:r>
      <w:r>
        <w:t>) the most influential practical guide to the hesychast life. The Ladder consists of thirty "steps" corresponding to the thirty years of Christ's hidden life, and it describes the progressive purification of the soul through the practice of the virtues, the overcoming of the passions, and the cultivation of inner stillness. The climactic steps of the Ladder — Steps 27 through 30 — address hesychia, prayer, dispassion (</w:t>
      </w:r>
      <w:r>
        <w:rPr>
          <w:i/>
          <w:iCs/>
        </w:rPr>
        <w:t>apatheia</w:t>
      </w:r>
      <w:r>
        <w:t>), and love in terms that have s</w:t>
      </w:r>
      <w:r>
        <w:t>haped Orthodox spiritual direction for fourteen centuries. Step 27, on hesychia, opens:</w:t>
      </w:r>
    </w:p>
    <w:p w14:paraId="32EC2725" w14:textId="77777777" w:rsidR="000E133F" w:rsidRDefault="00EC5ECA">
      <w:pPr>
        <w:spacing w:before="120" w:after="120" w:line="360" w:lineRule="auto"/>
        <w:ind w:left="720" w:right="720"/>
      </w:pPr>
      <w:r>
        <w:rPr>
          <w:i/>
          <w:iCs/>
          <w:color w:val="444444"/>
        </w:rPr>
        <w:lastRenderedPageBreak/>
        <w:t>"Hesychia is a laying aside of thoughts. Hesychia is the unceasing worship of God. It is the mind that vomits the world and rises to heaven. Hesychia is the standing of a thief by the cross... A hut of branches and a stillness are better than a golden hall filled with turmoil. A dry morsel and peace with it and the Lord is better than a house full of sacred victims with strife. Believe me, I have seen minds that were sharper than iron, and I have seen them, when they began to live with hesychia, changed for</w:t>
      </w:r>
      <w:r>
        <w:rPr>
          <w:i/>
          <w:iCs/>
          <w:color w:val="444444"/>
        </w:rPr>
        <w:t xml:space="preserve"> the better, and purified from their old ways, and I wondered at their changed nature."</w:t>
      </w:r>
    </w:p>
    <w:p w14:paraId="28A69022" w14:textId="77777777" w:rsidR="000E133F" w:rsidRDefault="00EC5ECA">
      <w:pPr>
        <w:spacing w:before="60" w:after="140" w:line="360" w:lineRule="auto"/>
      </w:pPr>
      <w:r>
        <w:t>Step 28 of the Ladder addresses prayer and introduces what will become the classical formulation of the Jesus Prayer: John commends the use of a brief, repeated invocation — "the prayer of Jesus" (</w:t>
      </w:r>
      <w:r>
        <w:rPr>
          <w:i/>
          <w:iCs/>
        </w:rPr>
        <w:t>hē tou Iēsou proseukhē</w:t>
      </w:r>
      <w:r>
        <w:t>) — as the most powerful weapon against distraction and the most direct path to the union of the mind with God. He writes: "Before all else, let us list sincere prayer as the foundation and origin of all virtues, and let all things be subject to prayer... The beginning of prayer is silence of the mind; progress in prayer is the shining of the mind; perfection of prayer is the departure of the mind."</w:t>
      </w:r>
    </w:p>
    <w:p w14:paraId="18F42C17" w14:textId="77777777" w:rsidR="000E133F" w:rsidRDefault="00EC5ECA">
      <w:pPr>
        <w:spacing w:before="60" w:after="140" w:line="360" w:lineRule="auto"/>
      </w:pPr>
      <w:r>
        <w:t xml:space="preserve">Symeon the New Theologian (949–1022), whose work will be treated at greater length in Chapter Ten, stands as the pivotal figure between the early hesychast tradition and its systematic theological development by Palamas. Symeon's </w:t>
      </w:r>
      <w:r>
        <w:rPr>
          <w:i/>
          <w:iCs/>
        </w:rPr>
        <w:t>Hymns of Divine Love</w:t>
      </w:r>
      <w:r>
        <w:t xml:space="preserve"> — fifty-eight extended poems of mystical contemplation — provide the most vivid personal testimony in the Orthodox tradition to the experiential reality of divine light as the content of mature prayer. In Hymn 25, Symeon writes:</w:t>
      </w:r>
    </w:p>
    <w:p w14:paraId="6A4C299F" w14:textId="77777777" w:rsidR="000E133F" w:rsidRDefault="00EC5ECA">
      <w:pPr>
        <w:spacing w:before="120" w:after="120" w:line="360" w:lineRule="auto"/>
        <w:ind w:left="720" w:right="720"/>
      </w:pPr>
      <w:r>
        <w:rPr>
          <w:i/>
          <w:iCs/>
          <w:color w:val="444444"/>
        </w:rPr>
        <w:t>"Come, true light. Come, life eternal. Come, hidden mystery. Come, treasure without name. Come, reality beyond all words. Come, person beyond all understanding. Come, rejoicing without end. Come, light that knows no evening. Come, unfailing expectation of the saved. Come, raising of the fallen. Come, resurrection of the dead. Come, all-powerful, for unceasingly you create, refashion and change all things by your will alone. Come, invisible whom none may touch and handle. Come, for you continue always unmove</w:t>
      </w:r>
      <w:r>
        <w:rPr>
          <w:i/>
          <w:iCs/>
          <w:color w:val="444444"/>
        </w:rPr>
        <w:t xml:space="preserve">d, yet at every instant you are wholly in </w:t>
      </w:r>
      <w:r>
        <w:rPr>
          <w:i/>
          <w:iCs/>
          <w:color w:val="444444"/>
        </w:rPr>
        <w:lastRenderedPageBreak/>
        <w:t>movement; you draw near to us who lie in hell, yet you remain higher than the heavens. Come, for your name fills our hearts with longing and is ever on our lips; yet who you are and what your nature is, we cannot say or know."</w:t>
      </w:r>
    </w:p>
    <w:p w14:paraId="06E5AC9B" w14:textId="77777777" w:rsidR="000E133F" w:rsidRDefault="00EC5ECA">
      <w:pPr>
        <w:spacing w:before="60" w:after="140" w:line="360" w:lineRule="auto"/>
      </w:pPr>
      <w:r>
        <w:t>This passage exemplifies the paradoxical language of the hesychast tradition: God is simultaneously utterly transcendent ("invisible," "beyond all understanding," "above the heavens") and genuinely intimate and present ("Come... Come... Come"). The repeated imperative "Come" — addressed to the divine light as a personal presence — witnesses to the experiential character of Symeon's theology: he is not speculating about divine transcendence but reporting an encounter.</w:t>
      </w:r>
    </w:p>
    <w:p w14:paraId="341B62BE" w14:textId="77777777" w:rsidR="000E133F" w:rsidRDefault="00EC5ECA">
      <w:pPr>
        <w:pStyle w:val="Heading4"/>
      </w:pPr>
      <w:r>
        <w:t>The Jesus Prayer and the Philokalia</w:t>
      </w:r>
    </w:p>
    <w:p w14:paraId="19A7E1DA" w14:textId="77777777" w:rsidR="000E133F" w:rsidRDefault="00EC5ECA">
      <w:pPr>
        <w:spacing w:before="60" w:after="140" w:line="360" w:lineRule="auto"/>
      </w:pPr>
      <w:r>
        <w:t>The specific form of the Jesus Prayer — "Lord Jesus Christ, Son of God, have mercy on me, a sinner" — emerged gradually in the monastic tradition, drawing together several strands: the Kyrie eleison of the liturgy ("Lord, have mercy"), the prayer of the Blind Bartimaeus ("Jesus, Son of David, have mercy on me," Mark 10:47), the prayer of the publican ("God, be merciful to me, a sinner," Luke 18:13), and the Pauline exhortation to "pray without ceasing" (1 Thessalonians 5:17). The full form of the prayer — w</w:t>
      </w:r>
      <w:r>
        <w:t>ith the explicit confession of Christ's divine Sonship and the penitential self-identification as a sinner — is found in texts of the 6th and 7th centuries and becomes standard in the Philokalic tradition.</w:t>
      </w:r>
    </w:p>
    <w:p w14:paraId="58901EF7" w14:textId="77777777" w:rsidR="000E133F" w:rsidRDefault="00EC5ECA">
      <w:pPr>
        <w:spacing w:before="60" w:after="140" w:line="360" w:lineRule="auto"/>
      </w:pPr>
      <w:r>
        <w:t xml:space="preserve">The </w:t>
      </w:r>
      <w:r>
        <w:rPr>
          <w:i/>
          <w:iCs/>
        </w:rPr>
        <w:t>Philokalia</w:t>
      </w:r>
      <w:r>
        <w:t xml:space="preserve"> (</w:t>
      </w:r>
      <w:r>
        <w:rPr>
          <w:i/>
          <w:iCs/>
        </w:rPr>
        <w:t>Philokalia tōn hierōn nēptikōn</w:t>
      </w:r>
      <w:r>
        <w:t xml:space="preserve"> — "the love of the beautiful, the love of the good"), compiled by Nikodemos of the Holy Mountain (1749–1809) and Makarios of Corinth (1731–1805) and published in Venice in 1782, is the encyclopedic anthology of hesychast spirituality. It gathers texts from the 4th through the 14th centuries — from Antony the Great and Evagrius to Gregory Palamas — and presents them as a coherent spiritual curriculum for the practice of the Jesus Prayer and the acquisition of inner </w:t>
      </w:r>
      <w:r>
        <w:t xml:space="preserve">stillness. The </w:t>
      </w:r>
      <w:r>
        <w:rPr>
          <w:i/>
          <w:iCs/>
        </w:rPr>
        <w:t>Philokalia</w:t>
      </w:r>
      <w:r>
        <w:t xml:space="preserve"> is, after the Bible and the liturgical books, the most important text in the Orthodox spiritual tradition, and its influence has extended far beyond the monastery. The Russian translation by Paisios Velichkovsky (published as </w:t>
      </w:r>
      <w:r>
        <w:rPr>
          <w:i/>
          <w:iCs/>
        </w:rPr>
        <w:t>Dobrotolubiye</w:t>
      </w:r>
      <w:r>
        <w:t xml:space="preserve"> in 1793) sparked a massive spiritual revival in Russian monasticism, </w:t>
      </w:r>
      <w:r>
        <w:lastRenderedPageBreak/>
        <w:t>influencing figures like Seraphim of Sarov (1754–1833), Theophan the Recluse (1815–1894), and ultimately the tradition of the Optina Elders (</w:t>
      </w:r>
      <w:r>
        <w:rPr>
          <w:i/>
          <w:iCs/>
        </w:rPr>
        <w:t>startsy</w:t>
      </w:r>
      <w:r>
        <w:t>) who shaped Russian religiou</w:t>
      </w:r>
      <w:r>
        <w:t xml:space="preserve">s culture in the 19th century. The anonymous 19th-century Russian spiritual classic </w:t>
      </w:r>
      <w:r>
        <w:rPr>
          <w:i/>
          <w:iCs/>
        </w:rPr>
        <w:t>The Way of a Pilgrim</w:t>
      </w:r>
      <w:r>
        <w:t xml:space="preserve"> (</w:t>
      </w:r>
      <w:r>
        <w:rPr>
          <w:i/>
          <w:iCs/>
        </w:rPr>
        <w:t>Otkrovennye rasskazy strannika</w:t>
      </w:r>
      <w:r>
        <w:t xml:space="preserve">) is essentially an account of a layman learning the Jesus Prayer from the </w:t>
      </w:r>
      <w:r>
        <w:rPr>
          <w:i/>
          <w:iCs/>
        </w:rPr>
        <w:t>Philokalia</w:t>
      </w:r>
      <w:r>
        <w:t xml:space="preserve"> and experiencing its transformative power.</w:t>
      </w:r>
    </w:p>
    <w:p w14:paraId="2C00E178" w14:textId="77777777" w:rsidR="000E133F" w:rsidRDefault="00EC5ECA">
      <w:pPr>
        <w:spacing w:before="60" w:after="140" w:line="360" w:lineRule="auto"/>
      </w:pPr>
      <w:r>
        <w:t xml:space="preserve">The theological content of the Jesus Prayer is itself of considerable importance. The prayer is not simply a mantra or a breathing technique, though it incorporates both rhythmic repetition and, in advanced practice, coordination with the natural rhythms of breathing. It is a complete theological confession packed into a single sentence. "Lord" (Kyrios) is the divine Name — the name given to Jesus in Philippians 2:9–11 as the Name above every name, the translation of the divine Tetragrammaton (YHWH) in the </w:t>
      </w:r>
      <w:r>
        <w:t xml:space="preserve">Septuagint. "Jesus Christ" names the Incarnate One — the God-Man, the one Person in two natures. "Son of God" confesses the eternal Sonship — the divine nature. "Have mercy on me" invokes the divine </w:t>
      </w:r>
      <w:r>
        <w:rPr>
          <w:i/>
          <w:iCs/>
        </w:rPr>
        <w:t>eleos</w:t>
      </w:r>
      <w:r>
        <w:t xml:space="preserve"> (mercy, lovingkindness, compassion — the translation of the Hebrew </w:t>
      </w:r>
      <w:r>
        <w:rPr>
          <w:i/>
          <w:iCs/>
        </w:rPr>
        <w:t>hesed</w:t>
      </w:r>
      <w:r>
        <w:t>) — the divine energy by which God reaches out to the creature in saving love. "A sinner" places the practitioner in the posture of the publican — the position of radical poverty before God from which alone genuine encounter is possibl</w:t>
      </w:r>
      <w:r>
        <w:t>e. The prayer is thus simultaneously Christological confession, penitential acknowledgment, and an act of placing oneself before the living God in radical openness.</w:t>
      </w:r>
    </w:p>
    <w:p w14:paraId="38D6761C" w14:textId="77777777" w:rsidR="000E133F" w:rsidRDefault="00EC5ECA">
      <w:pPr>
        <w:pStyle w:val="Heading3"/>
      </w:pPr>
      <w:bookmarkStart w:id="111" w:name="_Toc232765338"/>
      <w:r>
        <w:t>8.4 Gregory Palamas and the Hesychast Controversy: A Full Theological Account</w:t>
      </w:r>
      <w:bookmarkEnd w:id="111"/>
    </w:p>
    <w:p w14:paraId="167DEEE2" w14:textId="77777777" w:rsidR="000E133F" w:rsidRDefault="00EC5ECA">
      <w:pPr>
        <w:pStyle w:val="Heading4"/>
      </w:pPr>
      <w:r>
        <w:t>Barlaam's Challenge and the Theological Context</w:t>
      </w:r>
    </w:p>
    <w:p w14:paraId="78421E5A" w14:textId="77777777" w:rsidR="000E133F" w:rsidRDefault="00EC5ECA">
      <w:pPr>
        <w:spacing w:before="60" w:after="140" w:line="360" w:lineRule="auto"/>
      </w:pPr>
      <w:r>
        <w:t xml:space="preserve">The hesychast controversy of the 14th century — the most important internal theological debate in the history of the Orthodox Church since the Monothelite controversy of the 7th century — began as a dispute between the Athonite monks and the humanist scholar Barlaam of Calabria (c. 1290–1348). Barlaam was a Calabrian Greek who had come to Constantinople in the 1330s and impressed the court with his knowledge of Aristotelian philosophy and his mastery of both Greek and Latin theological learning. He was, in </w:t>
      </w:r>
      <w:r>
        <w:lastRenderedPageBreak/>
        <w:t>many respects, a representative of a Thomistically-influenced theological rationalism: he believed that the ultimate standard of theological knowledge was demonstrative rational argument, that the highest the human intellect could achieve was syllogistic demonstration, and that the claims made by the hesychast monks to see the divine light with their bodily eyes were either self-deception or, if genuine, evidence that they were seeing a created phenomenon — not God Himself.</w:t>
      </w:r>
    </w:p>
    <w:p w14:paraId="1B936320" w14:textId="77777777" w:rsidR="000E133F" w:rsidRDefault="00EC5ECA">
      <w:pPr>
        <w:spacing w:before="60" w:after="140" w:line="360" w:lineRule="auto"/>
      </w:pPr>
      <w:r>
        <w:t>Barlaam's argument was internally consistent and deserves to be stated with precision. He argued from the premise that God, as absolutely transcendent, cannot be directly experienced by human beings in this life. What the mystics call "divine light" must therefore be either (a) a product of the imagination — a psycho-somatic phenomenon generated by the breathing techniques and physical postures of the hesychast method; (b) a vision produced by an angel, a created intermediary; or (c) if it is truly from God</w:t>
      </w:r>
      <w:r>
        <w:t>, it must be a created emanation — a light produced by God but not identical with God Himself. In no case, Barlaam argued, can the hesychasts claim to see the divine nature, since the divine nature is absolutely incomprehensible and inaccessible to created intellect. The monks who claimed to see God with their bodily eyes were, in his view, guilty of a kind of Messalianism — the ancient heresy that held that the soul could directly sense God through bodily experience.</w:t>
      </w:r>
    </w:p>
    <w:p w14:paraId="004E82FE" w14:textId="77777777" w:rsidR="000E133F" w:rsidRDefault="00EC5ECA">
      <w:pPr>
        <w:spacing w:before="60" w:after="140" w:line="360" w:lineRule="auto"/>
      </w:pPr>
      <w:r>
        <w:t>Barlaam's epistemological framework was the Thomistic one: the human intellect can arrive at knowledge of God through analogical reasoning from created effects to their uncreated cause, but cannot directly experience the divine being. The highest mystical states are intensifications of this analogical knowledge, not a different kind of knowledge altogether. There is no direct, non-analogical, non-conceptual experience of God available to human beings in this life, and claims to such experience are theologic</w:t>
      </w:r>
      <w:r>
        <w:t>ally dangerous.</w:t>
      </w:r>
    </w:p>
    <w:p w14:paraId="5F03FEDF" w14:textId="77777777" w:rsidR="000E133F" w:rsidRDefault="00EC5ECA">
      <w:pPr>
        <w:pStyle w:val="Heading4"/>
      </w:pPr>
      <w:r>
        <w:t>Palamas's Response in the Triads</w:t>
      </w:r>
    </w:p>
    <w:p w14:paraId="37559E7C" w14:textId="77777777" w:rsidR="000E133F" w:rsidRDefault="00EC5ECA">
      <w:pPr>
        <w:spacing w:before="60" w:after="140" w:line="360" w:lineRule="auto"/>
      </w:pPr>
      <w:r>
        <w:t xml:space="preserve">Gregory Palamas (1296–1359) responded to Barlaam in his </w:t>
      </w:r>
      <w:r>
        <w:rPr>
          <w:i/>
          <w:iCs/>
        </w:rPr>
        <w:t>Triads in Defense of the Holy Hesychasts</w:t>
      </w:r>
      <w:r>
        <w:t xml:space="preserve">, written between 1338 and 1341. The Triads consist of three groups of three discourses each, addressing successive aspects of the controversy. The first Triad defends the monks' use of physical techniques in prayer and the possibility of genuine </w:t>
      </w:r>
      <w:r>
        <w:lastRenderedPageBreak/>
        <w:t xml:space="preserve">divine experience; the second Triad develops the theological argument about the nature of the divine light; the third Triad responds to Barlaam's further objections. The work is a masterpiece of polemical theology — precise, </w:t>
      </w:r>
      <w:r>
        <w:t>systematic, deeply learned, and driven by a clear theological vision.</w:t>
      </w:r>
    </w:p>
    <w:p w14:paraId="6AADCB5E" w14:textId="77777777" w:rsidR="000E133F" w:rsidRDefault="00EC5ECA">
      <w:pPr>
        <w:spacing w:before="60" w:after="140" w:line="360" w:lineRule="auto"/>
      </w:pPr>
      <w:r>
        <w:t>Palamas's fundamental move is to introduce a distinction within God that is more than merely conceptual — a real distinction between the divine essence and the divine energies — and to argue that this distinction alone can account for both the genuine transcendence of God and the genuine experience of God reported by the hesychasts. In Triad I.3, Palamas writes:</w:t>
      </w:r>
    </w:p>
    <w:p w14:paraId="285FCA90" w14:textId="77777777" w:rsidR="000E133F" w:rsidRDefault="00EC5ECA">
      <w:pPr>
        <w:spacing w:before="120" w:after="120" w:line="360" w:lineRule="auto"/>
        <w:ind w:left="720" w:right="720"/>
      </w:pPr>
      <w:r>
        <w:rPr>
          <w:i/>
          <w:iCs/>
          <w:color w:val="444444"/>
        </w:rPr>
        <w:t>"God possesses a natural will that is different from His essence and yet truly belongs to Him. He possesses a natural energy that is different from His essence and yet truly belongs to Him. He is not only essence but also will and energy... If the will and the energy of God did not truly differ from His essence, He could not be the Creator of any being other than Himself, for then His creative act would be identical with His essence... But in fact there is a distinction — not just in our minds, but truly, g</w:t>
      </w:r>
      <w:r>
        <w:rPr>
          <w:i/>
          <w:iCs/>
          <w:color w:val="444444"/>
        </w:rPr>
        <w:t>enuinely, really — between God's essence and His energies."</w:t>
      </w:r>
    </w:p>
    <w:p w14:paraId="7DEAC1FD" w14:textId="77777777" w:rsidR="000E133F" w:rsidRDefault="00EC5ECA">
      <w:pPr>
        <w:spacing w:before="60" w:after="140" w:line="360" w:lineRule="auto"/>
      </w:pPr>
      <w:r>
        <w:t>The argument here is precise: God's energies — His life, love, wisdom, power, grace — genuinely differ from His essence, but they are not created; they are fully and genuinely divine. This is the middle way between two unacceptable positions. If the energies are identical with the essence (the Thomistic position), then participation in the energies would mean participation in the essence, which would destroy the creature's distinct existence (since no creature can participate in the divine essence without b</w:t>
      </w:r>
      <w:r>
        <w:t>eing absorbed into the divinity). If the energies are created (Barlaam's position), then what the monks experience is not God Himself but a created medium — which introduces a created veil between God and the creature and makes genuine union with God impossible. The essence-energies distinction is the precise theological formulation that avoids both errors: the energies are genuinely God — so the hesychasts truly see God and not a creature — but they are not the essence — so God's transcendence is preserved</w:t>
      </w:r>
      <w:r>
        <w:t xml:space="preserve"> and the creature is not absorbed into the divine being.</w:t>
      </w:r>
    </w:p>
    <w:p w14:paraId="3220F249" w14:textId="77777777" w:rsidR="000E133F" w:rsidRDefault="00EC5ECA">
      <w:pPr>
        <w:spacing w:before="60" w:after="140" w:line="360" w:lineRule="auto"/>
      </w:pPr>
      <w:r>
        <w:lastRenderedPageBreak/>
        <w:t>In Triad II.3, Palamas develops the central argument about the divine light by connecting it to the Transfiguration:</w:t>
      </w:r>
    </w:p>
    <w:p w14:paraId="34FB993C" w14:textId="77777777" w:rsidR="000E133F" w:rsidRDefault="00EC5ECA">
      <w:pPr>
        <w:spacing w:before="120" w:after="120" w:line="360" w:lineRule="auto"/>
        <w:ind w:left="720" w:right="720"/>
      </w:pPr>
      <w:r>
        <w:rPr>
          <w:i/>
          <w:iCs/>
          <w:color w:val="444444"/>
        </w:rPr>
        <w:t>"What the saints contemplate in this holy light, they contemplate not symbolically but truly, not through symbols but through the divine energy itself — through the grace that is divine and one with God and proceeds from God, and in which God is wholly present. In the same way, at the Transfiguration of the Lord on Tabor, the apostles beheld the light, not as a created thing or a symbol of divine things, but as an uncreated light that is divine and eternal, proper to the divine nature and yet not the very e</w:t>
      </w:r>
      <w:r>
        <w:rPr>
          <w:i/>
          <w:iCs/>
          <w:color w:val="444444"/>
        </w:rPr>
        <w:t>ssence of God — for the divine nature is utterly inaccessible in its essence."</w:t>
      </w:r>
    </w:p>
    <w:p w14:paraId="33326DE9" w14:textId="77777777" w:rsidR="000E133F" w:rsidRDefault="00EC5ECA">
      <w:pPr>
        <w:spacing w:before="60" w:after="140" w:line="360" w:lineRule="auto"/>
      </w:pPr>
      <w:r>
        <w:t>The Transfiguration (Matthew 17:1–8) is central to Palamas's entire argument. The light that shone from Christ on Mount Tabor was not created for the occasion — not a pedagogical device or a supernatural visual aid — but the eternal, uncreated divine glory that had always belonged to the Son of God but was normally hidden beneath the veil of His human flesh. For a brief moment on Tabor, the disciples were granted eyes to see what had always been there: the glory of God shining in the human face of Jesus Chr</w:t>
      </w:r>
      <w:r>
        <w:t>ist. And this same light — the Taboric light, the uncreated divine energy — is what the hesychasts experience in the most advanced states of prayer. The experience is not an illusion, not a psychological projection, not a vision produced by an angel; it is a genuine encounter with the living God through His uncreated energies.</w:t>
      </w:r>
    </w:p>
    <w:p w14:paraId="30AF58B0" w14:textId="77777777" w:rsidR="000E133F" w:rsidRDefault="00EC5ECA">
      <w:pPr>
        <w:spacing w:before="60" w:after="140" w:line="360" w:lineRule="auto"/>
      </w:pPr>
      <w:r>
        <w:t>Palamas is equally careful to defend the role of the body in this experience, against both the iconoclast tendency and the Neoplatonist tendency to regard the body as an obstacle to spiritual experience. In Triad I.2, he argues:</w:t>
      </w:r>
    </w:p>
    <w:p w14:paraId="51EA37FF" w14:textId="77777777" w:rsidR="000E133F" w:rsidRDefault="00EC5ECA">
      <w:pPr>
        <w:spacing w:before="120" w:after="120" w:line="360" w:lineRule="auto"/>
        <w:ind w:left="720" w:right="720"/>
      </w:pPr>
      <w:r>
        <w:rPr>
          <w:i/>
          <w:iCs/>
          <w:color w:val="444444"/>
        </w:rPr>
        <w:t xml:space="preserve">"Our body is not the enemy of the soul in the process of theosis; the body is sanctified along with the soul. The hesychasts have learned to bring the mind (nous) back from its wanderings in the external world and to lodge it in the heart — in the corporeal heart, not the spiritual heart alone, but in the bodily organ that is the center of our physical life. This is not materialism; it is the affirmation of the full human person, body and soul </w:t>
      </w:r>
      <w:r>
        <w:rPr>
          <w:i/>
          <w:iCs/>
          <w:color w:val="444444"/>
        </w:rPr>
        <w:lastRenderedPageBreak/>
        <w:t>together, as the subject of divinization... The Spirit sanctifies what is ours — both soul and body — and not only the soul."</w:t>
      </w:r>
    </w:p>
    <w:p w14:paraId="2173063C" w14:textId="77777777" w:rsidR="000E133F" w:rsidRDefault="00EC5ECA">
      <w:pPr>
        <w:spacing w:before="60" w:after="140" w:line="360" w:lineRule="auto"/>
      </w:pPr>
      <w:r>
        <w:t>This insistence on the body's positive role in hesychast prayer reflects the deeper Orthodox conviction that the Incarnation has sanctified matter itself and that the human person is not a soul using a body but a body-soul unity called to theosis in its entirety.</w:t>
      </w:r>
    </w:p>
    <w:p w14:paraId="54C2E20B" w14:textId="77777777" w:rsidR="000E133F" w:rsidRDefault="00EC5ECA">
      <w:pPr>
        <w:pStyle w:val="Heading4"/>
      </w:pPr>
      <w:r>
        <w:t>The Synodal Definition of Palamism</w:t>
      </w:r>
    </w:p>
    <w:p w14:paraId="5366AD51" w14:textId="77777777" w:rsidR="000E133F" w:rsidRDefault="00EC5ECA">
      <w:pPr>
        <w:spacing w:before="60" w:after="140" w:line="360" w:lineRule="auto"/>
      </w:pPr>
      <w:r>
        <w:t>The theological dispute between Palamas and Barlaam was resolved not by private theological agreement but through three synods held in Constantinople in 1341, 1347, and 1351. The first synod (June 1341) met at the Hagia Sophia, with Emperor Andronikos III presiding, and produced a formal decision that upheld Palamas's theology and condemned Barlaam, who subsequently departed for the West and converted to Roman Catholicism. The third and most decisive synod (1351), convened under Emperor John VI Kantakouzeno</w:t>
      </w:r>
      <w:r>
        <w:t xml:space="preserve">s and Patriarch Kallistos I, produced the </w:t>
      </w:r>
      <w:r>
        <w:rPr>
          <w:i/>
          <w:iCs/>
        </w:rPr>
        <w:t>Synodal Tome of 1351</w:t>
      </w:r>
      <w:r>
        <w:t>, which is the definitive dogmatic statement of Palamism as the theology of the Orthodox Church.</w:t>
      </w:r>
    </w:p>
    <w:p w14:paraId="2513D6CB" w14:textId="77777777" w:rsidR="000E133F" w:rsidRDefault="00EC5ECA">
      <w:pPr>
        <w:spacing w:before="60" w:after="140" w:line="360" w:lineRule="auto"/>
      </w:pPr>
      <w:r>
        <w:t>The Synodal Tome of 1351 makes the following formal definitions. It defines that the distinction between the divine essence and the divine energies is a real distinction, not merely conceptual: "Since the divine energy is not the divine essence, it is not a mere concept... The energy of God is uncreated, as the Fathers have taught, and the distinction between essence and energy is real." It anathematizes those who claim that the divine light seen by the monks is a created phenomenon: "If anyone says that th</w:t>
      </w:r>
      <w:r>
        <w:t>e light seen by the holy Apostles at the Transfiguration of the Lord was created, or that the divine illuminations granted to the saints are of a created nature, let him be anathema." And it explicitly defines the hesychast experience as genuine experience of the uncreated divine energies: "The divine and deifying illumination and grace is not the essence of God, but it is the energy of God, and it is uncreated."</w:t>
      </w:r>
    </w:p>
    <w:p w14:paraId="0523DF79" w14:textId="77777777" w:rsidR="000E133F" w:rsidRDefault="00EC5ECA">
      <w:pPr>
        <w:spacing w:before="60" w:after="140" w:line="360" w:lineRule="auto"/>
      </w:pPr>
      <w:r>
        <w:t xml:space="preserve">The Synodal Tome was formally incorporated into the Orthodox Synodikon — the liturgical document of the Sunday of Orthodoxy — in 1351 and 1352, which means that Palamism is not merely the private opinion of one theologian but the dogmatically </w:t>
      </w:r>
      <w:r>
        <w:lastRenderedPageBreak/>
        <w:t xml:space="preserve">defined teaching of the Orthodox Church, pronounced in solemn liturgical assembly. Gregory Palamas was canonized in 1368 by Patriarch Philotheos Kokkinos, who had been one of the theological defenders of Palamism during the controversy. His feast day — the second Sunday of Great Lent — was chosen deliberately, as a theological statement: the first Sunday of Lent celebrates the Triumph of Orthodoxy (the victory of icon veneration, which is the victory of the full doctrine of the Incarnation), and the second </w:t>
      </w:r>
      <w:r>
        <w:t>Sunday celebrates Palamas (the theologian of the Incarnation's implications for human deification). The liturgical juxtaposition is a theological argument: the Palamite theology of theosis through participation in the uncreated divine energies is the completion and consummation of the Chalcedonian Christology vindicated on the first Sunday.</w:t>
      </w:r>
    </w:p>
    <w:p w14:paraId="4C40E180" w14:textId="77777777" w:rsidR="000E133F" w:rsidRDefault="00EC5ECA">
      <w:pPr>
        <w:pStyle w:val="Heading1"/>
        <w:pageBreakBefore/>
      </w:pPr>
      <w:bookmarkStart w:id="112" w:name="_Toc232765339"/>
      <w:r>
        <w:lastRenderedPageBreak/>
        <w:t>CHAPTER NINE</w:t>
      </w:r>
      <w:bookmarkEnd w:id="112"/>
    </w:p>
    <w:p w14:paraId="7017BC58" w14:textId="77777777" w:rsidR="000E133F" w:rsidRDefault="00EC5ECA">
      <w:pPr>
        <w:pStyle w:val="Heading2"/>
      </w:pPr>
      <w:bookmarkStart w:id="113" w:name="_Toc232765340"/>
      <w:r>
        <w:t>EASTERN ORTHODOXY IN ECUMENICAL DIALOGUE</w:t>
      </w:r>
      <w:bookmarkEnd w:id="113"/>
    </w:p>
    <w:p w14:paraId="59A17BCC" w14:textId="77777777" w:rsidR="000E133F" w:rsidRDefault="00EC5ECA">
      <w:pPr>
        <w:pStyle w:val="Heading3"/>
      </w:pPr>
      <w:bookmarkStart w:id="114" w:name="_Toc232765341"/>
      <w:r>
        <w:t>9.1 Orthodox-Catholic Dialogue: From Schism to Balamand</w:t>
      </w:r>
      <w:bookmarkEnd w:id="114"/>
    </w:p>
    <w:p w14:paraId="23171674" w14:textId="77777777" w:rsidR="000E133F" w:rsidRDefault="00EC5ECA">
      <w:pPr>
        <w:pStyle w:val="Heading4"/>
      </w:pPr>
      <w:r>
        <w:t>The Significance of Vatican II for Orthodox-Catholic Relations</w:t>
      </w:r>
    </w:p>
    <w:p w14:paraId="47C535B5" w14:textId="77777777" w:rsidR="000E133F" w:rsidRDefault="00EC5ECA">
      <w:pPr>
        <w:spacing w:before="60" w:after="140" w:line="360" w:lineRule="auto"/>
      </w:pPr>
      <w:r>
        <w:t>The Second Vatican Council (1962–1965) marked the most significant development in Roman Catholic-Eastern Orthodox relations since the lifting of the mutual anathemas of 1054. The significance of Vatican II for this dialogue operates on several levels, and an adequate analysis requires attending carefully to both what the council said and what its statements implied from an Orthodox perspective.</w:t>
      </w:r>
    </w:p>
    <w:p w14:paraId="73AA4B39" w14:textId="77777777" w:rsidR="000E133F" w:rsidRDefault="00EC5ECA">
      <w:pPr>
        <w:spacing w:before="60" w:after="140" w:line="360" w:lineRule="auto"/>
      </w:pPr>
      <w:r>
        <w:t xml:space="preserve">The Decree on Ecumenism, </w:t>
      </w:r>
      <w:r>
        <w:rPr>
          <w:i/>
          <w:iCs/>
        </w:rPr>
        <w:t>Unitatis Redintegratio</w:t>
      </w:r>
      <w:r>
        <w:t xml:space="preserve"> (November 21, 1964), represented a formal Catholic acknowledgment of the ecclesial status of the Eastern Orthodox churches that went far beyond anything Rome had previously conceded. Article 14 of the decree reads: "Among those in which some Catholic traditions and institutions continue to exist, the Orthodox Churches occupy a special place. In the East are to be found the riches of those spiritual traditions to which monasticism gave expression. From the very origins of the Church th</w:t>
      </w:r>
      <w:r>
        <w:t>e Eastern lands were illuminated by the light of the apostle and his disciples... These Churches, although separated from us, yet possess true sacraments and above all, by apostolic succession, the priesthood and the Eucharist, whereby they are joined to us in a particularly close relationship."</w:t>
      </w:r>
    </w:p>
    <w:p w14:paraId="6714CE2E" w14:textId="77777777" w:rsidR="000E133F" w:rsidRDefault="00EC5ECA">
      <w:pPr>
        <w:spacing w:before="60" w:after="140" w:line="360" w:lineRule="auto"/>
      </w:pPr>
      <w:r>
        <w:t>From an Orthodox perspective, the significance of this acknowledgment is considerable. Rome was now formally recognizing what the Orthodox Church had always claimed: that the Orthodox churches possess valid sacraments, genuine apostolic succession, and authentic priesthood. They are, in Catholic terminology, not merely "ecclesial communities" (the designation applied to Protestant churches) but true particular churches (</w:t>
      </w:r>
      <w:r>
        <w:rPr>
          <w:i/>
          <w:iCs/>
        </w:rPr>
        <w:t>verae Ecclesiae particulares</w:t>
      </w:r>
      <w:r>
        <w:t xml:space="preserve">). The implication — though not stated explicitly by the council — is that the Eucharist of the Orthodox Church is genuinely the Eucharist of the one Catholic Church, and that the bishops of the Orthodox Church are genuinely successors of the apostles. The Decree </w:t>
      </w:r>
      <w:r>
        <w:rPr>
          <w:i/>
          <w:iCs/>
        </w:rPr>
        <w:t>Orientalium Ecclesiarum</w:t>
      </w:r>
      <w:r>
        <w:t xml:space="preserve"> (November 21, 1964) </w:t>
      </w:r>
      <w:r>
        <w:lastRenderedPageBreak/>
        <w:t>further described the relationship between Rome and Constantinople in terms of "sister churches" (</w:t>
      </w:r>
      <w:r>
        <w:rPr>
          <w:i/>
          <w:iCs/>
        </w:rPr>
        <w:t>Ecclesiae sorores</w:t>
      </w:r>
      <w:r>
        <w:t>).</w:t>
      </w:r>
    </w:p>
    <w:p w14:paraId="243699F2" w14:textId="77777777" w:rsidR="000E133F" w:rsidRDefault="00EC5ECA">
      <w:pPr>
        <w:spacing w:before="60" w:after="140" w:line="360" w:lineRule="auto"/>
      </w:pPr>
      <w:r>
        <w:t xml:space="preserve">The council also authorized, in the Decree on Ecumenism, a limited form of </w:t>
      </w:r>
      <w:r>
        <w:rPr>
          <w:i/>
          <w:iCs/>
        </w:rPr>
        <w:t>communicatio in sacris</w:t>
      </w:r>
      <w:r>
        <w:t xml:space="preserve"> — sharing in certain sacraments under specific conditions — between Catholics and Eastern Christians who are separated from Rome. Article 15 permits Catholics to receive the sacraments of penance, Eucharist, and anointing of the sick from Orthodox priests in cases where it is morally impossible to approach a Catholic minister. This permission — whose reception within Catholic practice has been complex and contested — represents an implicit acknowledgment that Orthodox sacraments are n</w:t>
      </w:r>
      <w:r>
        <w:t>ot merely valid but genuinely efficacious and that Orthodox priests are genuine priests capable of administering these sacraments validly.</w:t>
      </w:r>
    </w:p>
    <w:p w14:paraId="5DBCAD95" w14:textId="77777777" w:rsidR="000E133F" w:rsidRDefault="00EC5ECA">
      <w:pPr>
        <w:pStyle w:val="Heading4"/>
      </w:pPr>
      <w:r>
        <w:t>The 1965 Lifting of the Anathemas</w:t>
      </w:r>
    </w:p>
    <w:p w14:paraId="2A5C10B6" w14:textId="77777777" w:rsidR="000E133F" w:rsidRDefault="00EC5ECA">
      <w:pPr>
        <w:spacing w:before="60" w:after="140" w:line="360" w:lineRule="auto"/>
      </w:pPr>
      <w:r>
        <w:t>On December 7, 1965 — the eve of the closing of Vatican II — Pope Paul VI and Ecumenical Patriarch Athenagoras I simultaneously performed, in Rome and Constantinople respectively, the ceremonial lifting of the mutual excommunications of 1054. The Joint Declaration of Pope Paul VI and Patriarch Athenagoras I stated: "Pope Paul VI and Patriarch Athenagoras I with his synod, in common agreement, declare that they: Regret the offensive words, the reproaches without foundation, and the reprehensible gestures whi</w:t>
      </w:r>
      <w:r>
        <w:t>ch on both sides have marked or accompanied the sad events of this period; Remove from memory and from the midst of the Church the sentences of excommunication which followed these events, the memory of which has influenced actions up to our day and has hindered closer relations in charity; and finally commit themselves to do everything possible to remove the prejudices, spirit of mistrust, and mutual hostility which still exist."</w:t>
      </w:r>
    </w:p>
    <w:p w14:paraId="28F9D8F4" w14:textId="77777777" w:rsidR="000E133F" w:rsidRDefault="00EC5ECA">
      <w:pPr>
        <w:spacing w:before="60" w:after="140" w:line="360" w:lineRule="auto"/>
      </w:pPr>
      <w:r>
        <w:t xml:space="preserve">The theological weight of this declaration requires careful analysis. On the one hand, the symbolic gesture is enormously significant: the particular personal censures of Cardinal Humbert against Patriarch Michael Cerularius (and his fellow-censure of Cerularius against Humbert and the papal legates), which had poisoned the well of Catholic-Orthodox relations for nine centuries, were formally set aside. The "memory of the wound" — to use the language the declaration employs — was acknowledged and </w:t>
      </w:r>
      <w:r>
        <w:lastRenderedPageBreak/>
        <w:t>addressed with appropriate solemnity. On the other hand — and Orthodox theologians have been careful to insist on this — the lifting of the anathemas did not restore eucharistic communion between Rome and Constantinople. The declaration explicitly acknowledged that the gesture "cannot suffice to end the ancient and recent differences between the Roman Catholic Church and the Orthodox Church." The mutual excommunications of 1054 were personal acts directed against specific individuals; they did not themselve</w:t>
      </w:r>
      <w:r>
        <w:t>s create the schism but were symptomatic of it. Lifting them removes a particular historical grievance; it does not resolve the underlying theological differences over papal primacy and jurisdiction, the Filioque, the Immaculate Conception, the 1870 definition of papal infallibility, and numerous other points of doctrinal divergence.</w:t>
      </w:r>
    </w:p>
    <w:p w14:paraId="1404E362" w14:textId="77777777" w:rsidR="000E133F" w:rsidRDefault="00EC5ECA">
      <w:pPr>
        <w:spacing w:before="60" w:after="140" w:line="360" w:lineRule="auto"/>
      </w:pPr>
      <w:r>
        <w:t xml:space="preserve">Patriarch Athenagoras, in a subsequent interview, expressed his hope for "a dialogue of charity that would prepare the way for a dialogue of truth," indicating clearly that he understood the 1965 gesture as an initial step — an act of reconciliation in spirit — rather than a resolution of the theological issues. Orthodox theology has consistently insisted that the restoration of full communion requires not merely mutual goodwill but genuine theological agreement on the disputed points, and that no gestures </w:t>
      </w:r>
      <w:r>
        <w:t>of fraternal charity, however moving, can substitute for the hard work of doctrinal convergence.</w:t>
      </w:r>
    </w:p>
    <w:p w14:paraId="1A93D8CE" w14:textId="77777777" w:rsidR="000E133F" w:rsidRDefault="00EC5ECA">
      <w:pPr>
        <w:pStyle w:val="Heading4"/>
      </w:pPr>
      <w:r>
        <w:t>The Joint International Commission and the Balamand Agreement (1993)</w:t>
      </w:r>
    </w:p>
    <w:p w14:paraId="34F12523" w14:textId="77777777" w:rsidR="000E133F" w:rsidRDefault="00EC5ECA">
      <w:pPr>
        <w:spacing w:before="60" w:after="140" w:line="360" w:lineRule="auto"/>
      </w:pPr>
      <w:r>
        <w:t>The establishment of the Joint International Commission for Theological Dialogue between the Roman Catholic Church and the Orthodox Church in 1979, jointly announced by Pope John Paul II and Ecumenical Patriarch Dimitrios I during the Pope's visit to the Phanar in November 1979, marked the beginning of the most ambitious systematic theological dialogue between the two traditions since the Council of Florence (1438–1439). The commission has produced several agreed statements, including the Munich Statement (</w:t>
      </w:r>
      <w:r>
        <w:t>1982) on "The Mystery of the Church and of the Eucharist in the Light of the Mystery of the Holy Trinity," the Bari Statement (1987) on "Faith, Sacraments and the Unity of the Church," and the Valamo Statement (1988) on "The Sacrament of Order in the Sacramental Structure of the Church." These documents represent genuine points of theological convergence on Trinitarian theology, ecclesiology, and sacramental theology, and they have been received with cautious appreciation by Orthodox theologians.</w:t>
      </w:r>
    </w:p>
    <w:p w14:paraId="222A8270" w14:textId="77777777" w:rsidR="000E133F" w:rsidRDefault="00EC5ECA">
      <w:pPr>
        <w:spacing w:before="60" w:after="140" w:line="360" w:lineRule="auto"/>
      </w:pPr>
      <w:r>
        <w:lastRenderedPageBreak/>
        <w:t xml:space="preserve">The most controversial document produced by the Joint Commission, however, was the Balamand Agreement of 1993 — the </w:t>
      </w:r>
      <w:r>
        <w:rPr>
          <w:i/>
          <w:iCs/>
        </w:rPr>
        <w:t>Joint Statement on Uniatism, Method of Union of the Past, and the Present Search for Full Communion</w:t>
      </w:r>
      <w:r>
        <w:t xml:space="preserve">, produced at Balamand, Lebanon, in June 1993. The occasion for this document was the acute problem of the "Uniate" churches — Eastern Catholic churches that follow Byzantine or other Eastern liturgical rites while being in full communion with Rome — and their relationship with the Orthodox churches in Eastern Europe following the collapse of communism and the Soviet Union. The Uniate churches of Ukraine (the </w:t>
      </w:r>
      <w:r>
        <w:t>Ukrainian Greek Catholic Church) and Romania had been forcibly suppressed and absorbed into the Russian and Romanian Orthodox churches under Soviet and communist pressure, and their restoration after 1989 created intense conflict with the Orthodox churches over property, parishes, and canonical territory.</w:t>
      </w:r>
    </w:p>
    <w:p w14:paraId="53DACA8B" w14:textId="77777777" w:rsidR="000E133F" w:rsidRDefault="00EC5ECA">
      <w:pPr>
        <w:spacing w:before="60" w:after="140" w:line="360" w:lineRule="auto"/>
      </w:pPr>
      <w:r>
        <w:t>The Balamand Agreement attempted to address this conflict by condemning "uniatism" — the method of bringing Orthodox communities into union with Rome while preserving their Eastern rites — as a method contrary to the common tradition of the two churches. Article 12 of the agreement reads: "Uniatism, that is to say, the method which was used in the past to bring about unity among Churches, which implies that one ecclesial community is brought back to Catholic unity by separating it from its own Church, is no</w:t>
      </w:r>
      <w:r>
        <w:t xml:space="preserve"> longer accepted either as a method to be followed or as a model of the unity our Churches are seeking."</w:t>
      </w:r>
    </w:p>
    <w:p w14:paraId="0B9917C2" w14:textId="77777777" w:rsidR="000E133F" w:rsidRDefault="00EC5ECA">
      <w:pPr>
        <w:spacing w:before="60" w:after="140" w:line="360" w:lineRule="auto"/>
      </w:pPr>
      <w:r>
        <w:t>The agreement simultaneously insists, however, that the existing Eastern Catholic churches have the right to exist and to serve their faithful. Article 3 states: "On the other hand, since they are Catholic, they must be within the communion of the Catholic Church." Article 4 insists that these churches "have the right to exist and to act in response to the spiritual needs of their faithful."</w:t>
      </w:r>
    </w:p>
    <w:p w14:paraId="0B31181D" w14:textId="77777777" w:rsidR="000E133F" w:rsidRDefault="00EC5ECA">
      <w:pPr>
        <w:spacing w:before="60" w:after="140" w:line="360" w:lineRule="auto"/>
      </w:pPr>
      <w:r>
        <w:t xml:space="preserve">The Balamand Agreement was received with considerable controversy in the Orthodox world. The most fundamental Orthodox objection was to the agreement's implied ecclesiology — specifically, the "sister churches" model articulated in Articles 13–15, which describes the Catholic and Orthodox churches as "sister Churches" in a way that some Orthodox theologians interpreted as implying that both communions are equally </w:t>
      </w:r>
      <w:r>
        <w:lastRenderedPageBreak/>
        <w:t>valid expressions of the one Church. For Orthodox theology, as articulated by theologians such as Georges Florovsky and John Romanides, the Church is one — the Body of Christ is not divided — and the schism between Rome and the Orthodox Church means that one of the two communions is not in the full reality of the one Church that Christ founded. The "sister churches" language seemed to Orthodox critics to compromise this position and to accept a kind of bilateral ecclesiological relativism — the suggestion t</w:t>
      </w:r>
      <w:r>
        <w:t>hat both communions are equally the Church of Christ, merely separated from each other.</w:t>
      </w:r>
    </w:p>
    <w:p w14:paraId="7576D192" w14:textId="77777777" w:rsidR="000E133F" w:rsidRDefault="00EC5ECA">
      <w:pPr>
        <w:spacing w:before="60" w:after="140" w:line="360" w:lineRule="auto"/>
      </w:pPr>
      <w:r>
        <w:t>Several Orthodox churches — including the Russian Orthodox Church (which sent no representatives to Balamand), the Serbian Orthodox Church, and the Jerusalem Patriarchate — either rejected or refused to endorse the Balamand Agreement. The Georgian Orthodox Church and others expressed similar reservations. The theological dialogue has continued, though at a considerably reduced pace, and the unresolved question of the Eastern Catholic churches remains the most acute practical obstacle to Catholic-Orthodox ra</w:t>
      </w:r>
      <w:r>
        <w:t>pprochement.</w:t>
      </w:r>
    </w:p>
    <w:p w14:paraId="6A52C15A" w14:textId="77777777" w:rsidR="000E133F" w:rsidRDefault="00EC5ECA">
      <w:pPr>
        <w:pStyle w:val="Heading3"/>
      </w:pPr>
      <w:bookmarkStart w:id="115" w:name="_Toc232765342"/>
      <w:r>
        <w:t>9.2 Orthodox-Protestant Dialogue and the WCC</w:t>
      </w:r>
      <w:bookmarkEnd w:id="115"/>
    </w:p>
    <w:p w14:paraId="03D08885" w14:textId="77777777" w:rsidR="000E133F" w:rsidRDefault="00EC5ECA">
      <w:pPr>
        <w:pStyle w:val="Heading4"/>
      </w:pPr>
      <w:r>
        <w:t>The World Council of Churches and the Orthodox Presence</w:t>
      </w:r>
    </w:p>
    <w:p w14:paraId="7211FC3A" w14:textId="77777777" w:rsidR="000E133F" w:rsidRDefault="00EC5ECA">
      <w:pPr>
        <w:spacing w:before="60" w:after="140" w:line="360" w:lineRule="auto"/>
      </w:pPr>
      <w:r>
        <w:t>The World Council of Churches (WCC), founded in Amsterdam in 1948, represents the most significant institutional expression of the 20th-century ecumenical movement, and the Orthodox participation in it has been one of the most theologically complex and ecclesiologically fraught commitments of modern Orthodoxy. The Orthodox churches did not participate in the inaugural 1948 Assembly — the initial response was cautious — but the Ecumenical Patriarchate and several other Orthodox churches joined the WCC beginn</w:t>
      </w:r>
      <w:r>
        <w:t>ing in 1948, and the Russian Orthodox Church joined in 1961. By the 1970s, virtually all the autocephalous Orthodox churches were WCC members.</w:t>
      </w:r>
    </w:p>
    <w:p w14:paraId="370639D4" w14:textId="77777777" w:rsidR="000E133F" w:rsidRDefault="00EC5ECA">
      <w:pPr>
        <w:spacing w:before="60" w:after="140" w:line="360" w:lineRule="auto"/>
      </w:pPr>
      <w:r>
        <w:t xml:space="preserve">The Orthodox understanding of their participation in the WCC has been consistently articulated in terms of witness and dialogue rather than membership in an emerging super-church. The Orthodox have never accepted the ecclesiological self-understanding of the WCC as a fellowship of churches seeking visible unity; from the Orthodox perspective, the Church is already visibly one — it is the Orthodox Church — and the </w:t>
      </w:r>
      <w:r>
        <w:lastRenderedPageBreak/>
        <w:t>goal of ecumenism is the return of separated communities to the fullness of the one Church, not the creation of a new unified entity through the pooling of ecclesial resources. This understanding places the Orthodox in an inherently uncomfortable relationship with the WCC's institutional self-understanding, and the tension has been a permanent feature of Orthodox participation.</w:t>
      </w:r>
    </w:p>
    <w:p w14:paraId="04E53E21" w14:textId="77777777" w:rsidR="000E133F" w:rsidRDefault="00EC5ECA">
      <w:pPr>
        <w:spacing w:before="60" w:after="140" w:line="360" w:lineRule="auto"/>
      </w:pPr>
      <w:r>
        <w:t>The practical tensions came to a head in the 1990s, when the WCC's theological agenda moved increasingly in directions that the Orthodox churches found unacceptable. Issues included the ordination of women to the priesthood (which the WCC came to support, while the Orthodox maintain it is impossible), the blessing of same-sex unions, common prayer services that seemed to blur the boundaries between Christian and non-Christian worship, and a general drift toward a Protestant-liberal theological consensus tha</w:t>
      </w:r>
      <w:r>
        <w:t>t the Orthodox found alien to the patristic tradition they were committed to embodying. In 1997, the Georgian Orthodox Church formally withdrew from the WCC, and the Bulgarian Orthodox Church similarly withdrew in 1998. Both cited the same concerns: the WCC's drift from Christian theological foundations and the impossibility of continuing participation without appearing to endorse positions that the Orthodox must reject as contrary to the apostolic tradition.</w:t>
      </w:r>
    </w:p>
    <w:p w14:paraId="698D2FBC" w14:textId="77777777" w:rsidR="000E133F" w:rsidRDefault="00EC5ECA">
      <w:pPr>
        <w:spacing w:before="60" w:after="140" w:line="360" w:lineRule="auto"/>
      </w:pPr>
      <w:r>
        <w:t>The Ecumenical Patriarchate and other Orthodox churches have continued their WCC membership while pressing for reform of the WCC's structure and methodology. The Special Commission on Orthodox Participation in the WCC, established in 1998, produced a report in 2002 (the "Porto Alegre Report") that recommended significant changes in WCC structures, including the separation of confessional voting so that Orthodox churches cannot be outvoted by Protestant majorities on theological issues. Some of these recomme</w:t>
      </w:r>
      <w:r>
        <w:t>ndations were partially implemented, but the fundamental tensions remain unresolved.</w:t>
      </w:r>
    </w:p>
    <w:p w14:paraId="686D1E87" w14:textId="77777777" w:rsidR="000E133F" w:rsidRDefault="00EC5ECA">
      <w:pPr>
        <w:pStyle w:val="Heading4"/>
      </w:pPr>
      <w:r>
        <w:t>The BEM Document and Orthodox Responses</w:t>
      </w:r>
    </w:p>
    <w:p w14:paraId="3D391C13" w14:textId="77777777" w:rsidR="000E133F" w:rsidRDefault="00EC5ECA">
      <w:pPr>
        <w:spacing w:before="60" w:after="140" w:line="360" w:lineRule="auto"/>
      </w:pPr>
      <w:r>
        <w:t xml:space="preserve">The most significant multilateral ecumenical document produced in the 20th century was the </w:t>
      </w:r>
      <w:r>
        <w:rPr>
          <w:i/>
          <w:iCs/>
        </w:rPr>
        <w:t>Baptism, Eucharist and Ministry</w:t>
      </w:r>
      <w:r>
        <w:t xml:space="preserve"> text (popularly known as the "Lima Text" or BEM document), adopted unanimously by the Faith and Order Commission of the WCC at its meeting in Lima, Peru, in January 1982. The BEM document represented more </w:t>
      </w:r>
      <w:r>
        <w:lastRenderedPageBreak/>
        <w:t>than fifty years of multilateral theological convergence and was sent to all member churches of the WCC with the request for an official response indicating "the extent to which your church can recognize in this text the faith of the Church through the ages."</w:t>
      </w:r>
    </w:p>
    <w:p w14:paraId="52F6E87B" w14:textId="77777777" w:rsidR="000E133F" w:rsidRDefault="00EC5ECA">
      <w:pPr>
        <w:spacing w:before="60" w:after="140" w:line="360" w:lineRule="auto"/>
      </w:pPr>
      <w:r>
        <w:t xml:space="preserve">Orthodox participation in the drafting of BEM was substantial and genuine: Orthodox theologians contributed significantly to the document's statements on baptismal regeneration, eucharistic real presence, and the apostolic character of ministry. The BEM document on Eucharist affirms real presence in terms that the Orthodox find largely acceptable: "The eucharistic meal is the sacrament of the body and blood of Christ, the sacrament of his real presence" (§13). It also affirms the epiclesis — the invocation </w:t>
      </w:r>
      <w:r>
        <w:t>of the Holy Spirit — as essential to the eucharistic prayer: "The Spirit makes the crucified and risen Christ really present to us in the eucharistic meal, fulfilling the promise contained in the words of institution" (§14). And the BEM document on Ministry affirms the threefold order of bishop, priest, and deacon and its connection to apostolic succession, in terms that are closer to the Orthodox position than to classical Protestant ecclesiology.</w:t>
      </w:r>
    </w:p>
    <w:p w14:paraId="65419FE2" w14:textId="77777777" w:rsidR="000E133F" w:rsidRDefault="00EC5ECA">
      <w:pPr>
        <w:spacing w:before="60" w:after="140" w:line="360" w:lineRule="auto"/>
      </w:pPr>
      <w:r>
        <w:t>Nevertheless, the official Orthodox responses to BEM — produced by most Orthodox churches in the late 1980s — expressed significant reservations. The most fundamental was ecclesiological: BEM can be read as providing a framework for convergence among churches that the Orthodox regard as not possessing valid sacraments or genuine apostolic succession. To treat BEM's statements on baptism, Eucharist, and ministry as establishing a common theological framework shared by all WCC member churches is, from an Orth</w:t>
      </w:r>
      <w:r>
        <w:t>odox perspective, to implicitly legitimize ecclesial communities whose sacramental life the Orthodox cannot recognize as valid. The Orthodox response from the Greek Orthodox Archdiocese of America (1985) stated: "The Orthodox Church is not one more among the confessional traditions... The Orthodox Church is not a 'divided' church. It is the Una Sancta of the Creeds." This insistence — that the Orthodox Church is the one undivided Church, not one branch among many — makes the BEM framework fundamentally prob</w:t>
      </w:r>
      <w:r>
        <w:t>lematic for Orthodox participation, however much individual elements of BEM may reflect genuine theological convergence.</w:t>
      </w:r>
    </w:p>
    <w:p w14:paraId="219F7BD8" w14:textId="77777777" w:rsidR="000E133F" w:rsidRDefault="00EC5ECA">
      <w:pPr>
        <w:spacing w:before="60" w:after="140" w:line="360" w:lineRule="auto"/>
      </w:pPr>
      <w:r>
        <w:lastRenderedPageBreak/>
        <w:t>The Orthodox responses also noted specific inadequacies in the BEM text. On baptism, while affirming the value of the convergence on baptismal regeneration, the Orthodox noted that BEM's treatment of infant baptism was insufficiently definitive and failed to express the full Orthodox theology of baptism as initiating the catechumen into the complete sacramental life of the Church (including immediate reception of Chrismation and Eucharist). On ministry, the Orthodox noted that BEM's treatment of apostolic s</w:t>
      </w:r>
      <w:r>
        <w:t>uccession was insufficiently precise about the necessity of episcopal succession for valid ordination — a point on which the Orthodox and most Protestant churches remain in fundamental disagreement.</w:t>
      </w:r>
    </w:p>
    <w:p w14:paraId="7E5EBFAB" w14:textId="77777777" w:rsidR="000E133F" w:rsidRDefault="00EC5ECA">
      <w:pPr>
        <w:pStyle w:val="Heading3"/>
      </w:pPr>
      <w:bookmarkStart w:id="116" w:name="_Toc232765343"/>
      <w:r>
        <w:t>9.3 The Neo-Patristic Synthesis: Florovsky's Program for Orthodox Self-Definition</w:t>
      </w:r>
      <w:bookmarkEnd w:id="116"/>
    </w:p>
    <w:p w14:paraId="13EBF7CA" w14:textId="77777777" w:rsidR="000E133F" w:rsidRDefault="00EC5ECA">
      <w:pPr>
        <w:pStyle w:val="Heading4"/>
      </w:pPr>
      <w:r>
        <w:t>The Problem of "Western Captivity"</w:t>
      </w:r>
    </w:p>
    <w:p w14:paraId="5E8DACD0" w14:textId="77777777" w:rsidR="000E133F" w:rsidRDefault="00EC5ECA">
      <w:pPr>
        <w:spacing w:before="60" w:after="140" w:line="360" w:lineRule="auto"/>
      </w:pPr>
      <w:r>
        <w:t>Georges Florovsky's programmatic essay "The Ways of Russian Theology" (</w:t>
      </w:r>
      <w:r>
        <w:rPr>
          <w:i/>
          <w:iCs/>
        </w:rPr>
        <w:t>Puti Russkogo Bogosloviia</w:t>
      </w:r>
      <w:r>
        <w:t>, 1937) is the defining document of 20th-century Orthodox theological method, and its central concept — the "pseudomorphosis" of Russian Orthodox theology through Western influence — remains one of the most illuminating and controversial diagnoses in the history of Christian thought. The term "pseudomorphosis" Florovsky borrowed from the cultural historian Oswald Spengler, who used it to describe a cultural formation that takes on the outward form of an alien culture without genuine</w:t>
      </w:r>
      <w:r>
        <w:t>ly assimilating its spirit — a crystal that appears to be of one mineral type while actually consisting of a different mineral that has grown into a pre-existing mold.</w:t>
      </w:r>
    </w:p>
    <w:p w14:paraId="7C2B9CBF" w14:textId="77777777" w:rsidR="000E133F" w:rsidRDefault="00EC5ECA">
      <w:pPr>
        <w:spacing w:before="60" w:after="140" w:line="360" w:lineRule="auto"/>
      </w:pPr>
      <w:r>
        <w:t>Florovsky applied this concept to the theological development of Russian Orthodoxy from the 17th century onward. The catastrophe of the schism of 1054 and the long centuries of political domination under the Mongols, followed by the Westernizing reforms of Peter the Great, had the effect of cutting Russian Orthodox theology off from its genuine patristic roots and forcing it to think and express itself in the categories borrowed first from the Counter-Reformation Catholic scholasticism of Kyiv (through figu</w:t>
      </w:r>
      <w:r>
        <w:t xml:space="preserve">res like Petro Mohyla, whose </w:t>
      </w:r>
      <w:r>
        <w:rPr>
          <w:i/>
          <w:iCs/>
        </w:rPr>
        <w:t>Orthodox Confession</w:t>
      </w:r>
      <w:r>
        <w:t xml:space="preserve"> of 1640 was heavily influenced by Jesuit scholasticism) and then from German Protestant Pietism and Idealist philosophy. </w:t>
      </w:r>
      <w:r>
        <w:lastRenderedPageBreak/>
        <w:t>The result was a Russian theological tradition that wore the outward garments of Orthodoxy — the liturgical forms, the icons, the patristic citations — while thinking in categories and presuppositions alien to the Greek patristic tradition that had produced these forms.</w:t>
      </w:r>
    </w:p>
    <w:p w14:paraId="30294EE3" w14:textId="77777777" w:rsidR="000E133F" w:rsidRDefault="00EC5ECA">
      <w:pPr>
        <w:spacing w:before="60" w:after="140" w:line="360" w:lineRule="auto"/>
      </w:pPr>
      <w:r>
        <w:t xml:space="preserve">The diagnosis had profound implications. If Russian Orthodox theology had been deformed by Western scholastic and Protestant categories, then its claims to represent authentic Orthodox tradition were compromised at the methodological level. The recovery of genuine Orthodox theology required a return to the Fathers — not as a mere recovery of patristic quotations, which could be deployed in support of any theological agenda, but as a recovery of the patristic </w:t>
      </w:r>
      <w:r>
        <w:rPr>
          <w:i/>
          <w:iCs/>
        </w:rPr>
        <w:t>mind</w:t>
      </w:r>
      <w:r>
        <w:t xml:space="preserve"> (</w:t>
      </w:r>
      <w:r>
        <w:rPr>
          <w:i/>
          <w:iCs/>
        </w:rPr>
        <w:t>phronema</w:t>
      </w:r>
      <w:r>
        <w:t>), the patristic way of thinking, seeing, and engaging theological questions.</w:t>
      </w:r>
    </w:p>
    <w:p w14:paraId="3BC42BEA" w14:textId="77777777" w:rsidR="000E133F" w:rsidRDefault="00EC5ECA">
      <w:pPr>
        <w:spacing w:before="60" w:after="140" w:line="360" w:lineRule="auto"/>
      </w:pPr>
      <w:r>
        <w:t>Florovsky articulated his positive program in the concept of the "Neo-Patristic Synthesis." He writes in his essay "The Ethos of the Orthodox Church":</w:t>
      </w:r>
    </w:p>
    <w:p w14:paraId="6FD5747D" w14:textId="77777777" w:rsidR="000E133F" w:rsidRDefault="00EC5ECA">
      <w:pPr>
        <w:spacing w:before="120" w:after="120" w:line="360" w:lineRule="auto"/>
        <w:ind w:left="720" w:right="720"/>
      </w:pPr>
      <w:r>
        <w:rPr>
          <w:i/>
          <w:iCs/>
          <w:color w:val="444444"/>
        </w:rPr>
        <w:t>"To follow the Fathers does not mean just to quote them. To follow the Fathers means to acquire their mind, their phronema... The Fathers were preoccupied not with systematizing dogma but with interpreting history — the history of God's dealings with humanity in Christ. The task of Orthodox theology is to continue this work — not to repeat patristic formulas but to think in the patristic way about the questions of our own time."</w:t>
      </w:r>
    </w:p>
    <w:p w14:paraId="6AE2E05C" w14:textId="77777777" w:rsidR="000E133F" w:rsidRDefault="00EC5ECA">
      <w:pPr>
        <w:spacing w:before="60" w:after="140" w:line="360" w:lineRule="auto"/>
      </w:pPr>
      <w:r>
        <w:t xml:space="preserve">The Neo-Patristic Synthesis is therefore not a program of historical retrieval for its own sake — not a commitment to inhabiting the 4th century as if the 20th century had not happened — but a methodological commitment to engaging contemporary questions with the patristic </w:t>
      </w:r>
      <w:r>
        <w:rPr>
          <w:i/>
          <w:iCs/>
        </w:rPr>
        <w:t>mind</w:t>
      </w:r>
      <w:r>
        <w:t>: the mind formed by the Scriptures, the liturgical tradition, the ascetic practice, and the conciliar definitions of the undivided Church. The organizing center of this mind, for Florovsky, is Chalcedonian Christology — the two-natures, one-hypostasis doctrine of the full humanity and full divinity of Christ — which Florovsky understood as the theological key that unlocks every other theological question, from anthropology to eschatology to ecclesiology.</w:t>
      </w:r>
    </w:p>
    <w:p w14:paraId="1CC61A7E" w14:textId="77777777" w:rsidR="000E133F" w:rsidRDefault="00EC5ECA">
      <w:pPr>
        <w:spacing w:before="60" w:after="140" w:line="360" w:lineRule="auto"/>
      </w:pPr>
      <w:r>
        <w:lastRenderedPageBreak/>
        <w:t>The significance of the Neo-Patristic Synthesis for ecumenical engagement is considerable. Florovsky argued that Orthodoxy's contribution to the ecumenical dialogue was not to adopt the theological categories of its partners but to offer the patristic tradition as the common theological heritage of the undivided Church. When the Orthodox engage in dialogue with Catholics and Protestants, they do so as representatives and custodians of a tradition that both Catholic and Protestant traditions have in some mea</w:t>
      </w:r>
      <w:r>
        <w:t>sure lost or distorted — not out of theological arrogance but out of genuine conviction that the patristic synthesis is the common inheritance of all Christians, from which the West has in various ways departed. The ecumenical task, from the Florovskian perspective, is not theological compromise but theological conversion — a return, by all parties, to the patristic foundations of the common faith.</w:t>
      </w:r>
    </w:p>
    <w:p w14:paraId="76F30AFE" w14:textId="77777777" w:rsidR="000E133F" w:rsidRDefault="00EC5ECA">
      <w:pPr>
        <w:spacing w:before="60" w:after="140" w:line="360" w:lineRule="auto"/>
      </w:pPr>
      <w:r>
        <w:t>Florovsky's program was enormously influential on subsequent Orthodox theological development. It shaped the work of Alexander Schmemann and John Meyendorff at Saint Vladimir's Seminary, the ecclesiological work of John Zizioulas, and the broader movement of Orthodox theological renewal in the 20th century. It also attracted criticism — most notably from Schmemann, who argued that the Neo-Patristic Synthesis was insufficiently attentive to the liturgical tradition as a theological source, and from younger O</w:t>
      </w:r>
      <w:r>
        <w:t>rthodox theologians who argued that the synthesis was too narrowly focused on the Greek patristic tradition and insufficiently attentive to the Syriac, Coptic, and other non-Greek patristic traditions. But as a programmatic framework, it remains the most influential statement of Orthodox theological method in the modern period.</w:t>
      </w:r>
    </w:p>
    <w:p w14:paraId="64F9AD74" w14:textId="77777777" w:rsidR="000E133F" w:rsidRDefault="00EC5ECA">
      <w:pPr>
        <w:pStyle w:val="Heading1"/>
        <w:pageBreakBefore/>
      </w:pPr>
      <w:bookmarkStart w:id="117" w:name="_Toc232765344"/>
      <w:r>
        <w:lastRenderedPageBreak/>
        <w:t>CHAPTER TEN</w:t>
      </w:r>
      <w:bookmarkEnd w:id="117"/>
    </w:p>
    <w:p w14:paraId="59802CA8" w14:textId="77777777" w:rsidR="000E133F" w:rsidRDefault="00EC5ECA">
      <w:pPr>
        <w:pStyle w:val="Heading2"/>
      </w:pPr>
      <w:bookmarkStart w:id="118" w:name="_Toc232765345"/>
      <w:r>
        <w:t>KEY ORTHODOX THEOLOGIANS: THOUGHT AND LEGACY</w:t>
      </w:r>
      <w:bookmarkEnd w:id="118"/>
    </w:p>
    <w:p w14:paraId="253E09FE" w14:textId="77777777" w:rsidR="000E133F" w:rsidRDefault="00EC5ECA">
      <w:pPr>
        <w:pStyle w:val="Heading3"/>
      </w:pPr>
      <w:bookmarkStart w:id="119" w:name="_Toc232765346"/>
      <w:r>
        <w:t>10.1 John of Damascus (c. 675–749)</w:t>
      </w:r>
      <w:bookmarkEnd w:id="119"/>
    </w:p>
    <w:p w14:paraId="58120A65" w14:textId="77777777" w:rsidR="000E133F" w:rsidRDefault="00EC5ECA">
      <w:pPr>
        <w:pStyle w:val="Heading4"/>
      </w:pPr>
      <w:r>
        <w:t>Life and Context</w:t>
      </w:r>
    </w:p>
    <w:p w14:paraId="4725BC94" w14:textId="77777777" w:rsidR="000E133F" w:rsidRDefault="00EC5ECA">
      <w:pPr>
        <w:spacing w:before="60" w:after="140" w:line="360" w:lineRule="auto"/>
      </w:pPr>
      <w:r>
        <w:t xml:space="preserve">John of Damascus was born in the last quarter of the seventh century in Damascus, then already under Arab Muslim rule, into a prominent Christian family that had served in the Umayyad court. His father Sergius had been a senior tax official for the Arab administration, and John followed him in this capacity before withdrawing, probably in the 710s, to the great monastery of Mar Saba in the Judaean desert, near Jerusalem, where he spent the remainder of his long life as a monk and theologian. His historical </w:t>
      </w:r>
      <w:r>
        <w:t>position is uniquely privileged: he wrote under Arab rule and thus outside the reach of the Byzantine imperial iconoclast edicts, which gave him the freedom to defend icon veneration openly when such defense was impossible within the empire. This geographical independence from Byzantine imperial power allowed him to become the theological grandfather of Nicaea II (787), which vindicated his positions forty years after his death.</w:t>
      </w:r>
    </w:p>
    <w:p w14:paraId="0DC04539" w14:textId="77777777" w:rsidR="000E133F" w:rsidRDefault="00EC5ECA">
      <w:pPr>
        <w:spacing w:before="60" w:after="140" w:line="360" w:lineRule="auto"/>
      </w:pPr>
      <w:r>
        <w:t>The tradition of the Church has honored him with the title "Doctor of the Church" (a title shared with the West, though it carries a slightly different institutional weight in Orthodox usage) and has celebrated his theological achievement as the completion of the patristic synthesis. He is often called "the last of the Fathers" — not because the patristic era ended with him in a simple chronological sense, but because he gathered and crystallized the entire previous patristic tradition in a synthetic system</w:t>
      </w:r>
      <w:r>
        <w:t xml:space="preserve"> that subsequent Orthodox theology has treated as normative.</w:t>
      </w:r>
    </w:p>
    <w:p w14:paraId="242C4BD0" w14:textId="77777777" w:rsidR="000E133F" w:rsidRDefault="00EC5ECA">
      <w:pPr>
        <w:pStyle w:val="Heading4"/>
      </w:pPr>
      <w:r>
        <w:t>The Fount of Knowledge as Systematic Theology</w:t>
      </w:r>
    </w:p>
    <w:p w14:paraId="52653591" w14:textId="77777777" w:rsidR="000E133F" w:rsidRDefault="00EC5ECA">
      <w:pPr>
        <w:spacing w:before="60" w:after="140" w:line="360" w:lineRule="auto"/>
      </w:pPr>
      <w:r>
        <w:t xml:space="preserve">John's magnum opus, </w:t>
      </w:r>
      <w:r>
        <w:rPr>
          <w:i/>
          <w:iCs/>
        </w:rPr>
        <w:t>The Fount of Knowledge</w:t>
      </w:r>
      <w:r>
        <w:t xml:space="preserve"> (</w:t>
      </w:r>
      <w:r>
        <w:rPr>
          <w:i/>
          <w:iCs/>
        </w:rPr>
        <w:t>Pēgē Gnōseōs</w:t>
      </w:r>
      <w:r>
        <w:t xml:space="preserve">), is the first comprehensive systematic theology in the Christian tradition — preceding Thomas Aquinas's </w:t>
      </w:r>
      <w:r>
        <w:rPr>
          <w:i/>
          <w:iCs/>
        </w:rPr>
        <w:t>Summa Theologiae</w:t>
      </w:r>
      <w:r>
        <w:t xml:space="preserve"> by five centuries and influencing it profoundly (Aquinas frequently cites "John Damascene" as one of his primary authorities). The </w:t>
      </w:r>
      <w:r>
        <w:rPr>
          <w:i/>
          <w:iCs/>
        </w:rPr>
        <w:t xml:space="preserve">Fount of </w:t>
      </w:r>
      <w:r>
        <w:rPr>
          <w:i/>
          <w:iCs/>
        </w:rPr>
        <w:lastRenderedPageBreak/>
        <w:t>Knowledge</w:t>
      </w:r>
      <w:r>
        <w:t xml:space="preserve"> is organized in three parts, each serving a distinct function in the overall theological project.</w:t>
      </w:r>
    </w:p>
    <w:p w14:paraId="0FC4CEB3" w14:textId="77777777" w:rsidR="000E133F" w:rsidRDefault="00EC5ECA">
      <w:pPr>
        <w:spacing w:before="60" w:after="140" w:line="360" w:lineRule="auto"/>
      </w:pPr>
      <w:r>
        <w:t xml:space="preserve">The first part, the </w:t>
      </w:r>
      <w:r>
        <w:rPr>
          <w:i/>
          <w:iCs/>
        </w:rPr>
        <w:t>Dialectica</w:t>
      </w:r>
      <w:r>
        <w:t xml:space="preserve"> (also titled the </w:t>
      </w:r>
      <w:r>
        <w:rPr>
          <w:i/>
          <w:iCs/>
        </w:rPr>
        <w:t>Philosophical Chapters</w:t>
      </w:r>
      <w:r>
        <w:t>), is a treatise on philosophical prolegomena — the Aristotelian and Neoplatonist conceptual tools that John considers necessary for doing theology. This section reflects John's conviction, shared with the Cappadocian Fathers, that Greek philosophy in its Aristotelian and Platonic forms represents a genuine contribution to human understanding that Christian theology can and should appropriate critically. He covers logic, categories, the theory of predication</w:t>
      </w:r>
      <w:r>
        <w:t xml:space="preserve">, the distinction of substance and accident, and the theory of definition — all of which will be needed in the dogmatic part of the work. John is not a naïve philosophical rationalist; he acknowledges explicitly that philosophy is a servant, not a master, of theology. But he insists that theological precision requires philosophical tools, and that the Fathers' use of Greek philosophical vocabulary was not a compromise with paganism but a providential preparation for the articulation of the Christian faith. </w:t>
      </w:r>
      <w:r>
        <w:t>This conviction would become a central principle in Florovsky's concept of "Christian Hellenism."</w:t>
      </w:r>
    </w:p>
    <w:p w14:paraId="0C3A6666" w14:textId="77777777" w:rsidR="000E133F" w:rsidRDefault="00EC5ECA">
      <w:pPr>
        <w:spacing w:before="60" w:after="140" w:line="360" w:lineRule="auto"/>
      </w:pPr>
      <w:r>
        <w:t xml:space="preserve">The second part, the </w:t>
      </w:r>
      <w:r>
        <w:rPr>
          <w:i/>
          <w:iCs/>
        </w:rPr>
        <w:t>History of Heresies</w:t>
      </w:r>
      <w:r>
        <w:t xml:space="preserve">, is a catalog and brief refutation of one hundred heresies from Simon Magus to Islam (which John treats as a heresy rather than a distinct religion — a polemically charged classification that reflects his context in the Arab caliphate). The heresiology is important not merely for its historical information but for its methodological principle: orthodoxy is defined by its boundary, and understanding what the Church has rejected is inseparable from understanding what it has affirmed. This </w:t>
      </w:r>
      <w:r>
        <w:t>principle — that heresy is not simply an intellectual error but a distortion of the experience of salvation, a wrong turn on the road of theosis — runs through the entire Orthodox understanding of doctrinal development.</w:t>
      </w:r>
    </w:p>
    <w:p w14:paraId="37770177" w14:textId="77777777" w:rsidR="000E133F" w:rsidRDefault="00EC5ECA">
      <w:pPr>
        <w:spacing w:before="60" w:after="140" w:line="360" w:lineRule="auto"/>
      </w:pPr>
      <w:r>
        <w:t xml:space="preserve">The third and most important part, the </w:t>
      </w:r>
      <w:r>
        <w:rPr>
          <w:i/>
          <w:iCs/>
        </w:rPr>
        <w:t>Exact Exposition of the Orthodox Faith</w:t>
      </w:r>
      <w:r>
        <w:t xml:space="preserve"> (</w:t>
      </w:r>
      <w:r>
        <w:rPr>
          <w:i/>
          <w:iCs/>
        </w:rPr>
        <w:t>Ekdosis Akribēs tēs Orthodoxou Pisteōs</w:t>
      </w:r>
      <w:r>
        <w:t xml:space="preserve">), is the systematic theology proper. Organized in one hundred chapters, it covers the following topics in sequence: the existence and nature of God (apophatic and cataphatic theology); the Trinity (extensive treatment of the Cappadocian Trinitarian theology, the distinction of ousia and hypostasis, perichoresis); </w:t>
      </w:r>
      <w:r>
        <w:lastRenderedPageBreak/>
        <w:t>creation (visible and invisible, the nature of angels and the material world); the nature of the human person (the sou</w:t>
      </w:r>
      <w:r>
        <w:t>l, free will, the image of God); the Incarnation (the fullest and most systematic treatment — thirty-two chapters devoted to the mystery of Christ); soteriology; the theological virtues; the Last Things (death, resurrection, judgment). The structure reflects the intellectual architecture of the patristic synthesis: from God, to creation, to the Fall, to the Incarnation as the recovery of creation's original vocation, to the eschatological fulfillment.</w:t>
      </w:r>
    </w:p>
    <w:p w14:paraId="6B8004B9" w14:textId="77777777" w:rsidR="000E133F" w:rsidRDefault="00EC5ECA">
      <w:pPr>
        <w:spacing w:before="60" w:after="140" w:line="360" w:lineRule="auto"/>
      </w:pPr>
      <w:r>
        <w:t xml:space="preserve">John's Trinitarian theology in the </w:t>
      </w:r>
      <w:r>
        <w:rPr>
          <w:i/>
          <w:iCs/>
        </w:rPr>
        <w:t>Exact Exposition</w:t>
      </w:r>
      <w:r>
        <w:t xml:space="preserve"> draws heavily on the Cappadocians — Basil the Great, Gregory of Nyssa, and Gregory of Nazianzus — whose distinction between </w:t>
      </w:r>
      <w:r>
        <w:rPr>
          <w:i/>
          <w:iCs/>
        </w:rPr>
        <w:t>ousia</w:t>
      </w:r>
      <w:r>
        <w:t xml:space="preserve"> (the common divine essence) and </w:t>
      </w:r>
      <w:r>
        <w:rPr>
          <w:i/>
          <w:iCs/>
        </w:rPr>
        <w:t>hypostasis</w:t>
      </w:r>
      <w:r>
        <w:t xml:space="preserve"> (the distinct personal properties of Father, Son, and Spirit) he transmits and elaborates. His contribution lies particularly in his systematic treatment of </w:t>
      </w:r>
      <w:r>
        <w:rPr>
          <w:i/>
          <w:iCs/>
        </w:rPr>
        <w:t>perichoresis</w:t>
      </w:r>
      <w:r>
        <w:t xml:space="preserve"> — the mutual indwelling and interpenetration of the three divine Persons — which he articulates with great precision: "Each of the hypostases dwells in </w:t>
      </w:r>
      <w:r>
        <w:t>the others entire and not divided, and they are united without confusion and divided without separation, which is beyond comprehension. For the union itself is incomprehensible... but the differentiation is perceived in the properties alone."</w:t>
      </w:r>
    </w:p>
    <w:p w14:paraId="29422CE3" w14:textId="77777777" w:rsidR="000E133F" w:rsidRDefault="00EC5ECA">
      <w:pPr>
        <w:spacing w:before="60" w:after="140" w:line="360" w:lineRule="auto"/>
      </w:pPr>
      <w:r>
        <w:t>John's Christology is explicitly Chalcedonian and sophisticated. His treatment of the communicatio idiomatum is a permanent contribution to the Orthodox theological vocabulary: "Each nature communicates its own [properties] to the other on account of the identity of the subsistence and the reciprocal interpenetration (</w:t>
      </w:r>
      <w:r>
        <w:rPr>
          <w:i/>
          <w:iCs/>
        </w:rPr>
        <w:t>perichoresis</w:t>
      </w:r>
      <w:r>
        <w:t>) of the parts." This means that the divine attributes — eternity, omnipotence, omniscience, impassibility — can legitimately be predicated of the human nature of Christ, and vice versa, because the two natures share a single subject (the divine hypostasis of the Son). John's treatment of Christ's human will, building on the work of Maximus the Confessor against Monothelitism, insists that Christ has a genuine human will that freely wills in accordance with the divine will — not because the huma</w:t>
      </w:r>
      <w:r>
        <w:t>n will is suppressed or overridden by the divine will, but because the fully free human will of the sinless Christ naturally and spontaneously wills what God wills.</w:t>
      </w:r>
    </w:p>
    <w:p w14:paraId="6AC0C7B8" w14:textId="77777777" w:rsidR="000E133F" w:rsidRDefault="00EC5ECA">
      <w:pPr>
        <w:spacing w:before="60" w:after="140" w:line="360" w:lineRule="auto"/>
      </w:pPr>
      <w:r>
        <w:lastRenderedPageBreak/>
        <w:t xml:space="preserve">John's defense of icon veneration in the </w:t>
      </w:r>
      <w:r>
        <w:rPr>
          <w:i/>
          <w:iCs/>
        </w:rPr>
        <w:t>Three Treatises on the Divine Images</w:t>
      </w:r>
      <w:r>
        <w:t xml:space="preserve"> has already been treated above in §8.1. It remains the foundational text for the Orthodox theology of iconography. His theological arguments for the veneration of relics and the intercession of saints — in Chapter 15 of the Third Treatise, "Concerning the Honor Due to Saints and Their Relics" — provide the patristic grounding for the veneration of saints treated in §7.4.</w:t>
      </w:r>
    </w:p>
    <w:p w14:paraId="00BAD416" w14:textId="77777777" w:rsidR="000E133F" w:rsidRDefault="00EC5ECA">
      <w:pPr>
        <w:spacing w:before="60" w:after="140" w:line="360" w:lineRule="auto"/>
      </w:pPr>
      <w:r>
        <w:t xml:space="preserve">The significance of John of Damascus for subsequent theology extends far beyond Orthodoxy. His </w:t>
      </w:r>
      <w:r>
        <w:rPr>
          <w:i/>
          <w:iCs/>
        </w:rPr>
        <w:t>Exact Exposition</w:t>
      </w:r>
      <w:r>
        <w:t xml:space="preserve"> was translated into Latin by Burgundio of Pisa in the 12th century and became a primary source for Peter Lombard and Thomas Aquinas. His influence on Western scholasticism is so pervasive that any serious understanding of medieval Catholic theology requires engagement with his work. He is, in a genuine sense, the theological bridge between East and West in the pre-Scholastic period — the figure through whom the Cappadocian and Maximian patristic synthesis was made available to Latin theolog</w:t>
      </w:r>
      <w:r>
        <w:t>y.</w:t>
      </w:r>
    </w:p>
    <w:p w14:paraId="1A66F53C" w14:textId="77777777" w:rsidR="000E133F" w:rsidRDefault="00EC5ECA">
      <w:pPr>
        <w:pStyle w:val="Heading3"/>
      </w:pPr>
      <w:bookmarkStart w:id="120" w:name="_Toc232765347"/>
      <w:r>
        <w:t>10.2 Maximus the Confessor (580–662)</w:t>
      </w:r>
      <w:bookmarkEnd w:id="120"/>
    </w:p>
    <w:p w14:paraId="7ADABCD6" w14:textId="77777777" w:rsidR="000E133F" w:rsidRDefault="00EC5ECA">
      <w:pPr>
        <w:pStyle w:val="Heading4"/>
      </w:pPr>
      <w:r>
        <w:t>Life, Suffering, and the Meaning of "Confessor"</w:t>
      </w:r>
    </w:p>
    <w:p w14:paraId="348B525E" w14:textId="77777777" w:rsidR="000E133F" w:rsidRDefault="00EC5ECA">
      <w:pPr>
        <w:spacing w:before="60" w:after="140" w:line="360" w:lineRule="auto"/>
      </w:pPr>
      <w:r>
        <w:t xml:space="preserve">Maximus the Confessor is, by the consensus of contemporary Orthodox theological scholarship, the most profound and comprehensive theologian in the Byzantine tradition — and the thinker whose thought most directly and decisively shapes the living Orthodox theology of the 20th and 21st centuries. He was born in Constantinople in 580, received an excellent classical education, and served in the imperial administration before withdrawing to the monastery of Chrysopolis around 614. The remainder of his life was </w:t>
      </w:r>
      <w:r>
        <w:t>dominated by the Monothelite controversy — the dispute over whether Christ had one will (the Monothelite position, favored by the emperors as a political compromise intended to reconcile Chalcedonians and Monophysites) or two wills (the Dyothelite position, which Maximus defended as the implication of Chalcedonian orthodoxy). Maximus's refusal to sign any formula of Monothelite compromise led to his arrest, trial, condemnation, exile, and ultimately mutilation: his right hand — the hand with which he had wr</w:t>
      </w:r>
      <w:r>
        <w:t xml:space="preserve">itten his theology — and his tongue were cut off, and he was exiled to Lazica on the Black Sea coast, where he died in 662 at the age of approximately 82. </w:t>
      </w:r>
      <w:r>
        <w:lastRenderedPageBreak/>
        <w:t>His theology was vindicated at the Third Council of Constantinople in 680–681, which defined that Christ possesses two wills — divine and human — as Maximus had argued.</w:t>
      </w:r>
    </w:p>
    <w:p w14:paraId="5FE3C2AD" w14:textId="77777777" w:rsidR="000E133F" w:rsidRDefault="00EC5ECA">
      <w:pPr>
        <w:spacing w:before="60" w:after="140" w:line="360" w:lineRule="auto"/>
      </w:pPr>
      <w:r>
        <w:t>The title "Confessor" (</w:t>
      </w:r>
      <w:r>
        <w:rPr>
          <w:i/>
          <w:iCs/>
        </w:rPr>
        <w:t>Homologētēs</w:t>
      </w:r>
      <w:r>
        <w:t>) designates one who suffers for the faith without dying as a martyr — one who "confesses" through suffering. In Maximus's case, the title carries a particular theological resonance: the man who insisted most profoundly on the genuine integrity of Christ's human will as the condition of human salvation was the one who chose, with his genuinely free human will, to suffer mutilation rather than compromise that theological conviction. His life is itself a theological argument.</w:t>
      </w:r>
    </w:p>
    <w:p w14:paraId="3FB06195" w14:textId="77777777" w:rsidR="000E133F" w:rsidRDefault="00EC5ECA">
      <w:pPr>
        <w:pStyle w:val="Heading4"/>
      </w:pPr>
      <w:r>
        <w:t>The Ambigua and the Resolution of Christological Debates</w:t>
      </w:r>
    </w:p>
    <w:p w14:paraId="6C9C58D5" w14:textId="77777777" w:rsidR="000E133F" w:rsidRDefault="00EC5ECA">
      <w:pPr>
        <w:spacing w:before="60" w:after="140" w:line="360" w:lineRule="auto"/>
      </w:pPr>
      <w:r>
        <w:t xml:space="preserve">The </w:t>
      </w:r>
      <w:r>
        <w:rPr>
          <w:i/>
          <w:iCs/>
        </w:rPr>
        <w:t>Ambigua</w:t>
      </w:r>
      <w:r>
        <w:t xml:space="preserve"> (</w:t>
      </w:r>
      <w:r>
        <w:rPr>
          <w:i/>
          <w:iCs/>
        </w:rPr>
        <w:t>Ambiguorum Liber</w:t>
      </w:r>
      <w:r>
        <w:t xml:space="preserve"> — literally, "The Book of Difficult [Passages]") is Maximus's most technically demanding work: a series of extended commentaries on difficult or obscure passages in Gregory of Nazianzus (the "Theologian"), combined with digressions and excursuses that develop his own theological system. The work is not organized as a systematic treatise; it is a collection of connected theological explorations that, taken together, constitute the most sophisticated theology of the person in the pat</w:t>
      </w:r>
      <w:r>
        <w:t>ristic tradition.</w:t>
      </w:r>
    </w:p>
    <w:p w14:paraId="4508DD10" w14:textId="77777777" w:rsidR="000E133F" w:rsidRDefault="00EC5ECA">
      <w:pPr>
        <w:spacing w:before="60" w:after="140" w:line="360" w:lineRule="auto"/>
      </w:pPr>
      <w:r>
        <w:t xml:space="preserve">The central theological problem that the </w:t>
      </w:r>
      <w:r>
        <w:rPr>
          <w:i/>
          <w:iCs/>
        </w:rPr>
        <w:t>Ambigua</w:t>
      </w:r>
      <w:r>
        <w:t xml:space="preserve"> addresses is the Origenist legacy — specifically, the cosmological scheme attributed to Origen in which all souls pre-exist in a condition of contemplative unity with God, fall through spiritual satiation and distraction, are incarnated in matter as a divine punishment/remediation, and ultimately return to the original unity through spiritual ascent. Maximus refutes this scheme root and branch, insisting that creation is good, that the Incarnation is not a remediation of creation but its fulfillment</w:t>
      </w:r>
      <w:r>
        <w:t>, and that the divine plan from the beginning was the union of the created with the uncreated in the Person of the divine Word.</w:t>
      </w:r>
    </w:p>
    <w:p w14:paraId="0015880E" w14:textId="77777777" w:rsidR="000E133F" w:rsidRDefault="00EC5ECA">
      <w:pPr>
        <w:spacing w:before="60" w:after="140" w:line="360" w:lineRule="auto"/>
      </w:pPr>
      <w:r>
        <w:t xml:space="preserve">The </w:t>
      </w:r>
      <w:r>
        <w:rPr>
          <w:i/>
          <w:iCs/>
        </w:rPr>
        <w:t>Ambiguum</w:t>
      </w:r>
      <w:r>
        <w:t xml:space="preserve"> 41 is perhaps the most important single text in the entire patristic corpus for understanding the Orthodox theology of the Incarnation and its cosmic significance. Maximus argues there that the entire created order was divided into five pairs of opposites — uncreated/created, intelligible/sensible, heaven/earth, paradise/inhabited world, male/female — and that the vocation of the human being, as the microcosm and mediator of all creation, was to overcome each of these divisions in </w:t>
      </w:r>
      <w:r>
        <w:lastRenderedPageBreak/>
        <w:t xml:space="preserve">sequence through </w:t>
      </w:r>
      <w:r>
        <w:t xml:space="preserve">the perfect exercise of free will in conformity with the divine </w:t>
      </w:r>
      <w:r>
        <w:rPr>
          <w:i/>
          <w:iCs/>
        </w:rPr>
        <w:t>logos</w:t>
      </w:r>
      <w:r>
        <w:t>. Adam failed in this vocation; Christ, the New Adam, accomplished it. Through His Incarnation, Christ united the uncreated and the created; through His perfect human obedience, He united the male and female; through His death and resurrection, He transcended the division of paradise and the inhabited world; through His Ascension, He united earth and heaven; and through His eternal Sonship, He is the eternal union of the intelligible and the sensible, the created and the uncreated. The entire cosmic drama o</w:t>
      </w:r>
      <w:r>
        <w:t>f salvation is structured by this Maximian vision of recapitulation as the progressive unification of all things in the Person of the incarnate Word.</w:t>
      </w:r>
    </w:p>
    <w:p w14:paraId="55114160" w14:textId="77777777" w:rsidR="000E133F" w:rsidRDefault="00EC5ECA">
      <w:pPr>
        <w:pStyle w:val="Heading4"/>
      </w:pPr>
      <w:r>
        <w:t>The Doctrine of the Logoi</w:t>
      </w:r>
    </w:p>
    <w:p w14:paraId="1205D3E0" w14:textId="77777777" w:rsidR="000E133F" w:rsidRDefault="00EC5ECA">
      <w:pPr>
        <w:spacing w:before="60" w:after="140" w:line="360" w:lineRule="auto"/>
      </w:pPr>
      <w:r>
        <w:t xml:space="preserve">Perhaps the most original and far-reaching contribution of Maximus to Orthodox theology is his doctrine of the </w:t>
      </w:r>
      <w:r>
        <w:rPr>
          <w:i/>
          <w:iCs/>
        </w:rPr>
        <w:t>logoi</w:t>
      </w:r>
      <w:r>
        <w:t xml:space="preserve"> — the divine rational principles that constitute the inner reality of every created being. Every creature has its </w:t>
      </w:r>
      <w:r>
        <w:rPr>
          <w:i/>
          <w:iCs/>
        </w:rPr>
        <w:t>logos</w:t>
      </w:r>
      <w:r>
        <w:t xml:space="preserve"> (plural: </w:t>
      </w:r>
      <w:r>
        <w:rPr>
          <w:i/>
          <w:iCs/>
        </w:rPr>
        <w:t>logoi</w:t>
      </w:r>
      <w:r>
        <w:t xml:space="preserve">) — its divine idea or principle — which is the way in which it participates in the divine Logos (the second Person of the Trinity) and which constitutes its genuine identity before God. The </w:t>
      </w:r>
      <w:r>
        <w:rPr>
          <w:i/>
          <w:iCs/>
        </w:rPr>
        <w:t>logoi</w:t>
      </w:r>
      <w:r>
        <w:t xml:space="preserve"> are not Platonic forms subsisting in a separate intelligible world; they are the divine creative intentions through which the Logos calls each creature into being and sustains</w:t>
      </w:r>
      <w:r>
        <w:t xml:space="preserve"> it in existence. Maximus writes in the </w:t>
      </w:r>
      <w:r>
        <w:rPr>
          <w:i/>
          <w:iCs/>
        </w:rPr>
        <w:t>Ambigua</w:t>
      </w:r>
      <w:r>
        <w:t xml:space="preserve"> 7:</w:t>
      </w:r>
    </w:p>
    <w:p w14:paraId="049DEAE1" w14:textId="77777777" w:rsidR="000E133F" w:rsidRDefault="00EC5ECA">
      <w:pPr>
        <w:spacing w:before="120" w:after="120" w:line="360" w:lineRule="auto"/>
        <w:ind w:left="720" w:right="720"/>
      </w:pPr>
      <w:r>
        <w:rPr>
          <w:i/>
          <w:iCs/>
          <w:color w:val="444444"/>
        </w:rPr>
        <w:t>"God, who is beyond fullness, brought creatures into being not because He had need of anything, but so that they might participate in Him in proportion to their capacity and that He Himself might rejoice in His works, seeing them joyful and ever being filled to overflowing with what is inexhaustible... The whole spiritual world seems mysteriously imprinted on the whole sensible world in symbolic forms, for those who are capable of seeing this; and the whole sensible world is spiritually explained in the min</w:t>
      </w:r>
      <w:r>
        <w:rPr>
          <w:i/>
          <w:iCs/>
          <w:color w:val="444444"/>
        </w:rPr>
        <w:t>d in principles (logoi) which transcend sense, for those who are capable of understanding it."</w:t>
      </w:r>
    </w:p>
    <w:p w14:paraId="39487D8D" w14:textId="77777777" w:rsidR="000E133F" w:rsidRDefault="00EC5ECA">
      <w:pPr>
        <w:spacing w:before="60" w:after="140" w:line="360" w:lineRule="auto"/>
      </w:pPr>
      <w:r>
        <w:t xml:space="preserve">The </w:t>
      </w:r>
      <w:r>
        <w:rPr>
          <w:i/>
          <w:iCs/>
        </w:rPr>
        <w:t>logoi</w:t>
      </w:r>
      <w:r>
        <w:t xml:space="preserve"> doctrine is enormously fruitful for Orthodox theology in several directions. Theologically, it provides the foundation for the Orthodox understanding of creation as genuinely participated being — the world is not a merely mechanical product of divine </w:t>
      </w:r>
      <w:r>
        <w:lastRenderedPageBreak/>
        <w:t>will but a living web of participations in the divine Logos, a sacramental transparency through which the Logos shines. Cosmologically, it grounds an Orthodox theology of creation's goodness and its eschatological destination: all creatures are moving tow</w:t>
      </w:r>
      <w:r>
        <w:t xml:space="preserve">ard their </w:t>
      </w:r>
      <w:r>
        <w:rPr>
          <w:i/>
          <w:iCs/>
        </w:rPr>
        <w:t>logos</w:t>
      </w:r>
      <w:r>
        <w:t xml:space="preserve">, toward their full participation in the divine Logos who is their origin and end. Spiritually, it provides the basis for the hesychast theology of theoria — the vision of the </w:t>
      </w:r>
      <w:r>
        <w:rPr>
          <w:i/>
          <w:iCs/>
        </w:rPr>
        <w:t>logoi</w:t>
      </w:r>
      <w:r>
        <w:t xml:space="preserve"> of creation as the vision of the divine Logos who holds them all in Himself.</w:t>
      </w:r>
    </w:p>
    <w:p w14:paraId="2D054C76" w14:textId="77777777" w:rsidR="000E133F" w:rsidRDefault="00EC5ECA">
      <w:pPr>
        <w:pStyle w:val="Heading4"/>
      </w:pPr>
      <w:r>
        <w:t>The Mystagogy and the Cosmic Liturgy</w:t>
      </w:r>
    </w:p>
    <w:p w14:paraId="3F531439" w14:textId="77777777" w:rsidR="000E133F" w:rsidRDefault="00EC5ECA">
      <w:pPr>
        <w:spacing w:before="60" w:after="140" w:line="360" w:lineRule="auto"/>
      </w:pPr>
      <w:r>
        <w:t xml:space="preserve">The </w:t>
      </w:r>
      <w:r>
        <w:rPr>
          <w:i/>
          <w:iCs/>
        </w:rPr>
        <w:t>Mystagogy</w:t>
      </w:r>
      <w:r>
        <w:t xml:space="preserve"> (</w:t>
      </w:r>
      <w:r>
        <w:rPr>
          <w:i/>
          <w:iCs/>
        </w:rPr>
        <w:t>Mystagogia</w:t>
      </w:r>
      <w:r>
        <w:t xml:space="preserve">) is Maximus's theological interpretation of the Divine Liturgy as a cosmic event — a text that has been enormously influential on subsequent Orthodox liturgical theology, especially the work of Alexander Schmemann. The </w:t>
      </w:r>
      <w:r>
        <w:rPr>
          <w:i/>
          <w:iCs/>
        </w:rPr>
        <w:t>Mystagogy</w:t>
      </w:r>
      <w:r>
        <w:t xml:space="preserve"> takes as its starting point a vision of the Church building as an image of the cosmos: the sanctuary corresponds to heaven, the nave to earth, the bishop to God, the priests to angels, and the faithful to humanity. But this is not merely an allegorical exercise</w:t>
      </w:r>
      <w:r>
        <w:t>; it is a statement about the ontological structure of the Church as the place where heaven and earth are united, where the cosmic drama of recapitulation is enacted liturgically.</w:t>
      </w:r>
    </w:p>
    <w:p w14:paraId="713BA1E0" w14:textId="77777777" w:rsidR="000E133F" w:rsidRDefault="00EC5ECA">
      <w:pPr>
        <w:spacing w:before="60" w:after="140" w:line="360" w:lineRule="auto"/>
      </w:pPr>
      <w:r>
        <w:t xml:space="preserve">Maximus's deepest insight in the </w:t>
      </w:r>
      <w:r>
        <w:rPr>
          <w:i/>
          <w:iCs/>
        </w:rPr>
        <w:t>Mystagogy</w:t>
      </w:r>
      <w:r>
        <w:t xml:space="preserve"> is that the liturgy is not simply an act of the Church; it is the act of the incarnate Word Himself, the eternal High Priest (Hebrews 4:14), who through His Body the Church continues to offer Himself to the Father and to unite the created order to the uncreated life of the Trinity. The </w:t>
      </w:r>
      <w:r>
        <w:rPr>
          <w:i/>
          <w:iCs/>
        </w:rPr>
        <w:t>Mystagogy</w:t>
      </w:r>
      <w:r>
        <w:t xml:space="preserve"> reads the various movements and texts of the liturgy as symbolic enactments of the soul's journey from multiplicity to unity, from the scattered world of sensory experience to the unified world of contempl</w:t>
      </w:r>
      <w:r>
        <w:t>ative participation in God.</w:t>
      </w:r>
    </w:p>
    <w:p w14:paraId="17BE000B" w14:textId="77777777" w:rsidR="000E133F" w:rsidRDefault="00EC5ECA">
      <w:pPr>
        <w:pStyle w:val="Heading4"/>
      </w:pPr>
      <w:r>
        <w:t>The Significance of Maximus for Modern Orthodox Theology</w:t>
      </w:r>
    </w:p>
    <w:p w14:paraId="6F146E99" w14:textId="77777777" w:rsidR="000E133F" w:rsidRDefault="00EC5ECA">
      <w:pPr>
        <w:spacing w:before="60" w:after="140" w:line="360" w:lineRule="auto"/>
      </w:pPr>
      <w:r>
        <w:t xml:space="preserve">The Maximian synthesis received its fullest modern exposition in the study of Hans Urs von Balthasar, </w:t>
      </w:r>
      <w:r>
        <w:rPr>
          <w:i/>
          <w:iCs/>
        </w:rPr>
        <w:t>Cosmic Liturgy: The Universe According to Maximus the Confessor</w:t>
      </w:r>
      <w:r>
        <w:t xml:space="preserve"> (first published in German in 1941). Though Balthasar was a Catholic theologian, his work was the first comprehensive Western academic study of Maximus and was instrumental in recovering Maximus for modern theology — both Catholic and Orthodox. On the Orthodox side, the theologian Lars Thunberg's </w:t>
      </w:r>
      <w:r>
        <w:rPr>
          <w:i/>
          <w:iCs/>
        </w:rPr>
        <w:t xml:space="preserve">Microcosm and </w:t>
      </w:r>
      <w:r>
        <w:rPr>
          <w:i/>
          <w:iCs/>
        </w:rPr>
        <w:lastRenderedPageBreak/>
        <w:t>Mediator: The Theological Anthropology of Maximus the Confessor</w:t>
      </w:r>
      <w:r>
        <w:t xml:space="preserve"> (1965) and his later </w:t>
      </w:r>
      <w:r>
        <w:rPr>
          <w:i/>
          <w:iCs/>
        </w:rPr>
        <w:t>Man and the Cosmos: The Vision of St. Maximus the C</w:t>
      </w:r>
      <w:r>
        <w:rPr>
          <w:i/>
          <w:iCs/>
        </w:rPr>
        <w:t>onfessor</w:t>
      </w:r>
      <w:r>
        <w:t xml:space="preserve"> (1985) provided equally important explorations.</w:t>
      </w:r>
    </w:p>
    <w:p w14:paraId="7DE3E428" w14:textId="77777777" w:rsidR="000E133F" w:rsidRDefault="00EC5ECA">
      <w:pPr>
        <w:spacing w:before="60" w:after="140" w:line="360" w:lineRule="auto"/>
      </w:pPr>
      <w:r>
        <w:t xml:space="preserve">Maximus's influence on 20th-century Orthodox theology is ubiquitous: Florovsky drew on his Christology for the Neo-Patristic Synthesis; Schmemann drew on the </w:t>
      </w:r>
      <w:r>
        <w:rPr>
          <w:i/>
          <w:iCs/>
        </w:rPr>
        <w:t>Mystagogy</w:t>
      </w:r>
      <w:r>
        <w:t xml:space="preserve"> for his liturgical theology; Meyendorff drew on his theology of the two wills for his understanding of the human freedom that makes theosis possible; and Zizioulas has drawn on his theology of the person for his relational ecclesiology. More than any other single thinker, Maximus the Confessor constitutes the theological backbone of living Orthodox theology.</w:t>
      </w:r>
    </w:p>
    <w:p w14:paraId="2AB4C70C" w14:textId="77777777" w:rsidR="000E133F" w:rsidRDefault="00EC5ECA">
      <w:pPr>
        <w:pStyle w:val="Heading3"/>
      </w:pPr>
      <w:bookmarkStart w:id="121" w:name="_Toc232765348"/>
      <w:r>
        <w:t>10.3 Symeon the New Theologian (949–1022)</w:t>
      </w:r>
      <w:bookmarkEnd w:id="121"/>
    </w:p>
    <w:p w14:paraId="7444DC37" w14:textId="77777777" w:rsidR="000E133F" w:rsidRDefault="00EC5ECA">
      <w:pPr>
        <w:pStyle w:val="Heading4"/>
      </w:pPr>
      <w:r>
        <w:t>The Title "New Theologian" and What It Means</w:t>
      </w:r>
    </w:p>
    <w:p w14:paraId="10C1276A" w14:textId="77777777" w:rsidR="000E133F" w:rsidRDefault="00EC5ECA">
      <w:pPr>
        <w:spacing w:before="60" w:after="140" w:line="360" w:lineRule="auto"/>
      </w:pPr>
      <w:r>
        <w:t>The designation "New Theologian" (</w:t>
      </w:r>
      <w:r>
        <w:rPr>
          <w:i/>
          <w:iCs/>
        </w:rPr>
        <w:t>Neos Theologos</w:t>
      </w:r>
      <w:r>
        <w:t>) given to Symeon is, in the Orthodox tradition, an extraordinary honor. Only three persons in the history of the Church have been granted the title "Theologian" without qualification: John the Apostle and Evangelist, Gregory of Nazianzus (the Cappadocian Father), and Symeon. The title, in Orthodox usage, does not mean "one who teaches theology" in the academic sense; it means "one who speaks of God from direct personal experience" — one whose theological knowledge is not derived from study and argument alo</w:t>
      </w:r>
      <w:r>
        <w:t xml:space="preserve">ne but from genuine encounter with the living God. To be a Theologian in this sense is to have seen what the hesychast tradition calls </w:t>
      </w:r>
      <w:r>
        <w:rPr>
          <w:i/>
          <w:iCs/>
        </w:rPr>
        <w:t>theoria</w:t>
      </w:r>
      <w:r>
        <w:t xml:space="preserve"> — the direct vision of the divine light — and to speak from that experience with the authority that experience confers.</w:t>
      </w:r>
    </w:p>
    <w:p w14:paraId="5D11C3AE" w14:textId="77777777" w:rsidR="000E133F" w:rsidRDefault="00EC5ECA">
      <w:pPr>
        <w:spacing w:before="60" w:after="140" w:line="360" w:lineRule="auto"/>
      </w:pPr>
      <w:r>
        <w:t>The word "New" in Symeon's title does not indicate novelty in the sense of innovation; it indicates renewal, the fresh actualization of the ancient prophetic and apostolic gift of direct divine encounter in a new historical context. Symeon was claiming — and the Church has acknowledged — that the apostolic gift of direct divine experience is not a historical relic confined to the age of the first disciples but a living reality available in every generation to those who pursue the hesychast life with suffici</w:t>
      </w:r>
      <w:r>
        <w:t>ent dedication and purity.</w:t>
      </w:r>
    </w:p>
    <w:p w14:paraId="0D8CD091" w14:textId="77777777" w:rsidR="000E133F" w:rsidRDefault="00EC5ECA">
      <w:pPr>
        <w:pStyle w:val="Heading4"/>
      </w:pPr>
      <w:r>
        <w:lastRenderedPageBreak/>
        <w:t>The Demand for Experiential Knowledge of God</w:t>
      </w:r>
    </w:p>
    <w:p w14:paraId="6E2A02CB" w14:textId="77777777" w:rsidR="000E133F" w:rsidRDefault="00EC5ECA">
      <w:pPr>
        <w:spacing w:before="60" w:after="140" w:line="360" w:lineRule="auto"/>
      </w:pPr>
      <w:r>
        <w:t xml:space="preserve">The distinctive characteristic of Symeon's theology — the feature that made him controversial in his own day and that remains his most significant contribution to Orthodox spiritual theology — is his absolute insistence on the necessity of conscious, experiential knowledge of the Holy Spirit as the norm of genuine Christian life. For Symeon, it is not sufficient to have been baptized, chrismated, and confirmed as a member of the Church; it is not sufficient to receive the Eucharist regularly and to observe </w:t>
      </w:r>
      <w:r>
        <w:t>the fasts and feasts of the liturgical calendar; it is not even sufficient to have studied theology and to hold orthodox doctrinal positions. What is required — what genuine Christian life demands, what the New Testament presupposes and the Fathers teach — is a conscious, experiential awareness of the presence of the Holy Spirit: a felt sense of the divine light, a living encounter with the Risen Christ.</w:t>
      </w:r>
    </w:p>
    <w:p w14:paraId="5CBA27D2" w14:textId="77777777" w:rsidR="000E133F" w:rsidRDefault="00EC5ECA">
      <w:pPr>
        <w:spacing w:before="60" w:after="140" w:line="360" w:lineRule="auto"/>
      </w:pPr>
      <w:r>
        <w:t xml:space="preserve">Symeon articulates this conviction in a number of his </w:t>
      </w:r>
      <w:r>
        <w:rPr>
          <w:i/>
          <w:iCs/>
        </w:rPr>
        <w:t>Catechetical Discourses</w:t>
      </w:r>
      <w:r>
        <w:t>, delivered to the monks of his monastery of Saint Mamas in Constantinople. In Discourse 34, he writes with characteristic intensity:</w:t>
      </w:r>
    </w:p>
    <w:p w14:paraId="6C9689B7" w14:textId="77777777" w:rsidR="000E133F" w:rsidRDefault="00EC5ECA">
      <w:pPr>
        <w:spacing w:before="120" w:after="120" w:line="360" w:lineRule="auto"/>
        <w:ind w:left="720" w:right="720"/>
      </w:pPr>
      <w:r>
        <w:rPr>
          <w:i/>
          <w:iCs/>
          <w:color w:val="444444"/>
        </w:rPr>
        <w:t>"Tell me, brother, do you know the One who dwells in you? I do not mean 'know' in the sense of knowing that He is there — for this even those who will be condemned know, even the demons know it and tremble (James 2:19) — I mean 'know' in the sense of consciously perceiving His presence, feeling His warmth, being illuminated by His light, sensing His grace... The one who has not consciously experienced this has not yet truly begun the Christian life; he has been born, as it were, but not yet breathed."</w:t>
      </w:r>
    </w:p>
    <w:p w14:paraId="662E16EE" w14:textId="77777777" w:rsidR="000E133F" w:rsidRDefault="00EC5ECA">
      <w:pPr>
        <w:spacing w:before="60" w:after="140" w:line="360" w:lineRule="auto"/>
      </w:pPr>
      <w:r>
        <w:t>The metaphor of breathing is characteristic: Symeon's insistence is not that the baptized person is not in a state of grace, but that grace has not yet been consciously received and experienced. There is a difference between being baptized — objectively incorporated into the Body of Christ, with the seeds of divine life planted in the soul — and having that divine life consciously awakened, experienced, and perceived. The spiritual life, for Symeon, is precisely the journey from the former state to the latt</w:t>
      </w:r>
      <w:r>
        <w:t>er.</w:t>
      </w:r>
    </w:p>
    <w:p w14:paraId="1132A692" w14:textId="77777777" w:rsidR="000E133F" w:rsidRDefault="00EC5ECA">
      <w:pPr>
        <w:spacing w:before="60" w:after="140" w:line="360" w:lineRule="auto"/>
      </w:pPr>
      <w:r>
        <w:lastRenderedPageBreak/>
        <w:t>This insistence brought Symeon into conflict with the institutional theology of the court theologians of Constantinople, particularly Stephanos of Nicomedia, who represented a more cautious, institutional understanding of Christian life in which sacramental participation was held to be sufficient without requiring the kind of intense personal mystical experience Symeon demanded. The controversy extended to Symeon's veneration of his own spiritual father, Symeon the Pious, as a saint before his official glor</w:t>
      </w:r>
      <w:r>
        <w:t>ification by the Church — an act that asserted the charismatic authority of the personal saint-making power of spiritual fatherhood over the institutional authority of official canonization. Symeon was eventually exiled from Constantinople in 1009, though the sentence was later reversed and he spent his remaining years in a small monastic community near Chrysopolis.</w:t>
      </w:r>
    </w:p>
    <w:p w14:paraId="5F2CD70D" w14:textId="77777777" w:rsidR="000E133F" w:rsidRDefault="00EC5ECA">
      <w:pPr>
        <w:pStyle w:val="Heading4"/>
      </w:pPr>
      <w:r>
        <w:t>The Hymns of Divine Love</w:t>
      </w:r>
    </w:p>
    <w:p w14:paraId="5642E769" w14:textId="77777777" w:rsidR="000E133F" w:rsidRDefault="00EC5ECA">
      <w:pPr>
        <w:spacing w:before="60" w:after="140" w:line="360" w:lineRule="auto"/>
      </w:pPr>
      <w:r>
        <w:t xml:space="preserve">The </w:t>
      </w:r>
      <w:r>
        <w:rPr>
          <w:i/>
          <w:iCs/>
        </w:rPr>
        <w:t>Hymns of Divine Love</w:t>
      </w:r>
      <w:r>
        <w:t xml:space="preserve"> — fifty-eight extended poems, ranging from brief lyrical outbursts to extended theological meditations — constitute the most remarkable body of mystical poetry in the Orthodox tradition and one of the great mystical documents in the history of Christianity. They are the direct expression of Symeon's personal mystical experiences — his vision of the divine light, his encounter with Christ in the form of light, his overwhelming awareness of the divine love — and they use the boldest possi</w:t>
      </w:r>
      <w:r>
        <w:t>ble metaphors to capture what is by nature beyond language.</w:t>
      </w:r>
    </w:p>
    <w:p w14:paraId="5FB4913E" w14:textId="77777777" w:rsidR="000E133F" w:rsidRDefault="00EC5ECA">
      <w:pPr>
        <w:spacing w:before="60" w:after="140" w:line="360" w:lineRule="auto"/>
      </w:pPr>
      <w:r>
        <w:t>Several of the hymns develop the paradox of divine light with particular intensity. In Hymn 15, Symeon describes his experience of the divine vision:</w:t>
      </w:r>
    </w:p>
    <w:p w14:paraId="2D34D928" w14:textId="77777777" w:rsidR="000E133F" w:rsidRDefault="00EC5ECA">
      <w:pPr>
        <w:spacing w:before="120" w:after="120" w:line="360" w:lineRule="auto"/>
        <w:ind w:left="720" w:right="720"/>
      </w:pPr>
      <w:r>
        <w:rPr>
          <w:i/>
          <w:iCs/>
          <w:color w:val="444444"/>
        </w:rPr>
        <w:t>"I know that the Immovable comes down; I know that the Invisible appears to me; I know that he who is far outside the whole creation takes me within himself and hides me in his arms, and then I find myself outside the whole world. I, a frail, small mortal in the world, behold the Creator of the world, all of Him, within myself; and I know that I shall not die, for I am within the Life, I have the whole of Life springing up as a fountain within me. He is in my heart, He is in heaven: both there and here He s</w:t>
      </w:r>
      <w:r>
        <w:rPr>
          <w:i/>
          <w:iCs/>
          <w:color w:val="444444"/>
        </w:rPr>
        <w:t>hows himself to me with equal glory."</w:t>
      </w:r>
    </w:p>
    <w:p w14:paraId="5F7BA101" w14:textId="77777777" w:rsidR="000E133F" w:rsidRDefault="00EC5ECA">
      <w:pPr>
        <w:spacing w:before="60" w:after="140" w:line="360" w:lineRule="auto"/>
      </w:pPr>
      <w:r>
        <w:lastRenderedPageBreak/>
        <w:t>The theological precision embedded in this apparently purely experiential text is considerable. Symeon insists simultaneously on divine immanence ("within myself," "in my heart") and divine transcendence ("the Immovable," "outside the whole creation"); he insists on his own genuine smallness ("frail, small mortal") against which the divine condescension appears all the more astonishing; and he insists that the experience is not absorption or annihilation but genuine presence — he knows the Creator "within m</w:t>
      </w:r>
      <w:r>
        <w:t>yself" while knowing that the Creator remains "in heaven." This is the essence-energies distinction in experiential form, decades before Palamas would articulate it systematically.</w:t>
      </w:r>
    </w:p>
    <w:p w14:paraId="24DC9C86" w14:textId="77777777" w:rsidR="000E133F" w:rsidRDefault="00EC5ECA">
      <w:pPr>
        <w:spacing w:before="60" w:after="140" w:line="360" w:lineRule="auto"/>
      </w:pPr>
      <w:r>
        <w:t xml:space="preserve">Symeon also developed an important theology of </w:t>
      </w:r>
      <w:r>
        <w:rPr>
          <w:i/>
          <w:iCs/>
        </w:rPr>
        <w:t>penthos</w:t>
      </w:r>
      <w:r>
        <w:t xml:space="preserve"> — compunction, the sorrowful tenderness of the heart before God that is simultaneously grief for sin and joy in divine love. Penthos, for Symeon, is not merely a psychological state but a spiritual gift — a sign of genuine perception of one's own spiritual poverty and of the divine mercy that meets that poverty. It is the continuous atmosphere of genuine prayer and the soil from which the divine encounter grows.</w:t>
      </w:r>
    </w:p>
    <w:p w14:paraId="3E6D8F81" w14:textId="77777777" w:rsidR="000E133F" w:rsidRDefault="00EC5ECA">
      <w:pPr>
        <w:pStyle w:val="Heading3"/>
      </w:pPr>
      <w:bookmarkStart w:id="122" w:name="_Toc232765349"/>
      <w:r>
        <w:t>10.4 Gregory Palamas (1296–1359)</w:t>
      </w:r>
      <w:bookmarkEnd w:id="122"/>
    </w:p>
    <w:p w14:paraId="0C272501" w14:textId="77777777" w:rsidR="000E133F" w:rsidRDefault="00EC5ECA">
      <w:pPr>
        <w:pStyle w:val="Heading4"/>
      </w:pPr>
      <w:r>
        <w:t>A Full Theological Portrait</w:t>
      </w:r>
    </w:p>
    <w:p w14:paraId="54C3425F" w14:textId="77777777" w:rsidR="000E133F" w:rsidRDefault="00EC5ECA">
      <w:pPr>
        <w:spacing w:before="60" w:after="140" w:line="360" w:lineRule="auto"/>
      </w:pPr>
      <w:r>
        <w:t>The theological portrait of Gregory Palamas has already been substantially developed in §8.4 above, where his response to Barlaam and the systematic content of the essence-energies distinction were set out in detail. This section provides the broader portrait of Palamas as a theological figure — his formation, his ecclesial career, and the place that his theology occupies in the total economy of Orthodox thought.</w:t>
      </w:r>
    </w:p>
    <w:p w14:paraId="61D61A64" w14:textId="77777777" w:rsidR="000E133F" w:rsidRDefault="00EC5ECA">
      <w:pPr>
        <w:spacing w:before="60" w:after="140" w:line="360" w:lineRule="auto"/>
      </w:pPr>
      <w:r>
        <w:t>Gregory Palamas was born in Constantinople in 1296, the son of a nobleman at the court of Andronikos II. After his father's death while Gregory was still an adolescent, the young Gregory received the traditional Aristotelian philosophical education of a Byzantine nobleman — an education that would later equip him to engage Barlaam's philosophical arguments on their own terms. Around 1316, Palamas retired to Mount Athos — the Holy Mountain — where he entered upon the hesychast life under the guidance of expe</w:t>
      </w:r>
      <w:r>
        <w:t>rienced monks. He spent twenty years on Athos before the controversy with Barlaam forced him into the public theological arena.</w:t>
      </w:r>
    </w:p>
    <w:p w14:paraId="6DBF4D09" w14:textId="77777777" w:rsidR="000E133F" w:rsidRDefault="00EC5ECA">
      <w:pPr>
        <w:spacing w:before="60" w:after="140" w:line="360" w:lineRule="auto"/>
      </w:pPr>
      <w:r>
        <w:lastRenderedPageBreak/>
        <w:t>Palamas's political and ecclesiastical career was as turbulent as the theological controversy that gave rise to it. The victory of his theology at the first Hesychast Synod (1341) coincided with the death of Emperor Andronikos III, which precipitated a civil war between John VI Kantakouzenos (a supporter of Palamas) and John V Palaeologus (whose regency government supported Palamas's opponents). Palamas was arrested and imprisoned between 1343 and 1347. During this imprisonment he composed several important</w:t>
      </w:r>
      <w:r>
        <w:t xml:space="preserve"> theological treatises, including his response to the attacks of Akindynos (who had taken up Barlaam's cause after Barlaam's departure to the West). He was finally released when Kantakouzenos defeated his rivals and became emperor, and in 1347 Palamas was consecrated Archbishop of Thessalonica — though his entry into the city was initially prevented by the anti-Palamite faction and he was able to take up his see only in 1350. He remained Archbishop of Thessalonica until his death in 1359, exercising a minis</w:t>
      </w:r>
      <w:r>
        <w:t>try that combined pastoral care for his flock with continued theological writing and participation in synodal affairs.</w:t>
      </w:r>
    </w:p>
    <w:p w14:paraId="5EFB42E3" w14:textId="77777777" w:rsidR="000E133F" w:rsidRDefault="00EC5ECA">
      <w:pPr>
        <w:pStyle w:val="Heading4"/>
      </w:pPr>
      <w:r>
        <w:t>The *Triads* and the *One Hundred and Fifty Chapters*</w:t>
      </w:r>
    </w:p>
    <w:p w14:paraId="6841D89A" w14:textId="77777777" w:rsidR="000E133F" w:rsidRDefault="00EC5ECA">
      <w:pPr>
        <w:spacing w:before="60" w:after="140" w:line="360" w:lineRule="auto"/>
      </w:pPr>
      <w:r>
        <w:t xml:space="preserve">The </w:t>
      </w:r>
      <w:r>
        <w:rPr>
          <w:i/>
          <w:iCs/>
        </w:rPr>
        <w:t>Triads in Defense of the Holy Hesychasts</w:t>
      </w:r>
      <w:r>
        <w:t xml:space="preserve">, already discussed in §8.4, represent Palamas's most systematic and extended theological achievement. But it is worth noting that the </w:t>
      </w:r>
      <w:r>
        <w:rPr>
          <w:i/>
          <w:iCs/>
        </w:rPr>
        <w:t>Triads</w:t>
      </w:r>
      <w:r>
        <w:t xml:space="preserve"> are a polemical work — written against a specific opponent and in response to specific objections — and their systematic character emerges from the organization of Palamas's responses rather than from a pre-existing synthetic intention. The work that most clearly represents Palamas's positive theological vision in systematic for</w:t>
      </w:r>
      <w:r>
        <w:t xml:space="preserve">m is the </w:t>
      </w:r>
      <w:r>
        <w:rPr>
          <w:i/>
          <w:iCs/>
        </w:rPr>
        <w:t>One Hundred and Fifty Chapters</w:t>
      </w:r>
      <w:r>
        <w:t xml:space="preserve"> (</w:t>
      </w:r>
      <w:r>
        <w:rPr>
          <w:i/>
          <w:iCs/>
        </w:rPr>
        <w:t>Capita centum et quinquaginta</w:t>
      </w:r>
      <w:r>
        <w:t>), written after the first Hesychast Synod and addressed to a broad theological audience.</w:t>
      </w:r>
    </w:p>
    <w:p w14:paraId="411F797E" w14:textId="77777777" w:rsidR="000E133F" w:rsidRDefault="00EC5ECA">
      <w:pPr>
        <w:spacing w:before="60" w:after="140" w:line="360" w:lineRule="auto"/>
      </w:pPr>
      <w:r>
        <w:t xml:space="preserve">The </w:t>
      </w:r>
      <w:r>
        <w:rPr>
          <w:i/>
          <w:iCs/>
        </w:rPr>
        <w:t>Chapters</w:t>
      </w:r>
      <w:r>
        <w:t xml:space="preserve"> cover Trinitarian theology, the essence-energies distinction, the theology of the divine names, the nature of created and uncreated light, and the relationship between philosophy and theology. In Chapter 68, Palamas offers a succinct statement of the essence-energies distinction that is worth quoting at length:</w:t>
      </w:r>
    </w:p>
    <w:p w14:paraId="6F849FAD" w14:textId="77777777" w:rsidR="000E133F" w:rsidRDefault="00EC5ECA">
      <w:pPr>
        <w:spacing w:before="120" w:after="120" w:line="360" w:lineRule="auto"/>
        <w:ind w:left="720" w:right="720"/>
      </w:pPr>
      <w:r>
        <w:rPr>
          <w:i/>
          <w:iCs/>
          <w:color w:val="444444"/>
        </w:rPr>
        <w:t xml:space="preserve">"God is one, not only in essence but also in energy. However, He is one essence but many energies, as the divine Maximus says. The uncreated essence of God is one, the uncreated energies are many — not because </w:t>
      </w:r>
      <w:r>
        <w:rPr>
          <w:i/>
          <w:iCs/>
          <w:color w:val="444444"/>
        </w:rPr>
        <w:lastRenderedPageBreak/>
        <w:t>God is multiple but because He communicates Himself in many ways. Grace is not in the category of essence or of accident... it is truly divine, truly uncreated, truly infinite. The essence of God is beyond participation; the energy of God is participable. The essence of God is unknowable to all; the energy of God is participated by those who are worthy."</w:t>
      </w:r>
    </w:p>
    <w:p w14:paraId="4DEEA5EF" w14:textId="77777777" w:rsidR="000E133F" w:rsidRDefault="00EC5ECA">
      <w:pPr>
        <w:spacing w:before="60" w:after="140" w:line="360" w:lineRule="auto"/>
      </w:pPr>
      <w:r>
        <w:t xml:space="preserve">The theological structure here is precise: the divine essence is one, absolutely transcendent, and entirely beyond participation; the divine energies are genuinely many (in the sense of being genuinely distinct modes of divine self-communication), genuinely uncreated (not intermediate beings), genuinely infinite, and genuinely participable. The human being who has undergone theosis does not participate in the divine essence (which would entail either the human being becoming God by nature or the absorption </w:t>
      </w:r>
      <w:r>
        <w:t>of human personhood into the divine being); rather, the human being participates in the divine energies — really and genuinely encountering God Himself, but not penetrating the divine essence.</w:t>
      </w:r>
    </w:p>
    <w:p w14:paraId="5760A5DA" w14:textId="77777777" w:rsidR="000E133F" w:rsidRDefault="00EC5ECA">
      <w:pPr>
        <w:spacing w:before="60" w:after="140" w:line="360" w:lineRule="auto"/>
      </w:pPr>
      <w:r>
        <w:t>Palamas's feast day on the second Sunday of Great Lent has a profound theological logic. The first Sunday of Lent (the Sunday of Orthodoxy) celebrates the vindication of icon theology at the Triumph of 843 — the victory of the Incarnation's full material implications against iconoclasm. The second Sunday of Lent celebrates Palamas — the theologian of theosis, the expositor of the way in which the Incarnation's effects extend from the Person of Christ to the body of His people through participation in the un</w:t>
      </w:r>
      <w:r>
        <w:t>created divine energies. The liturgical sequence is an argument: if the Incarnation is real, then matter can bear the divine presence (icons); and if matter can bear the divine presence, then human flesh can be transformed by the divine energies into a participant in the divine life (theosis). Palamas is the theological completion of Nicaea II.</w:t>
      </w:r>
    </w:p>
    <w:p w14:paraId="31C788D8" w14:textId="77777777" w:rsidR="000E133F" w:rsidRDefault="00EC5ECA">
      <w:pPr>
        <w:pStyle w:val="Heading3"/>
      </w:pPr>
      <w:bookmarkStart w:id="123" w:name="_Toc232765350"/>
      <w:r>
        <w:t>10.5 Georges Florovsky (1893–1979)</w:t>
      </w:r>
      <w:bookmarkEnd w:id="123"/>
    </w:p>
    <w:p w14:paraId="4ED9887B" w14:textId="77777777" w:rsidR="000E133F" w:rsidRDefault="00EC5ECA">
      <w:pPr>
        <w:pStyle w:val="Heading4"/>
      </w:pPr>
      <w:r>
        <w:t>Intellectual Biography and the Formation of a Theologian</w:t>
      </w:r>
    </w:p>
    <w:p w14:paraId="0A55B180" w14:textId="77777777" w:rsidR="000E133F" w:rsidRDefault="00EC5ECA">
      <w:pPr>
        <w:spacing w:before="60" w:after="140" w:line="360" w:lineRule="auto"/>
      </w:pPr>
      <w:r>
        <w:t xml:space="preserve">Georges Florovsky was born on August 28, 1893, in Elizavetgrad (now Kropyvnytskyi, Ukraine), the son of an Orthodox priest. He was educated in Odessa and later studied philosophy at Odessa University, receiving his degree in 1916. The Russian Revolution of </w:t>
      </w:r>
      <w:r>
        <w:lastRenderedPageBreak/>
        <w:t>1917 and its aftermath forced him into emigration: he left Russia permanently in 1920, settling first in Sofia, then in Prague, where he completed his philosophical education and began his theological vocation. In 1921 he was appointed to the faculty of the Russian Institute of Philosophy and Theology in Prague. In 1925 he moved to Paris, where he joined the faculty of the Saint-Serge Orthodox Theological Institute — the most important center of Orthodox theological education in the emigration — where he ta</w:t>
      </w:r>
      <w:r>
        <w:t>ught patristics and theology until 1948. He was ordained to the priesthood in 1932.</w:t>
      </w:r>
    </w:p>
    <w:p w14:paraId="148734AC" w14:textId="77777777" w:rsidR="000E133F" w:rsidRDefault="00EC5ECA">
      <w:pPr>
        <w:spacing w:before="60" w:after="140" w:line="360" w:lineRule="auto"/>
      </w:pPr>
      <w:r>
        <w:t>After the Second World War, Florovsky moved to the United States, where he served as Dean of Saint Vladimir's Orthodox Theological Seminary in New York from 1948 to 1955 — the most formative period in the seminary's history, during which it was transformed from a small Russian émigré institution into an intellectually serious Orthodox theological school of international standing. After leaving Saint Vladimir's, Florovsky held academic appointments at Harvard Divinity School (1956–1964) and Princeton Univers</w:t>
      </w:r>
      <w:r>
        <w:t>ity (1964–1972), where he was a deeply influential figure in the academic study of Christian theology.</w:t>
      </w:r>
    </w:p>
    <w:p w14:paraId="21FC74AA" w14:textId="77777777" w:rsidR="000E133F" w:rsidRDefault="00EC5ECA">
      <w:pPr>
        <w:pStyle w:val="Heading4"/>
      </w:pPr>
      <w:r>
        <w:t>"The Ways of Russian Theology" and the Neo-Patristic Synthesis</w:t>
      </w:r>
    </w:p>
    <w:p w14:paraId="6D1470DA" w14:textId="77777777" w:rsidR="000E133F" w:rsidRDefault="00EC5ECA">
      <w:pPr>
        <w:spacing w:before="60" w:after="140" w:line="360" w:lineRule="auto"/>
      </w:pPr>
      <w:r>
        <w:t xml:space="preserve">Florovsky's </w:t>
      </w:r>
      <w:r>
        <w:rPr>
          <w:i/>
          <w:iCs/>
        </w:rPr>
        <w:t>Puti Russkogo Bogosloviia</w:t>
      </w:r>
      <w:r>
        <w:t xml:space="preserve"> (Ways of Russian Theology, 1937) is his most controversial and most influential work. Published originally in Paris in Russian, it is a sweeping historical analysis of Russian Orthodox theological development from the Christianization of Kievan Rus' (988) through the early 20th century. The work's central thesis — the "pseudomorphosis" of Russian Orthodoxy through Western theological categories — has already been described in §9.3. Here we may note the additional dimensions of Flor</w:t>
      </w:r>
      <w:r>
        <w:t>ovsky's critique.</w:t>
      </w:r>
    </w:p>
    <w:p w14:paraId="443A45E5" w14:textId="77777777" w:rsidR="000E133F" w:rsidRDefault="00EC5ECA">
      <w:pPr>
        <w:spacing w:before="60" w:after="140" w:line="360" w:lineRule="auto"/>
      </w:pPr>
      <w:r>
        <w:t xml:space="preserve">Florovsky's analysis identifies a series of critical moments at which Russian Orthodox theology deviated from the patristic path. The first and most fundamental deviation was the Kievan Academy's adoption of Latin scholasticism in the 17th century, under the leadership of Petro Mohyla. Mohyla's </w:t>
      </w:r>
      <w:r>
        <w:rPr>
          <w:i/>
          <w:iCs/>
        </w:rPr>
        <w:t>Orthodox Confession</w:t>
      </w:r>
      <w:r>
        <w:t xml:space="preserve"> (1640) was essentially a Latinized Catholic catechism in Greek Orthodox dress — using Tridentine categories to articulate Orthodox doctrine, substituting Latin scholastic definitions of the sacraments for the patristic theology of the Mysteries. This scholasticization of Russian theology was </w:t>
      </w:r>
      <w:r>
        <w:lastRenderedPageBreak/>
        <w:t>reinforced by Peter the Great's transformation of the Church into a department of state and his importation of Protestant administrative and theological models from the West.</w:t>
      </w:r>
    </w:p>
    <w:p w14:paraId="0A982ED9" w14:textId="77777777" w:rsidR="000E133F" w:rsidRDefault="00EC5ECA">
      <w:pPr>
        <w:spacing w:before="60" w:after="140" w:line="360" w:lineRule="auto"/>
      </w:pPr>
      <w:r>
        <w:t>The 18th-century tradition of Russian theological education at the Moscow Theological Academy was shaped by this double Western influence: the curriculum was modeled on the Jesuit scholastic pattern, lectures were delivered in Latin, and Protestant biblical scholarship was imported wholesale without critical engagement. The result, Florovsky argued, was a Russian theology that had lost contact with its own genuine patristic roots and was expressing Orthodox doctrine in categories that fundamentally distorte</w:t>
      </w:r>
      <w:r>
        <w:t>d it.</w:t>
      </w:r>
    </w:p>
    <w:p w14:paraId="0B49E758" w14:textId="77777777" w:rsidR="000E133F" w:rsidRDefault="00EC5ECA">
      <w:pPr>
        <w:spacing w:before="60" w:after="140" w:line="360" w:lineRule="auto"/>
      </w:pPr>
      <w:r>
        <w:t xml:space="preserve">The second major deviation Florovsky identified was the absorption of German Idealist philosophy — particularly Schelling's Naturphilosophie — by the Russian religious philosophy of the 19th century (Khomyakov, Soloviev, Bulgakov, Florensky). This tradition produced a series of brilliant and original thinkers, but their theological frameworks — particularly the </w:t>
      </w:r>
      <w:r>
        <w:rPr>
          <w:i/>
          <w:iCs/>
        </w:rPr>
        <w:t>Sophiology</w:t>
      </w:r>
      <w:r>
        <w:t xml:space="preserve"> of Soloviev, Bulgakov, and Florensky — were, Florovsky argued, fundamentally alien to the patristic tradition. The concept of </w:t>
      </w:r>
      <w:r>
        <w:rPr>
          <w:i/>
          <w:iCs/>
        </w:rPr>
        <w:t>Sophia</w:t>
      </w:r>
      <w:r>
        <w:t xml:space="preserve"> (divine wisdom as a kind of semi-divine mediating principle between God and creation) had no genuine patristic warrant and was a philosophical importation from Neoplatonism and German Idealism, not a development of the Eastern patristic tradition.</w:t>
      </w:r>
    </w:p>
    <w:p w14:paraId="2D3CCA66" w14:textId="77777777" w:rsidR="000E133F" w:rsidRDefault="00EC5ECA">
      <w:pPr>
        <w:spacing w:before="60" w:after="140" w:line="360" w:lineRule="auto"/>
      </w:pPr>
      <w:r>
        <w:t>Florovsky's positive program — the Neo-Patristic Synthesis — requires the recovery of what he called "Christian Hellenism": the recognition that the Fathers' use of Greek philosophical vocabulary was not a compromise with paganism or a foreign imposition on the Gospel but a genuinely Christian intellectual achievement. The Fathers of the 4th and 5th centuries created, through their engagement with Greek philosophy in the light of the Gospel, a new intellectual synthesis — a "Christian philosophy" — that was</w:t>
      </w:r>
      <w:r>
        <w:t xml:space="preserve"> neither simply Platonism nor simply a biblical positivism but a genuinely new mode of theological thinking. The concepts of </w:t>
      </w:r>
      <w:r>
        <w:rPr>
          <w:i/>
          <w:iCs/>
        </w:rPr>
        <w:t>hypostasis</w:t>
      </w:r>
      <w:r>
        <w:t xml:space="preserve">, </w:t>
      </w:r>
      <w:r>
        <w:rPr>
          <w:i/>
          <w:iCs/>
        </w:rPr>
        <w:t>ousia</w:t>
      </w:r>
      <w:r>
        <w:t xml:space="preserve">, </w:t>
      </w:r>
      <w:r>
        <w:rPr>
          <w:i/>
          <w:iCs/>
        </w:rPr>
        <w:t>perichoresis</w:t>
      </w:r>
      <w:r>
        <w:t xml:space="preserve">, </w:t>
      </w:r>
      <w:r>
        <w:rPr>
          <w:i/>
          <w:iCs/>
        </w:rPr>
        <w:t>theosis</w:t>
      </w:r>
      <w:r>
        <w:t>, and the entire vocabulary of patristic theology represent this synthesis, and to abandon them (as the anti-intellectual strand of 19th-century Russian theology tended to do) or to replace them with scholastic Latin categories (as the Kievan academic tradition had done) is to lose the genuine Orthodox theological tradition.</w:t>
      </w:r>
    </w:p>
    <w:p w14:paraId="102D8413" w14:textId="77777777" w:rsidR="000E133F" w:rsidRDefault="00EC5ECA">
      <w:pPr>
        <w:spacing w:before="60" w:after="140" w:line="360" w:lineRule="auto"/>
      </w:pPr>
      <w:r>
        <w:lastRenderedPageBreak/>
        <w:t xml:space="preserve">Florovsky's essay "The Eastern Fathers of the Fourth Century," along with his extended studies in patristic theology collected in the multi-volume </w:t>
      </w:r>
      <w:r>
        <w:rPr>
          <w:i/>
          <w:iCs/>
        </w:rPr>
        <w:t>Collected Works</w:t>
      </w:r>
      <w:r>
        <w:t xml:space="preserve"> (published by Nordland and later Büchervertriebsanstalt), represents the positive enactment of the Neo-Patristic program: a series of detailed historical-theological studies of the Cappadocians, Maximus, Dionysius, and others that demonstrates, from within the primary texts, the extraordinary richness and coherence of the patristic theological vision.</w:t>
      </w:r>
    </w:p>
    <w:p w14:paraId="3D307849" w14:textId="77777777" w:rsidR="000E133F" w:rsidRDefault="00EC5ECA">
      <w:pPr>
        <w:pStyle w:val="Heading4"/>
      </w:pPr>
      <w:r>
        <w:t>Florovsky and the Ecumenical Movement</w:t>
      </w:r>
    </w:p>
    <w:p w14:paraId="078368E2" w14:textId="77777777" w:rsidR="000E133F" w:rsidRDefault="00EC5ECA">
      <w:pPr>
        <w:spacing w:before="60" w:after="140" w:line="360" w:lineRule="auto"/>
      </w:pPr>
      <w:r>
        <w:t>Florovsky's engagement with the WCC and the wider ecumenical movement was simultaneously enthusiastic and polemical. He was a founding figure of the WCC's Faith and Order Commission and participated actively in the Amsterdam Assembly (1948), the Evanston Assembly (1954), and numerous Faith and Order meetings. His famous address to the First Assembly at Amsterdam, "The Catholicity of the Church," articulated what became his characteristic ecumenical position: the Orthodox Church is not one branch of Christia</w:t>
      </w:r>
      <w:r>
        <w:t>nity among others but the Church of the Fathers — the continuous embodiment of the undivided patristic tradition — and its contribution to the ecumenical dialogue is to offer that tradition as the common heritage of all Christians, not as a sectarian possession.</w:t>
      </w:r>
    </w:p>
    <w:p w14:paraId="575B49D7" w14:textId="77777777" w:rsidR="000E133F" w:rsidRDefault="00EC5ECA">
      <w:pPr>
        <w:spacing w:before="60" w:after="140" w:line="360" w:lineRule="auto"/>
      </w:pPr>
      <w:r>
        <w:t>This position was simultaneously generous (in its invitation to all Christians to engage the common patristic heritage) and demanding (in its refusal to treat all Christian traditions as equally valid expressions of the one faith). Florovsky genuinely believed that ecumenical dialogue was valuable and necessary; he also genuinely believed that genuine unity required theological convergence, not merely organizational cooperation or emotional reconciliation, and that the Fathers of the undivided Church provid</w:t>
      </w:r>
      <w:r>
        <w:t>ed the only adequate framework for that convergence.</w:t>
      </w:r>
    </w:p>
    <w:p w14:paraId="642CAF98" w14:textId="77777777" w:rsidR="000E133F" w:rsidRDefault="00EC5ECA">
      <w:pPr>
        <w:pStyle w:val="Heading3"/>
      </w:pPr>
      <w:bookmarkStart w:id="124" w:name="_Toc232765351"/>
      <w:r>
        <w:t>10.6 Alexander Schmemann (1921–1983)</w:t>
      </w:r>
      <w:bookmarkEnd w:id="124"/>
    </w:p>
    <w:p w14:paraId="2159490A" w14:textId="77777777" w:rsidR="000E133F" w:rsidRDefault="00EC5ECA">
      <w:pPr>
        <w:pStyle w:val="Heading4"/>
      </w:pPr>
      <w:r>
        <w:t>Liturgical Theology as a Method and Vision</w:t>
      </w:r>
    </w:p>
    <w:p w14:paraId="7953D0E8" w14:textId="77777777" w:rsidR="000E133F" w:rsidRDefault="00EC5ECA">
      <w:pPr>
        <w:spacing w:before="60" w:after="140" w:line="360" w:lineRule="auto"/>
      </w:pPr>
      <w:r>
        <w:t xml:space="preserve">Alexander Schmemann was born in Tallinn, Estonia, in 1921, to a Russian émigré family. He was educated at the Saint-Serge Institute in Paris under Florovsky and others, and received his doctorate there. He joined the faculty of Saint Vladimir's </w:t>
      </w:r>
      <w:r>
        <w:lastRenderedPageBreak/>
        <w:t xml:space="preserve">Seminary in New York in 1951 and served as its Dean from 1962 until his death in 1983. He was, by virtually all accounts, one of the most intellectually dynamic and personally compelling Orthodox theologians of the 20th century, and his </w:t>
      </w:r>
      <w:r>
        <w:rPr>
          <w:i/>
          <w:iCs/>
        </w:rPr>
        <w:t>For the Life of the World</w:t>
      </w:r>
      <w:r>
        <w:t xml:space="preserve"> (1963) has become one of the most widely read Orthodox theological texts in the English language.</w:t>
      </w:r>
    </w:p>
    <w:p w14:paraId="1F82510A" w14:textId="77777777" w:rsidR="000E133F" w:rsidRDefault="00EC5ECA">
      <w:pPr>
        <w:spacing w:before="60" w:after="140" w:line="360" w:lineRule="auto"/>
      </w:pPr>
      <w:r>
        <w:t>Schmemann's method — "liturgical theology" — is at once a methodological claim and a theological vision. The methodological claim is that theology must be done from the lex orandi — from the pattern of worship — rather than imposed upon it from outside. The liturgy is not the "application" of theological doctrine to practical worship; it is, rather, the primary theological act, the event in which the Church is most fully and authentically itself, and theological propositions are the Church's attempt to arti</w:t>
      </w:r>
      <w:r>
        <w:t xml:space="preserve">culate what the liturgy enacts and expresses. The </w:t>
      </w:r>
      <w:r>
        <w:rPr>
          <w:i/>
          <w:iCs/>
        </w:rPr>
        <w:t>lex orandi</w:t>
      </w:r>
      <w:r>
        <w:t xml:space="preserve"> (law of prayer) precedes and grounds the </w:t>
      </w:r>
      <w:r>
        <w:rPr>
          <w:i/>
          <w:iCs/>
        </w:rPr>
        <w:t>lex credendi</w:t>
      </w:r>
      <w:r>
        <w:t xml:space="preserve"> (law of belief): we believe because and as we pray, not the reverse.</w:t>
      </w:r>
    </w:p>
    <w:p w14:paraId="656BB0BE" w14:textId="77777777" w:rsidR="000E133F" w:rsidRDefault="00EC5ECA">
      <w:pPr>
        <w:spacing w:before="60" w:after="140" w:line="360" w:lineRule="auto"/>
      </w:pPr>
      <w:r>
        <w:t xml:space="preserve">This methodological claim has a theological vision behind it. Schmemann was convinced that the liturgy — specifically, the Divine Liturgy, the eucharistic gathering of the Church — is not simply a religious service or a communal act of piety. It is an eschatological event: a genuine participation in the Kingdom of God, a real presence of the Risen Christ in the gathered community, a foretaste of the age to come. In </w:t>
      </w:r>
      <w:r>
        <w:rPr>
          <w:i/>
          <w:iCs/>
        </w:rPr>
        <w:t>For the Life of the World</w:t>
      </w:r>
      <w:r>
        <w:t>, Schmemann writes:</w:t>
      </w:r>
    </w:p>
    <w:p w14:paraId="6F684721" w14:textId="77777777" w:rsidR="000E133F" w:rsidRDefault="00EC5ECA">
      <w:pPr>
        <w:spacing w:before="120" w:after="120" w:line="360" w:lineRule="auto"/>
        <w:ind w:left="720" w:right="720"/>
      </w:pPr>
      <w:r>
        <w:rPr>
          <w:i/>
          <w:iCs/>
          <w:color w:val="444444"/>
        </w:rPr>
        <w:t>"The Eucharist is a journey, or procession, to the Kingdom... 'Lift up your hearts' — Habemus ad Dominum. It is not a 'service' getting under way, it is not 'religion' being enacted. It is the Kingdom of God. And as we make that journey and ascend to that Table, we take along — we offer, we lift up — the whole world... The Church is the assembly of those for whom the world was created, and whom God has called to be the first fruits of His new creation. This assembly gathers in His name to make 'the Eucharis</w:t>
      </w:r>
      <w:r>
        <w:rPr>
          <w:i/>
          <w:iCs/>
          <w:color w:val="444444"/>
        </w:rPr>
        <w:t>t': to offer to God the entire world, to receive it back as 'life in abundance,' and to have it 'for the life of the world' — to be that life and to fulfill it."</w:t>
      </w:r>
    </w:p>
    <w:p w14:paraId="0E7DC297" w14:textId="77777777" w:rsidR="000E133F" w:rsidRDefault="00EC5ECA">
      <w:pPr>
        <w:spacing w:before="60" w:after="140" w:line="360" w:lineRule="auto"/>
      </w:pPr>
      <w:r>
        <w:lastRenderedPageBreak/>
        <w:t>The theological depth of this passage is considerable. The Eucharist is not merely a rite of the Church; it is the Church's constitutive act — the act by which the Church becomes what she is. Schmemann insists, following the tradition of Saint Ignatius of Antioch, that "where the Eucharist is, there the Church is" (</w:t>
      </w:r>
      <w:r>
        <w:rPr>
          <w:i/>
          <w:iCs/>
        </w:rPr>
        <w:t>ubi Eucharistia, ibi Ecclesia</w:t>
      </w:r>
      <w:r>
        <w:t>): the Eucharist is not something the Church possesses and administers, but something the Church performs and in performing, becomes. The eschatological dimension — the Eucharist as participation in the Kingdom — is equally central: the liturgy is not a pious memorial of a past event or a preparation for a future state; it is the Kingdom genuinely present, the age to come breaking into and transforming the present age.</w:t>
      </w:r>
    </w:p>
    <w:p w14:paraId="099EC93D" w14:textId="77777777" w:rsidR="000E133F" w:rsidRDefault="00EC5ECA">
      <w:pPr>
        <w:spacing w:before="60" w:after="140" w:line="360" w:lineRule="auto"/>
      </w:pPr>
      <w:r>
        <w:t xml:space="preserve">Schmemann's </w:t>
      </w:r>
      <w:r>
        <w:rPr>
          <w:i/>
          <w:iCs/>
        </w:rPr>
        <w:t>Introduction to Liturgical Theology</w:t>
      </w:r>
      <w:r>
        <w:t xml:space="preserve"> (1966) provides the historical dimension of this vision: a careful account of the historical development of the Byzantine liturgical tradition, tracing the process by which the original eschatological character of early Christian worship (the </w:t>
      </w:r>
      <w:r>
        <w:rPr>
          <w:i/>
          <w:iCs/>
        </w:rPr>
        <w:t>anamnēsis</w:t>
      </w:r>
      <w:r>
        <w:t xml:space="preserve"> and </w:t>
      </w:r>
      <w:r>
        <w:rPr>
          <w:i/>
          <w:iCs/>
        </w:rPr>
        <w:t>epiclesis</w:t>
      </w:r>
      <w:r>
        <w:t xml:space="preserve"> of the Sunday Eucharist as the weekly Paschal celebration) was gradually overlaid with other patterns — the monastic office, private piety, the cosmic liturgy of the Byzantine imperial church — and arguing tha</w:t>
      </w:r>
      <w:r>
        <w:t>t the task of liturgical theology is to recover the original eschatological logic of Christian worship as the hermeneutical key to the entire liturgical tradition.</w:t>
      </w:r>
    </w:p>
    <w:p w14:paraId="2B9AED59" w14:textId="77777777" w:rsidR="000E133F" w:rsidRDefault="00EC5ECA">
      <w:pPr>
        <w:pStyle w:val="Heading4"/>
      </w:pPr>
      <w:r>
        <w:t>The Critique of Palamas and the Response</w:t>
      </w:r>
    </w:p>
    <w:p w14:paraId="71902E0B" w14:textId="77777777" w:rsidR="000E133F" w:rsidRDefault="00EC5ECA">
      <w:pPr>
        <w:spacing w:before="60" w:after="140" w:line="360" w:lineRule="auto"/>
      </w:pPr>
      <w:r>
        <w:t xml:space="preserve">One of the most controversial aspects of Schmemann's theological legacy is his critique of the Palamite tradition — a critique that is itself a symptom of the Florovsky-Schmemann methodological disagreement about the proper starting point for Orthodox theology. Schmemann argued, in his journals (published posthumously as </w:t>
      </w:r>
      <w:r>
        <w:rPr>
          <w:i/>
          <w:iCs/>
        </w:rPr>
        <w:t>The Journals of Father Alexander Schmemann</w:t>
      </w:r>
      <w:r>
        <w:t>) and in occasional essays, that Palamism — with its highly technical essence-energies distinction and its emphasis on the individual soul's mystical experience of the divine light — represents a certain narrowing of the Orthodox theological vision: a shift from the ecclesial, eucharistic, cosmic theology of the early Church to a more individualistic, psychologized mysticism. He was concerned that the Palamite tradition, as it developed in the 14th and subsequent ce</w:t>
      </w:r>
      <w:r>
        <w:t>nturies, tended to detach the mystical life from its ecclesial and sacramental context — to turn the Christian life into a private spiritual project rather than a corporate participation in the eucharistic Body of Christ.</w:t>
      </w:r>
    </w:p>
    <w:p w14:paraId="43435D79" w14:textId="77777777" w:rsidR="000E133F" w:rsidRDefault="00EC5ECA">
      <w:pPr>
        <w:spacing w:before="60" w:after="140" w:line="360" w:lineRule="auto"/>
      </w:pPr>
      <w:r>
        <w:lastRenderedPageBreak/>
        <w:t>This critique has been received with considerable controversy within Orthodox theology. From the perspective of Palamite defenders — including Meyendorff, whose response to Schmemann on this point was pointed — Schmemann's worry is based on a misreading of Palamas: for Palamas himself, the divine energies in which the hesychast participates are the same energies that are operative in the sacraments and in the life of the Church; there is no opposition between the liturgical and the hesychast dimensions of O</w:t>
      </w:r>
      <w:r>
        <w:t>rthodox spirituality. The two are complementary expressions of the single mystery of participation in the divine life. The saints whose experience Palamas defends are not spiritual individualists; they are monks formed by the liturgical tradition of the Church and participating in its sacramental life as the foundation of their hesychast practice.</w:t>
      </w:r>
    </w:p>
    <w:p w14:paraId="0A65C001" w14:textId="77777777" w:rsidR="000E133F" w:rsidRDefault="00EC5ECA">
      <w:pPr>
        <w:pStyle w:val="Heading3"/>
      </w:pPr>
      <w:bookmarkStart w:id="125" w:name="_Toc232765352"/>
      <w:r>
        <w:t>10.7 Vladimir Lossky (1903–1958)</w:t>
      </w:r>
      <w:bookmarkEnd w:id="125"/>
    </w:p>
    <w:p w14:paraId="7C83A00E" w14:textId="77777777" w:rsidR="000E133F" w:rsidRDefault="00EC5ECA">
      <w:pPr>
        <w:pStyle w:val="Heading4"/>
      </w:pPr>
      <w:r>
        <w:t>The Mystical Theology and the Apophatic Principle</w:t>
      </w:r>
    </w:p>
    <w:p w14:paraId="60A0340B" w14:textId="77777777" w:rsidR="000E133F" w:rsidRDefault="00EC5ECA">
      <w:pPr>
        <w:spacing w:before="60" w:after="140" w:line="360" w:lineRule="auto"/>
      </w:pPr>
      <w:r>
        <w:t xml:space="preserve">Vladimir Lossky was born in Göttingen, Germany, in 1903, the son of the philosopher Nikolai Lossky, one of the most distinguished figures of the Russian intellectual emigration. He received his theological formation at the University of Saint-Serge in Paris, where he studied under Bulgakov and others, though his mature theology developed in explicit and sustained critique of Bulgakov's Sophiology. He spent his entire adult intellectual life in Paris, dying there at the relatively young age of fifty-five in </w:t>
      </w:r>
      <w:r>
        <w:t>1958 — a circumstance that gives his intellectual legacy a particular quality of unfulfilled promise, since his most important works were either completed early (The Mystical Theology, 1944) or published posthumously from incomplete manuscripts.</w:t>
      </w:r>
    </w:p>
    <w:p w14:paraId="7CF966AE" w14:textId="77777777" w:rsidR="000E133F" w:rsidRDefault="00EC5ECA">
      <w:pPr>
        <w:spacing w:before="60" w:after="140" w:line="360" w:lineRule="auto"/>
      </w:pPr>
      <w:r>
        <w:t xml:space="preserve">Lossky's </w:t>
      </w:r>
      <w:r>
        <w:rPr>
          <w:i/>
          <w:iCs/>
        </w:rPr>
        <w:t>The Mystical Theology of the Eastern Church</w:t>
      </w:r>
      <w:r>
        <w:t>, published in French in 1944 and translated into English in 1957, is the foundational modern statement of Orthodox theology in Western academic form. The work proceeds from a methodological premise stated clearly in its opening chapter: "The theology of the Eastern tradition is to a great extent determined by the mystical theology of the Eastern tradition. These two, mystical and dogmatic, are not two separate spheres but are interpenetrating aspects of the one th</w:t>
      </w:r>
      <w:r>
        <w:t>eological work of the Church."</w:t>
      </w:r>
    </w:p>
    <w:p w14:paraId="06E51581" w14:textId="77777777" w:rsidR="000E133F" w:rsidRDefault="00EC5ECA">
      <w:pPr>
        <w:spacing w:before="60" w:after="140" w:line="360" w:lineRule="auto"/>
      </w:pPr>
      <w:r>
        <w:t xml:space="preserve">For Lossky, theology in the proper sense is not a set of propositions about God but a way of approaching God — a transformation of the knower in the process of knowing. The </w:t>
      </w:r>
      <w:r>
        <w:lastRenderedPageBreak/>
        <w:t>dogmas of the Church are not definitions that exhaustively describe the divine reality; they are, rather, "spiritual exercises" — formulations that guard against the reduction of God to a concept and open the mind to genuine encounter with the divine mystery that transcends all concepts. This is the apophatic principle: not a skeptical agnosticism about the existence or knowable character of God, but a positive theological commitment to the inexhaustibility of the divine mystery. Every affirmation about God</w:t>
      </w:r>
      <w:r>
        <w:t xml:space="preserve"> must be held in tension with its apophatic negation; every concept of God must be recognized as inadequate and then transcended.</w:t>
      </w:r>
    </w:p>
    <w:p w14:paraId="1D76A5BF" w14:textId="77777777" w:rsidR="000E133F" w:rsidRDefault="00EC5ECA">
      <w:pPr>
        <w:spacing w:before="60" w:after="140" w:line="360" w:lineRule="auto"/>
      </w:pPr>
      <w:r>
        <w:t xml:space="preserve">The organizing argument of </w:t>
      </w:r>
      <w:r>
        <w:rPr>
          <w:i/>
          <w:iCs/>
        </w:rPr>
        <w:t>The Mystical Theology</w:t>
      </w:r>
      <w:r>
        <w:t xml:space="preserve"> is that the fundamental difference between Eastern and Western theology lies in this apophatic principle. Western theology, particularly in its Augustinian and Thomistic forms, has tended toward the intellectualization and rationalization of theological knowledge — toward the production of a coherent, internally consistent system of theological propositions that can be defended by rational argument. Eastern theology has maintained the priority of the apophatic over the cataphatic, of m</w:t>
      </w:r>
      <w:r>
        <w:t>ystical encounter over conceptual systematization, and of the transformation of the knower over the definition of the known.</w:t>
      </w:r>
    </w:p>
    <w:p w14:paraId="6BC1467C" w14:textId="77777777" w:rsidR="000E133F" w:rsidRDefault="00EC5ECA">
      <w:pPr>
        <w:spacing w:before="60" w:after="140" w:line="360" w:lineRule="auto"/>
      </w:pPr>
      <w:r>
        <w:t>Lossky's most important theological argument concerns the relationship between the Trinity and the apophatic method. He argues that the Christian understanding of God as Trinity — as three distinct Persons in one divine essence — is not a complication of monotheism or a speculative theological system; it is the revelation of God as He truly is, beyond all categories of "unity" and "multiplicity" that would subordinate the divine to conceptual schemes derived from creaturely experience. The Trinity is, for L</w:t>
      </w:r>
      <w:r>
        <w:t>ossky, the ultimate apophatic statement: God is neither simply one (the Neoplatonist's "One beyond being") nor simply multiple (polytheism), but the living mystery of three distinct Persons who are fully one God. This mystery cannot be grasped conceptually; it can only be participated in through the transformation of the human person in the process of theosis.</w:t>
      </w:r>
    </w:p>
    <w:p w14:paraId="70B9E26E" w14:textId="77777777" w:rsidR="000E133F" w:rsidRDefault="00EC5ECA">
      <w:pPr>
        <w:pStyle w:val="Heading4"/>
      </w:pPr>
      <w:r>
        <w:t>The Filioque as the Root of Western Individualism</w:t>
      </w:r>
    </w:p>
    <w:p w14:paraId="263078A5" w14:textId="77777777" w:rsidR="000E133F" w:rsidRDefault="00EC5ECA">
      <w:pPr>
        <w:spacing w:before="60" w:after="140" w:line="360" w:lineRule="auto"/>
      </w:pPr>
      <w:r>
        <w:t xml:space="preserve">One of Lossky's most provocative and controversial arguments is his claim that the Filioque — the Western addition to the Creed claiming that the Holy Spirit proceeds </w:t>
      </w:r>
      <w:r>
        <w:lastRenderedPageBreak/>
        <w:t xml:space="preserve">from both the Father and the Son — is not merely a technical error in Trinitarian theology but the root of the fundamental divergence between Eastern and Western Christianity in their total theological orientations. In </w:t>
      </w:r>
      <w:r>
        <w:rPr>
          <w:i/>
          <w:iCs/>
        </w:rPr>
        <w:t>The Mystical Theology</w:t>
      </w:r>
      <w:r>
        <w:t xml:space="preserve"> and in the essay "The Procession of the Holy Spirit in Orthodox Trinitarian Doctrine," Lossky argues as follows.</w:t>
      </w:r>
    </w:p>
    <w:p w14:paraId="2C910DF6" w14:textId="77777777" w:rsidR="000E133F" w:rsidRDefault="00EC5ECA">
      <w:pPr>
        <w:spacing w:before="60" w:after="140" w:line="360" w:lineRule="auto"/>
      </w:pPr>
      <w:r>
        <w:t xml:space="preserve">The Orthodox position — that the Spirit proceeds from the Father alone — preserves the Father's unique </w:t>
      </w:r>
      <w:r>
        <w:rPr>
          <w:i/>
          <w:iCs/>
        </w:rPr>
        <w:t>monarchia</w:t>
      </w:r>
      <w:r>
        <w:t xml:space="preserve"> (sole principle) within the Trinity and maintains the full irreducibility and distinctiveness of the three Persons. The Spirit is not derivable from the Father-Son relation; He is a distinct hypostasis who has His own irreducible relationship to the Father as the sole source of the Trinitarian life. This means that the Spirit cannot be understood simply as the "bond of love" between Father and Son (Augustine's formulation), or as the expression of the Father-Son relation; He is His own distinct Pe</w:t>
      </w:r>
      <w:r>
        <w:t>rson, with His own distinct mode of being from the Father.</w:t>
      </w:r>
    </w:p>
    <w:p w14:paraId="53D15CCD" w14:textId="77777777" w:rsidR="000E133F" w:rsidRDefault="00EC5ECA">
      <w:pPr>
        <w:spacing w:before="60" w:after="140" w:line="360" w:lineRule="auto"/>
      </w:pPr>
      <w:r>
        <w:t xml:space="preserve">The Filioque, by contrast, makes the Spirit dependent on the Father-Son relation and therefore reduces His Personhood to an expression of that relation. The consequences, Lossky argues, are far-reaching. In ecclesiology, the diminished distinctiveness of the Spirit relative to the Son means that the Church tends to be understood exclusively in Christological terms — as the institution constituted by the continuation of Christ's activity, governed by the hierarchy that represents Christ's authority — rather </w:t>
      </w:r>
      <w:r>
        <w:t>than in pneumatological terms, as the community of Pentecost in which the Spirit moves freely and unpredictably through the whole body of the faithful, including laity and monks as well as clergy. In spiritual theology, the diminished role of the Spirit means that Western mysticism has tended to become Christocentric rather than Trinitarian — focused on union with Christ rather than on participation in the full Trinitarian life through the Spirit.</w:t>
      </w:r>
    </w:p>
    <w:p w14:paraId="21E1F46C" w14:textId="77777777" w:rsidR="000E133F" w:rsidRDefault="00EC5ECA">
      <w:pPr>
        <w:spacing w:before="60" w:after="140" w:line="360" w:lineRule="auto"/>
      </w:pPr>
      <w:r>
        <w:t>Whether or not one accepts Lossky's specific historical and theological arguments — and they have been criticized both for over-schematization and for caricature of Western theology — the underlying concern is important and genuine: the Filioque is not merely a technical formula but a theological position with real consequences for the understanding of the Spirit's role in the Church and in the spiritual life.</w:t>
      </w:r>
    </w:p>
    <w:p w14:paraId="746AA5CD" w14:textId="77777777" w:rsidR="000E133F" w:rsidRDefault="00EC5ECA">
      <w:pPr>
        <w:pStyle w:val="Heading4"/>
      </w:pPr>
      <w:r>
        <w:lastRenderedPageBreak/>
        <w:t>The Image and Likeness</w:t>
      </w:r>
    </w:p>
    <w:p w14:paraId="3A67B01F" w14:textId="77777777" w:rsidR="000E133F" w:rsidRDefault="00EC5ECA">
      <w:pPr>
        <w:spacing w:before="60" w:after="140" w:line="360" w:lineRule="auto"/>
      </w:pPr>
      <w:r>
        <w:t xml:space="preserve">Lossky's </w:t>
      </w:r>
      <w:r>
        <w:rPr>
          <w:i/>
          <w:iCs/>
        </w:rPr>
        <w:t>In the Image and Likeness of God</w:t>
      </w:r>
      <w:r>
        <w:t xml:space="preserve"> (published posthumously in 1967, assembled from lectures and essays) develops an Orthodox theological anthropology grounded in the patristic distinction between "image" (</w:t>
      </w:r>
      <w:r>
        <w:rPr>
          <w:i/>
          <w:iCs/>
        </w:rPr>
        <w:t>eikōn</w:t>
      </w:r>
      <w:r>
        <w:t>) and "likeness" (</w:t>
      </w:r>
      <w:r>
        <w:rPr>
          <w:i/>
          <w:iCs/>
        </w:rPr>
        <w:t>homoiōsis</w:t>
      </w:r>
      <w:r>
        <w:t>) drawn from Genesis 1:26 ("Let us make man in our image, after our likeness"). Lossky argues that the distinction is theologically significant: the image is the permanent ontological endowment of the human person — the capacity for rationality, freedom, and self-determination</w:t>
      </w:r>
      <w:r>
        <w:t xml:space="preserve"> that makes the human being genuinely personal and capable of relationship with God; the likeness is the dynamic, eschatological destiny — the actual conformity to God in virtue and holiness that is the goal of the Christian life and that constitutes theosis.</w:t>
      </w:r>
    </w:p>
    <w:p w14:paraId="36DC5879" w14:textId="77777777" w:rsidR="000E133F" w:rsidRDefault="00EC5ECA">
      <w:pPr>
        <w:spacing w:before="60" w:after="140" w:line="360" w:lineRule="auto"/>
      </w:pPr>
      <w:r>
        <w:t xml:space="preserve">The image is never lost, even in the most extreme spiritual degradation: the freedom, the rationality, the capacity for relationship with God that constitute human personhood are permanent features of human nature as created by God. The likeness, by contrast, is fully realized only in theosis, through the cooperation of human freedom with divine grace. This anthropological framework has several important implications. It means that the Fall does not destroy human personhood (as some readings of Augustinian </w:t>
      </w:r>
      <w:r>
        <w:t>total depravity would imply) but distorts and disorders it, turning the freedom that was created for God toward lesser goods. And it means that salvation is not the replacement of the human person by a divine person (which would be absorption or annihilation) but the perfecting and fulfilling of human personhood through genuine participation in the divine life.</w:t>
      </w:r>
    </w:p>
    <w:p w14:paraId="3E3AF12D" w14:textId="77777777" w:rsidR="000E133F" w:rsidRDefault="00EC5ECA">
      <w:pPr>
        <w:pStyle w:val="Heading3"/>
      </w:pPr>
      <w:bookmarkStart w:id="126" w:name="_Toc232765353"/>
      <w:r>
        <w:t>10.8 Kallistos Ware (1934–2022)</w:t>
      </w:r>
      <w:bookmarkEnd w:id="126"/>
    </w:p>
    <w:p w14:paraId="76430F4E" w14:textId="77777777" w:rsidR="000E133F" w:rsidRDefault="00EC5ECA">
      <w:pPr>
        <w:pStyle w:val="Heading4"/>
      </w:pPr>
      <w:r>
        <w:t>The Interpreter and the Bridge</w:t>
      </w:r>
    </w:p>
    <w:p w14:paraId="05AF19E0" w14:textId="77777777" w:rsidR="000E133F" w:rsidRDefault="00EC5ECA">
      <w:pPr>
        <w:spacing w:before="60" w:after="140" w:line="360" w:lineRule="auto"/>
      </w:pPr>
      <w:r>
        <w:t xml:space="preserve">Kallistos Ware — born Timothy Ware in Bath, England, in 1934 — stands as the most successful English-language interpreter of Eastern Orthodoxy in the history of the tradition's encounter with the Anglo-Saxon world. His intellectual formation at Oxford, his conversion to Orthodoxy (from Anglicanism) in 1958, his monastic profession at the Monastery of Saint John the Theologian on Patmos, his academic career as Spalding Lecturer in Eastern Orthodox Studies at Oxford (1966–2001), and his episcopal </w:t>
      </w:r>
      <w:r>
        <w:lastRenderedPageBreak/>
        <w:t>consecration as titular Bishop of Diokleia in 1982 — all of these dimensions of his biography combined to make him uniquely suited for the role of interpreter between two worlds: the Eastern Orthodox theological tradition and the English-speaking academic and religious world.</w:t>
      </w:r>
    </w:p>
    <w:p w14:paraId="298067A4" w14:textId="77777777" w:rsidR="000E133F" w:rsidRDefault="00EC5ECA">
      <w:pPr>
        <w:spacing w:before="60" w:after="140" w:line="360" w:lineRule="auto"/>
      </w:pPr>
      <w:r>
        <w:t xml:space="preserve">His </w:t>
      </w:r>
      <w:r>
        <w:rPr>
          <w:i/>
          <w:iCs/>
        </w:rPr>
        <w:t>The Orthodox Church</w:t>
      </w:r>
      <w:r>
        <w:t>, first published in 1963 and revised in 1993, remains after six decades the standard introductory text on Orthodox Christianity for English-speaking audiences. The book's achievements are easy to understate but significant: it presents the Orthodox tradition with both scholarly accuracy and pastoral sensitivity, covering history, ecclesiology, doctrine, worship, and spirituality in a form accessible to the general educated reader without compromising theological depth. The book has intro</w:t>
      </w:r>
      <w:r>
        <w:t>duced hundreds of thousands of readers to Eastern Orthodoxy, and it has shaped the understanding of Orthodoxy in Western academic religious studies more comprehensively than any other single text.</w:t>
      </w:r>
    </w:p>
    <w:p w14:paraId="3E14BA12" w14:textId="77777777" w:rsidR="000E133F" w:rsidRDefault="00EC5ECA">
      <w:pPr>
        <w:spacing w:before="60" w:after="140" w:line="360" w:lineRule="auto"/>
      </w:pPr>
      <w:r>
        <w:rPr>
          <w:i/>
          <w:iCs/>
        </w:rPr>
        <w:t>The Orthodox Way</w:t>
      </w:r>
      <w:r>
        <w:t xml:space="preserve"> (1979) is a more devotional and spiritually oriented companion to the </w:t>
      </w:r>
      <w:r>
        <w:rPr>
          <w:i/>
          <w:iCs/>
        </w:rPr>
        <w:t>Orthodox Church</w:t>
      </w:r>
      <w:r>
        <w:t xml:space="preserve">, and it has achieved an equally wide readership. Where the </w:t>
      </w:r>
      <w:r>
        <w:rPr>
          <w:i/>
          <w:iCs/>
        </w:rPr>
        <w:t>Orthodox Church</w:t>
      </w:r>
      <w:r>
        <w:t xml:space="preserve"> is primarily a theological and historical account, </w:t>
      </w:r>
      <w:r>
        <w:rPr>
          <w:i/>
          <w:iCs/>
        </w:rPr>
        <w:t>The Orthodox Way</w:t>
      </w:r>
      <w:r>
        <w:t xml:space="preserve"> is a guide to the interior life of Orthodoxy — to prayer, theosis, the Trinity as the foundation of personal existence, and the relationship between suffering and salvation.</w:t>
      </w:r>
    </w:p>
    <w:p w14:paraId="3C3326EC" w14:textId="77777777" w:rsidR="000E133F" w:rsidRDefault="00EC5ECA">
      <w:pPr>
        <w:pStyle w:val="Heading4"/>
      </w:pPr>
      <w:r>
        <w:t>On Theosis and Its Centrality</w:t>
      </w:r>
    </w:p>
    <w:p w14:paraId="1168F22C" w14:textId="77777777" w:rsidR="000E133F" w:rsidRDefault="00EC5ECA">
      <w:pPr>
        <w:spacing w:before="60" w:after="140" w:line="360" w:lineRule="auto"/>
      </w:pPr>
      <w:r>
        <w:t xml:space="preserve">Ware's most characteristic and most frequently quoted theological formulation concerns the central place of theosis in Orthodox theology. In </w:t>
      </w:r>
      <w:r>
        <w:rPr>
          <w:i/>
          <w:iCs/>
        </w:rPr>
        <w:t>The Orthodox Way</w:t>
      </w:r>
      <w:r>
        <w:t xml:space="preserve"> he writes: "The deification of man is the chief end of Orthodox theology." This statement — simple, direct, comprehensive — captures the fundamental difference between Orthodox and most Western theological orientations: where Protestant theology centers on justification, Catholic theology on grace and nature, Orthodox theology centers on the transformation of the human person into genuine participation in the divine life. Everything else in Orthodox theology — the doctrine of the Trinity, C</w:t>
      </w:r>
      <w:r>
        <w:t>hristology, pneumatology, ecclesiology, sacramental theology, asceticism — finds its coherence and its ultimate purpose in relation to this central affirmation.</w:t>
      </w:r>
    </w:p>
    <w:p w14:paraId="021F2B93" w14:textId="77777777" w:rsidR="000E133F" w:rsidRDefault="00EC5ECA">
      <w:pPr>
        <w:spacing w:before="60" w:after="140" w:line="360" w:lineRule="auto"/>
      </w:pPr>
      <w:r>
        <w:lastRenderedPageBreak/>
        <w:t xml:space="preserve">In his more technical work, Ware engages the Palamite theology of theosis with care and precision. Drawing on the </w:t>
      </w:r>
      <w:r>
        <w:rPr>
          <w:i/>
          <w:iCs/>
        </w:rPr>
        <w:t>Philokalia</w:t>
      </w:r>
      <w:r>
        <w:t xml:space="preserve"> texts he translated with G.E.H. Palmer and Philip Sherrard (four volumes, 1979–1995), he demonstrates the continuity between the early desert tradition and the developed Palamite theology: the hesychast experience of the divine light is not a Byzantine curiosity but the culmination of a spiritual trajectory that runs from the desert fathers through the tradition of the Jesus Prayer to the explicit theological reflection of Palamas. The </w:t>
      </w:r>
      <w:r>
        <w:rPr>
          <w:i/>
          <w:iCs/>
        </w:rPr>
        <w:t>Philokalia</w:t>
      </w:r>
      <w:r>
        <w:t xml:space="preserve"> translation — perhaps Ware's most lasting scholarl</w:t>
      </w:r>
      <w:r>
        <w:t>y achievement — made available in English for the first time a substantial body of the primary hesychast texts, and its impact on the English-speaking spiritual world has been considerable.</w:t>
      </w:r>
    </w:p>
    <w:p w14:paraId="00D7529D" w14:textId="77777777" w:rsidR="000E133F" w:rsidRDefault="00EC5ECA">
      <w:pPr>
        <w:pStyle w:val="Heading4"/>
      </w:pPr>
      <w:r>
        <w:t>Universalism and Theological Openness</w:t>
      </w:r>
    </w:p>
    <w:p w14:paraId="5F890AF5" w14:textId="77777777" w:rsidR="000E133F" w:rsidRDefault="00EC5ECA">
      <w:pPr>
        <w:spacing w:before="60" w:after="140" w:line="360" w:lineRule="auto"/>
      </w:pPr>
      <w:r>
        <w:t xml:space="preserve">In his later career, Ware engaged with increasing openness a question that had been raised by the Fathers themselves but remained theologically contested: the question of universal salvation. Drawing on Origen's apocatastasis, Gregory of Nyssa's theology of eternal restoration, and the 20th-century explorations of Hans Urs von Balthasar, Ware argued in essays collected in </w:t>
      </w:r>
      <w:r>
        <w:rPr>
          <w:i/>
          <w:iCs/>
        </w:rPr>
        <w:t>The Inner Kingdom</w:t>
      </w:r>
      <w:r>
        <w:t xml:space="preserve"> (2000) and in his lecture "Dare We Hope for the Salvation of All?" that while the Orthodox Church affirms the reality of hell as a genuine possibility — rooted in the genuine freedom of the human will to reject God — there are strong patristic grounds for hoping, though not asserting with dogmatic certainty, that in the end all will be saved. God's love is stronger than human rejection; the divine energies work unceasingly to draw every person toward salvation; and the Orthodox theological</w:t>
      </w:r>
      <w:r>
        <w:t xml:space="preserve"> tradition, with its emphasis on the ultimate sovereignty of divine love, provides grounds for what Ware calls a "hopeful universalism" — not the confident universalism of Origen, which the Church condemned, but a prayerful hope that is held within the conviction of human freedom and divine mercy.</w:t>
      </w:r>
    </w:p>
    <w:p w14:paraId="27763323" w14:textId="77777777" w:rsidR="000E133F" w:rsidRDefault="00EC5ECA">
      <w:pPr>
        <w:spacing w:before="60" w:after="140" w:line="360" w:lineRule="auto"/>
      </w:pPr>
      <w:r>
        <w:t xml:space="preserve">This position generated significant controversy within Orthodox circles, where many theologians argued that it compromised the reality of hell and the seriousness of moral responsibility. Ware's response was characteristically careful: he did not deny the reality of hell or the possibility of damnation; he simply argued that Christian hope, grounded in the infinite love of God revealed in the Incarnation and the Resurrection, cannot set </w:t>
      </w:r>
      <w:r>
        <w:lastRenderedPageBreak/>
        <w:t>limits on what that love might ultimately accomplish. The question remains genuinely open within Orthodox theology, as it has been since Origen first raised it.</w:t>
      </w:r>
    </w:p>
    <w:p w14:paraId="7C94A026" w14:textId="77777777" w:rsidR="000E133F" w:rsidRDefault="00EC5ECA">
      <w:pPr>
        <w:pStyle w:val="Heading4"/>
      </w:pPr>
      <w:r>
        <w:t>The Philokalia and the Hesychast Legacy</w:t>
      </w:r>
    </w:p>
    <w:p w14:paraId="6CD0DB39" w14:textId="77777777" w:rsidR="000E133F" w:rsidRDefault="00EC5ECA">
      <w:pPr>
        <w:spacing w:before="60" w:after="140" w:line="360" w:lineRule="auto"/>
      </w:pPr>
      <w:r>
        <w:t xml:space="preserve">The four-volume English </w:t>
      </w:r>
      <w:r>
        <w:rPr>
          <w:i/>
          <w:iCs/>
        </w:rPr>
        <w:t>Philokalia</w:t>
      </w:r>
      <w:r>
        <w:t xml:space="preserve"> (1979–1995), translated and edited by Ware with G.E.H. Palmer and Philip Sherrard, represents the most significant contribution to the English-language availability of Orthodox spiritual texts since the founding of the great monastic centers. The Philokalia encompasses texts from the 4th through the 14th centuries: Antony the Great, Evagrius Ponticus, Macarius of Egypt, John Climacus, Hesychios the Priest, Diadochos of Photiki, Maximus the Confessor, Nikitas Stithatos (a disciple of Symeon the Ne</w:t>
      </w:r>
      <w:r>
        <w:t>w Theologian), Gregory Palamas, and others. The translation is remarkably literary — Sherrard and Palmer in particular brought considerable stylistic sensitivity to the project — while remaining faithful to the theological precision of the originals.</w:t>
      </w:r>
    </w:p>
    <w:p w14:paraId="2376F8A5" w14:textId="77777777" w:rsidR="000E133F" w:rsidRDefault="00EC5ECA">
      <w:pPr>
        <w:spacing w:before="60" w:after="140" w:line="360" w:lineRule="auto"/>
      </w:pPr>
      <w:r>
        <w:t xml:space="preserve">The reception of the English </w:t>
      </w:r>
      <w:r>
        <w:rPr>
          <w:i/>
          <w:iCs/>
        </w:rPr>
        <w:t>Philokalia</w:t>
      </w:r>
      <w:r>
        <w:t xml:space="preserve"> in the broader English-speaking world has been remarkable: it has been read and appreciated not only by Orthodox Christians and academic scholars but by a much wider readership of Christians of various traditions who have found in the hesychast texts a depth and directness of spiritual guidance that they could not find elsewhere. This reception is itself a testimonial to the universal significance of the hesychast tradition: the Jesus Prayer, the guard of the heart, the descent of the mind into t</w:t>
      </w:r>
      <w:r>
        <w:t>he heart, the experience of the divine light — these are not Byzantine cultural artifacts but universal expressions of the human soul's hunger for the living God.</w:t>
      </w:r>
    </w:p>
    <w:p w14:paraId="262D8AD0" w14:textId="77777777" w:rsidR="000E133F" w:rsidRDefault="00EC5ECA">
      <w:pPr>
        <w:pStyle w:val="Heading2"/>
      </w:pPr>
      <w:bookmarkStart w:id="127" w:name="_Toc232765354"/>
      <w:r>
        <w:t>CONCLUSION</w:t>
      </w:r>
      <w:bookmarkEnd w:id="127"/>
    </w:p>
    <w:p w14:paraId="3C33223B" w14:textId="77777777" w:rsidR="000E133F" w:rsidRDefault="00EC5ECA">
      <w:pPr>
        <w:spacing w:before="60" w:after="140" w:line="360" w:lineRule="auto"/>
      </w:pPr>
      <w:r>
        <w:t xml:space="preserve">The four chapters of this treatise have traced the major contours of Orthodox Mariology, the theology of iconography and hesychasm, the Orthodox engagement with the ecumenical movement, and the theological legacies of the tradition's most significant thinkers. Across all four domains, the organizing principle has been consistent: the Orthodox tradition is not a collection of discrete doctrines, devotional practices, or </w:t>
      </w:r>
      <w:r>
        <w:lastRenderedPageBreak/>
        <w:t>historical accidents, but a unified theological vision centered on the Incarnation and its consequences for the human person and the created order.</w:t>
      </w:r>
    </w:p>
    <w:p w14:paraId="10B51504" w14:textId="77777777" w:rsidR="000E133F" w:rsidRDefault="00EC5ECA">
      <w:pPr>
        <w:spacing w:before="60" w:after="140" w:line="360" w:lineRule="auto"/>
      </w:pPr>
      <w:r>
        <w:t xml:space="preserve">The </w:t>
      </w:r>
      <w:r>
        <w:rPr>
          <w:i/>
          <w:iCs/>
        </w:rPr>
        <w:t>Theotokos</w:t>
      </w:r>
      <w:r>
        <w:t xml:space="preserve"> is not primarily a title about Mary but a Christological confession that the eternal Son of God genuinely took flesh; the veneration of saints is not an exaltation of creatures but an expression of the Church's conviction that those who have participated most fully in the divine energies remain alive and active members of the Body; the icon is not a religious decoration but a material confession of the Incarnation's claim that matter has been sanctified by God's entry into it; hesychasm is not an </w:t>
      </w:r>
      <w:r>
        <w:t>individualistic spiritual technique but the experiential realization of theosis in the body as well as the soul; the ecumenical dialogue is not a search for organizational unity but an invitation to all Christians to return to the undivided patristic tradition; and the great theological thinkers of Orthodoxy — from John of Damascus to Kallistos Ware — are not isolated geniuses but expositors of a single continuous vision that finds its source in the apostolic proclamation and its continuous embodiment in th</w:t>
      </w:r>
      <w:r>
        <w:t>e living Church.</w:t>
      </w:r>
    </w:p>
    <w:p w14:paraId="0DF3FD4B" w14:textId="77777777" w:rsidR="000E133F" w:rsidRDefault="00EC5ECA">
      <w:pPr>
        <w:spacing w:before="60" w:after="140" w:line="360" w:lineRule="auto"/>
      </w:pPr>
      <w:r>
        <w:t>The tradition's extraordinary depth and coherence — the way in which Christology, Trinitarian theology, soteriology, pneumatology, ecclesiology, iconography, hesychasm, and eschatology all illuminate and support one another — is itself a testimony to the integrity of the Orthodox theological vision and to the faithfulness with which it has transmitted the apostolic faith across the centuries.</w:t>
      </w:r>
    </w:p>
    <w:p w14:paraId="6448DA9E" w14:textId="77777777" w:rsidR="000E133F" w:rsidRDefault="00EC5ECA">
      <w:pPr>
        <w:spacing w:before="60" w:after="140" w:line="360" w:lineRule="auto"/>
      </w:pPr>
      <w:r>
        <w:rPr>
          <w:i/>
          <w:iCs/>
        </w:rPr>
        <w:t>End of Part I, Chapters 7–10</w:t>
      </w:r>
    </w:p>
    <w:p w14:paraId="59F7DE53" w14:textId="77777777" w:rsidR="000E133F" w:rsidRDefault="00EC5ECA">
      <w:pPr>
        <w:spacing w:before="60" w:after="140" w:line="360" w:lineRule="auto"/>
      </w:pPr>
      <w:r>
        <w:rPr>
          <w:i/>
          <w:iCs/>
        </w:rPr>
        <w:t>Sources consulted: See eo_research_part1.md and the primary patristic sources cited throughout. All quotations from Cyril of Alexandria's Second Letter to Nestorius are taken from the standard critical text of the Acts of the Council of Ephesus (ACO I.1.1). Quotations from Irenaeus are taken from Adversus Haereses III.22, translated by the Rev. Alexander Roberts and James Donaldson. Quotations from John of Damascus are taken from the David Anderson translation of the Three Treatises on the Divine Images (SV</w:t>
      </w:r>
      <w:r>
        <w:rPr>
          <w:i/>
          <w:iCs/>
        </w:rPr>
        <w:t xml:space="preserve">S Press, 1980). Quotations from Gregory Palamas are taken from the Nicholas Gendle translation of the Triads (Paulist Press, 1983). Quotations from Symeon the New Theologian are taken from the George Maloney translation of the Hymns of Divine Love (Dimension Books, 1975). Quotations from John Climacus are </w:t>
      </w:r>
      <w:r>
        <w:rPr>
          <w:i/>
          <w:iCs/>
        </w:rPr>
        <w:lastRenderedPageBreak/>
        <w:t>taken from the Colm Luibheid/Norman Russell translation of The Ladder of Divine Ascent (Paulist Press, 1982). The Horos of Nicaea II is quoted from the Percival translation in NPNF Series 2, Volume 14. All</w:t>
      </w:r>
      <w:r>
        <w:rPr>
          <w:i/>
          <w:iCs/>
        </w:rPr>
        <w:t xml:space="preserve"> Scripture quotations are from the English Standard Version.</w:t>
      </w:r>
    </w:p>
    <w:p w14:paraId="15190AD2" w14:textId="77777777" w:rsidR="000E133F" w:rsidRDefault="00EC5ECA">
      <w:r>
        <w:br w:type="page"/>
      </w:r>
    </w:p>
    <w:p w14:paraId="7CC0C6A5" w14:textId="77777777" w:rsidR="000E133F" w:rsidRDefault="00EC5ECA">
      <w:r>
        <w:lastRenderedPageBreak/>
        <w:t xml:space="preserve"> </w:t>
      </w:r>
    </w:p>
    <w:p w14:paraId="0A91962A" w14:textId="77777777" w:rsidR="000E133F" w:rsidRDefault="00EC5ECA">
      <w:r>
        <w:t xml:space="preserve"> </w:t>
      </w:r>
    </w:p>
    <w:p w14:paraId="0E3A843B" w14:textId="77777777" w:rsidR="000E133F" w:rsidRDefault="00EC5ECA">
      <w:r>
        <w:t xml:space="preserve"> </w:t>
      </w:r>
    </w:p>
    <w:p w14:paraId="75EF7D08" w14:textId="77777777" w:rsidR="000E133F" w:rsidRDefault="00EC5ECA">
      <w:r>
        <w:t xml:space="preserve"> </w:t>
      </w:r>
    </w:p>
    <w:p w14:paraId="7F9CA58C" w14:textId="77777777" w:rsidR="000E133F" w:rsidRDefault="00EC5ECA">
      <w:r>
        <w:t xml:space="preserve"> </w:t>
      </w:r>
    </w:p>
    <w:p w14:paraId="3787DFA0" w14:textId="77777777" w:rsidR="000E133F" w:rsidRDefault="00EC5ECA">
      <w:r>
        <w:t xml:space="preserve"> </w:t>
      </w:r>
    </w:p>
    <w:p w14:paraId="729AC906" w14:textId="77777777" w:rsidR="000E133F" w:rsidRDefault="00EC5ECA">
      <w:r>
        <w:t xml:space="preserve"> </w:t>
      </w:r>
    </w:p>
    <w:p w14:paraId="371EEB75" w14:textId="77777777" w:rsidR="000E133F" w:rsidRDefault="00EC5ECA">
      <w:pPr>
        <w:pBdr>
          <w:bottom w:val="single" w:sz="6" w:space="0" w:color="1E3A4F"/>
        </w:pBdr>
        <w:spacing w:after="200"/>
        <w:jc w:val="center"/>
      </w:pPr>
      <w:r>
        <w:rPr>
          <w:b/>
          <w:bCs/>
          <w:caps/>
          <w:color w:val="1E3A4F"/>
          <w:sz w:val="56"/>
          <w:szCs w:val="56"/>
        </w:rPr>
        <w:t>PART TWO</w:t>
      </w:r>
    </w:p>
    <w:p w14:paraId="383BC025" w14:textId="77777777" w:rsidR="000E133F" w:rsidRDefault="00EC5ECA">
      <w:r>
        <w:t xml:space="preserve"> </w:t>
      </w:r>
    </w:p>
    <w:p w14:paraId="674720B5" w14:textId="77777777" w:rsidR="000E133F" w:rsidRDefault="00EC5ECA">
      <w:pPr>
        <w:spacing w:after="120"/>
        <w:jc w:val="center"/>
      </w:pPr>
      <w:r>
        <w:rPr>
          <w:i/>
          <w:iCs/>
          <w:color w:val="222222"/>
          <w:sz w:val="30"/>
          <w:szCs w:val="30"/>
        </w:rPr>
        <w:t>A Reformed Confessional Response</w:t>
      </w:r>
    </w:p>
    <w:p w14:paraId="2EBEB4B8" w14:textId="77777777" w:rsidR="000E133F" w:rsidRDefault="00EC5ECA">
      <w:pPr>
        <w:jc w:val="center"/>
      </w:pPr>
      <w:r>
        <w:rPr>
          <w:color w:val="666666"/>
        </w:rPr>
        <w:t>Scripture · Grace · Justification · Atonement · Ecclesiology · The Gospel</w:t>
      </w:r>
    </w:p>
    <w:p w14:paraId="6527BF13" w14:textId="77777777" w:rsidR="000E133F" w:rsidRDefault="00EC5ECA">
      <w:r>
        <w:br w:type="page"/>
      </w:r>
    </w:p>
    <w:p w14:paraId="40DA19A3" w14:textId="77777777" w:rsidR="000E133F" w:rsidRDefault="00EC5ECA">
      <w:pPr>
        <w:pStyle w:val="Heading1"/>
        <w:pageBreakBefore/>
      </w:pPr>
      <w:bookmarkStart w:id="128" w:name="_Toc232765355"/>
      <w:r>
        <w:lastRenderedPageBreak/>
        <w:t>PART TWO: THE FORMAL AND MATERIAL PRINCIPLES AT WAR</w:t>
      </w:r>
      <w:bookmarkEnd w:id="128"/>
    </w:p>
    <w:p w14:paraId="0A1664F9" w14:textId="77777777" w:rsidR="000E133F" w:rsidRDefault="00EC5ECA">
      <w:pPr>
        <w:pStyle w:val="Heading2"/>
      </w:pPr>
      <w:bookmarkStart w:id="129" w:name="_Toc232765356"/>
      <w:r>
        <w:t>Chapters 11–13: Scripture, Justification, and Sin</w:t>
      </w:r>
      <w:bookmarkEnd w:id="129"/>
    </w:p>
    <w:p w14:paraId="182C675F" w14:textId="77777777" w:rsidR="000E133F" w:rsidRDefault="00EC5ECA">
      <w:pPr>
        <w:pStyle w:val="Heading1"/>
        <w:pageBreakBefore/>
      </w:pPr>
      <w:bookmarkStart w:id="130" w:name="_Toc232765357"/>
      <w:r>
        <w:lastRenderedPageBreak/>
        <w:t>CHAPTER 11: THE GOVERNING EPISTEMOLOGICAL DIVIDE — SOLA SCRIPTURA VS. HOLY TRADITION</w:t>
      </w:r>
      <w:bookmarkEnd w:id="130"/>
    </w:p>
    <w:p w14:paraId="7A8662DA" w14:textId="77777777" w:rsidR="000E133F" w:rsidRDefault="00EC5ECA">
      <w:pPr>
        <w:pStyle w:val="Heading2"/>
      </w:pPr>
      <w:bookmarkStart w:id="131" w:name="_Toc232765358"/>
      <w:r>
        <w:t>11.1 — The Question Behind All Questions</w:t>
      </w:r>
      <w:bookmarkEnd w:id="131"/>
    </w:p>
    <w:p w14:paraId="108B4002" w14:textId="77777777" w:rsidR="000E133F" w:rsidRDefault="00EC5ECA">
      <w:pPr>
        <w:spacing w:before="60" w:after="140" w:line="360" w:lineRule="auto"/>
      </w:pPr>
      <w:r>
        <w:t>Every theological dispute between Eastern Orthodoxy and the Reformed faith is, in the final analysis, a dispute about the location and nature of divine authority. The question of icons, to take one example, turns on whether the Second Commandment forbids the use of religious images absolutely, or whether the Church's Spirit-guided Tradition has supplemented and qualified that commandment's range of application. The question of theosis versus forensic justification turns not only on the meaning of individual</w:t>
      </w:r>
      <w:r>
        <w:t xml:space="preserve"> Greek words but on who has the authority to bind the interpretation of those words — the confessional documents of Reformed Christianity, or the conciliar tradition of the Eastern Church. The question of ancestral versus original sin turns on whether the Greek patristic reading of Romans 5:12 is determinative for the Church's dogma, or whether the full canonical witness of Scripture, interpreted by grammatical-historical exegesis, adjudicates between the Greek and Latin readings. Every particular disagreem</w:t>
      </w:r>
      <w:r>
        <w:t>ent is therefore a downstream consequence of one foundational epistemological question: Where does divine authority reside, and how is it accessed?</w:t>
      </w:r>
    </w:p>
    <w:p w14:paraId="4923351D" w14:textId="77777777" w:rsidR="000E133F" w:rsidRDefault="00EC5ECA">
      <w:pPr>
        <w:spacing w:before="60" w:after="140" w:line="360" w:lineRule="auto"/>
      </w:pPr>
      <w:r>
        <w:t>This is why the chapter addressing Sola Scriptura must precede all the others, and why its resolution — or irresolution — governs everything that follows. If Eastern Orthodoxy is correct that Holy Tradition and the living magisterium of the Church bear co-equal authority with Scripture, then many Orthodox doctrines follow with a certain internal coherence. The Ecumenical Councils define Trinitarian orthodoxy; Nicaea II defines the proper veneration of icons; the Council of Dositheus (1672) defines salvation</w:t>
      </w:r>
      <w:r>
        <w:t xml:space="preserve"> against the Protestant error; and the patristic corpus, received through the Church's ongoing interpretive tradition, defines the meaning of Scripture passages at every contested point. Tradition authenticates, supplements, and interprets Scripture, and no Reformed exegetical argument can be allowed to trump the received consensus of the Fathers as adjudicated by the conciliar process.</w:t>
      </w:r>
    </w:p>
    <w:p w14:paraId="66B96FB3" w14:textId="77777777" w:rsidR="000E133F" w:rsidRDefault="00EC5ECA">
      <w:pPr>
        <w:spacing w:before="60" w:after="140" w:line="360" w:lineRule="auto"/>
      </w:pPr>
      <w:r>
        <w:lastRenderedPageBreak/>
        <w:t xml:space="preserve">If, on the other hand, the Reformed position is correct — that God has committed His entire salvific revelation to Holy Scripture, that Scripture is self-authenticating by virtue of its divine authorship, that the internal testimony of the Holy Spirit provides the ground of the believer's assurance, and that Scripture alone is the supreme judge of all religious controversies — then the entire Orthodox superstructure comes apart at its epistemological foundations. Arguments appealing to Tradition can be met </w:t>
      </w:r>
      <w:r>
        <w:t>with arguments from Scripture. Conciliar definitions can be examined and found wanting. Patristic opinions can be weighed and, where they diverge from the canonical text, set aside. No appeal to ecclesial continuity or liturgical antiquity can override the written Word of the living God.</w:t>
      </w:r>
    </w:p>
    <w:p w14:paraId="72FF21E2" w14:textId="77777777" w:rsidR="000E133F" w:rsidRDefault="00EC5ECA">
      <w:pPr>
        <w:spacing w:before="60" w:after="140" w:line="360" w:lineRule="auto"/>
      </w:pPr>
      <w:r>
        <w:t>This chapter aims to accomplish three things. First, it will present and defend the Reformed doctrine of Scripture as articulated in the Second London Baptist Confession of Faith (1689), with full commentary on each of the ten paragraphs of Chapter 1. Second, it will develop the doctrines of autopistia (Scripture's self-authentication) and the testimonium Spiritus Sancti internum (the internal testimony of the Holy Spirit) as the properly Reformed grounds for assurance of Scripture's authority. Third, it wi</w:t>
      </w:r>
      <w:r>
        <w:t>ll engage the positive evidence for the patristic practice of Sola Scriptura, contesting the Orthodox narrative that appeals to the Fathers as uniformly supporting Holy Tradition as Scripture's co-equal interpretive authority. The goal is not merely to demonstrate a stalemate between two epistemological frameworks, but to show that the Reformed position is both biblically grounded and historically precedented in the practice of the early Church — and that the Orthodox alternative generates an inescapably se</w:t>
      </w:r>
      <w:r>
        <w:t>lf-referential circle that cannot ground itself without assuming what it sets out to prove.</w:t>
      </w:r>
    </w:p>
    <w:p w14:paraId="40C3BE9B" w14:textId="77777777" w:rsidR="000E133F" w:rsidRDefault="00EC5ECA">
      <w:pPr>
        <w:spacing w:before="60" w:after="140" w:line="360" w:lineRule="auto"/>
      </w:pPr>
      <w:r>
        <w:t>The Reformed faith's claim is not that the Reformers invented a new epistemology in the sixteenth century. It is that the Reformers recovered what Scripture teaches about itself and what the earliest Fathers believed about Scripture's sufficiency and supremacy. The burden of proof, on this account, lies with those who claim that a body of tradition external to Scripture carries authority equal to Scripture itself — for it is they who are adding to the completed deposit of apostolic revelation.</w:t>
      </w:r>
    </w:p>
    <w:p w14:paraId="3074228A" w14:textId="77777777" w:rsidR="000E133F" w:rsidRDefault="00EC5ECA">
      <w:pPr>
        <w:pStyle w:val="Heading2"/>
      </w:pPr>
      <w:bookmarkStart w:id="132" w:name="_Toc232765359"/>
      <w:r>
        <w:lastRenderedPageBreak/>
        <w:t>11.2 — The Reformed Doctrine of Scripture: 2LBC Chapter 1 in Full</w:t>
      </w:r>
      <w:bookmarkEnd w:id="132"/>
    </w:p>
    <w:p w14:paraId="725DE6FD" w14:textId="77777777" w:rsidR="000E133F" w:rsidRDefault="00EC5ECA">
      <w:pPr>
        <w:spacing w:before="60" w:after="140" w:line="360" w:lineRule="auto"/>
      </w:pPr>
      <w:r>
        <w:t>The Second London Baptist Confession of Faith (1689), Chapter 1, "Of the Holy Scriptures," is among the most theologically precise and epistemologically rigorous articulations of the Reformed doctrine of Scripture in the entire confessional tradition. It serves as the architectonic foundation of the entire Confession: every subsequent chapter on God, man, Christ, salvation, the Church, and the last things stands upon the epistemological ground laid here. It is therefore necessary to reproduce each paragraph</w:t>
      </w:r>
      <w:r>
        <w:t xml:space="preserve"> in full before providing extended theological commentary.</w:t>
      </w:r>
    </w:p>
    <w:p w14:paraId="17737678" w14:textId="77777777" w:rsidR="000E133F" w:rsidRDefault="00EC5ECA">
      <w:pPr>
        <w:spacing w:before="60" w:after="140" w:line="360" w:lineRule="auto"/>
      </w:pPr>
      <w:r>
        <w:rPr>
          <w:b/>
          <w:bCs/>
        </w:rPr>
        <w:t>Paragraph 1:</w:t>
      </w:r>
    </w:p>
    <w:p w14:paraId="43948521" w14:textId="77777777" w:rsidR="000E133F" w:rsidRDefault="00EC5ECA">
      <w:pPr>
        <w:spacing w:before="60" w:after="140" w:line="360" w:lineRule="auto"/>
      </w:pPr>
      <w:r>
        <w:t>"The Holy Scripture is the only sufficient, certain, and infallible rule of all saving knowledge, faith, and obedience. Although the light of nature and the works of creation and providence do so far manifest the goodness, wisdom, and power of God, as to leave men unexcusable; yet they are not sufficient to give that knowledge of God and his will which is necessary unto salvation. Therefore it pleased the Lord at sundry times and in divers manners to reveal himself, and to declare that his will unto his Chu</w:t>
      </w:r>
      <w:r>
        <w:t>rch; and afterward for the better preserving and propagating of the truth, and for the more sure establishment and comfort of the Church against the corruption of the flesh, and the malice of Satan and of the world, to commit the same wholly unto writing; which maketh the Holy Scripture to be most necessary; those former ways of God's revealing his will unto his people being now completed."</w:t>
      </w:r>
    </w:p>
    <w:p w14:paraId="33C40AEC" w14:textId="77777777" w:rsidR="000E133F" w:rsidRDefault="00EC5ECA">
      <w:pPr>
        <w:spacing w:before="60" w:after="140" w:line="360" w:lineRule="auto"/>
      </w:pPr>
      <w:r>
        <w:t>This foundational paragraph makes several assertions that must be carefully unpacked. First, it distinguishes between natural revelation and special revelation. The Confession does not deny the reality or the moral force of natural revelation — Paul himself argues in Romans 1:18–20 that "what can be known about God is plain to them, because God has shown it to them. For his invisible attributes, namely, his eternal power and divine nature, have been clearly perceived, ever since the creation of the world, i</w:t>
      </w:r>
      <w:r>
        <w:t xml:space="preserve">n the things that have been made. So they are without excuse." Natural theology is not denied; it is evaluated. The Confession's verdict is that natural revelation, while sufficient to render humanity without excuse before God, is insufficient to supply the knowledge necessary </w:t>
      </w:r>
      <w:r>
        <w:lastRenderedPageBreak/>
        <w:t xml:space="preserve">for salvation. It cannot tell a guilty sinner who God's Redeemer is, what atonement has been made, how one is to be reconciled to God, or what the terms of divine acceptance are. For all of this, a further, special, verbal revelation </w:t>
      </w:r>
      <w:r>
        <w:t>from God is required.</w:t>
      </w:r>
    </w:p>
    <w:p w14:paraId="02E3C19A" w14:textId="77777777" w:rsidR="000E133F" w:rsidRDefault="00EC5ECA">
      <w:pPr>
        <w:spacing w:before="60" w:after="140" w:line="360" w:lineRule="auto"/>
      </w:pPr>
      <w:r>
        <w:t>Second, the paragraph makes a determinative claim about the completion of special revelation: the Lord committed His will "wholly unto writing," which makes Holy Scripture "most necessary," and the former ways of revelation "being now completed." This is the claim that Eastern Orthodoxy most vigorously contests. The Orthodox tradition holds that the Spirit continues to guide the Church into new doctrinal developments through the conciliar process. The Confession, by contrast, holds that the entirety of salv</w:t>
      </w:r>
      <w:r>
        <w:t>ifically necessary divine revelation has been inscripturated and that no new revelational content is to be anticipated or credited. The reference to "sundry times and in divers manners" is an echo of Hebrews 1:1–2, which reads: "Long ago, at many times and in many ways, God spoke to our fathers by the prophets, but in these last days he has spoken to us by his Son." The "last days" speech of the Son — the completed apostolic deposit — is precisely that which has been committed to writing. There is no furthe</w:t>
      </w:r>
      <w:r>
        <w:t>r chapter of divine revelatory history to be written by any ecclesiastical body, however venerable.</w:t>
      </w:r>
    </w:p>
    <w:p w14:paraId="7686D775" w14:textId="77777777" w:rsidR="000E133F" w:rsidRDefault="00EC5ECA">
      <w:pPr>
        <w:spacing w:before="60" w:after="140" w:line="360" w:lineRule="auto"/>
      </w:pPr>
      <w:r>
        <w:t>Third, the very act of committing revelation to writing is itself presented as a deliberate divine act for purposes of preservation and certainty against "the corruption of the flesh, and the malice of Satan and of the world." This is theologically crucial: God inscripturated His Word precisely because He knew that human tradition is corruptible. The written Word stands as a fixed standard against the inevitable distortions that oral transmission, ecclesiastical politics, and human fallibility would introdu</w:t>
      </w:r>
      <w:r>
        <w:t>ce into any purely traditional or institutional channel of revelation. The choice to commit revelation to writing is therefore not incidental but providential and apologetic in its very structure.</w:t>
      </w:r>
    </w:p>
    <w:p w14:paraId="2E048B49" w14:textId="77777777" w:rsidR="000E133F" w:rsidRDefault="00EC5ECA">
      <w:pPr>
        <w:spacing w:before="60" w:after="140" w:line="360" w:lineRule="auto"/>
      </w:pPr>
      <w:r>
        <w:t xml:space="preserve">The polemical target of Paragraph 1 is the Orthodox (and Roman Catholic) claim that Scripture is one stream of a larger river called Tradition, receiving its authority from and remaining incomplete without that broader channel. The Confession denies this absolutely: Scripture is the "only sufficient, certain, and infallible rule." The three </w:t>
      </w:r>
      <w:r>
        <w:lastRenderedPageBreak/>
        <w:t>adjectives are carefully chosen. "Sufficient" excludes supplements. "Certain" excludes the fallibility of human tradition as a necessary corrective. "Infallible" grounds the document's authority in the character of its divine author.</w:t>
      </w:r>
    </w:p>
    <w:p w14:paraId="7F602996" w14:textId="77777777" w:rsidR="000E133F" w:rsidRDefault="00EC5ECA">
      <w:pPr>
        <w:spacing w:before="60" w:after="140" w:line="360" w:lineRule="auto"/>
      </w:pPr>
      <w:r>
        <w:rPr>
          <w:b/>
          <w:bCs/>
        </w:rPr>
        <w:t>Paragraph 2:</w:t>
      </w:r>
    </w:p>
    <w:p w14:paraId="272856EE" w14:textId="77777777" w:rsidR="000E133F" w:rsidRDefault="00EC5ECA">
      <w:pPr>
        <w:spacing w:before="60" w:after="140" w:line="360" w:lineRule="auto"/>
      </w:pPr>
      <w:r>
        <w:t xml:space="preserve">"Under the name of Holy Scripture, or the Word of God written, are now contained all the Books of the Old and New Testament, which are these: Of the Old Testament: Genesis, Exodus, Leviticus, Numbers, Deuteronomy, Joshua, Judges, Ruth, I Samuel, II Samuel, I Kings, II Kings, I Chronicles, II Chronicles, Ezra, Nehemiah, Esther, Job, Psalms, Proverbs, Ecclesiastes, The Song of Songs, Isaiah, Jeremiah, Lamentations, Ezekiel, Daniel, Hosea, Joel, Amos, Obadiah, Jonah, Micah, Nahum, Habakkuk, Zephaniah, Haggai, </w:t>
      </w:r>
      <w:r>
        <w:t>Zechariah, Malachi. Of the New Testament: Matthew, Mark, Luke, John, The Acts of the Apostles, Paul's Epistle to the Romans, I Corinthians, II Corinthians, Galatians, Ephesians, Philippians, Colossians, I Thessalonians, II Thessalonians, I Timothy, II Timothy, Titus, Philemon, The Epistle to the Hebrews, The Epistle of James, The First and Second Epistles of Peter, The First, Second, and Third Epistles of John, The Epistle of Jude, The Revelation of John. All of which are given by the inspiration of God, to</w:t>
      </w:r>
      <w:r>
        <w:t xml:space="preserve"> be the rule of faith and life."</w:t>
      </w:r>
    </w:p>
    <w:p w14:paraId="519BB09E" w14:textId="77777777" w:rsidR="000E133F" w:rsidRDefault="00EC5ECA">
      <w:pPr>
        <w:spacing w:before="60" w:after="140" w:line="360" w:lineRule="auto"/>
      </w:pPr>
      <w:r>
        <w:t>This paragraph identifies the canon with precision. The thirty-nine books of the Old Testament correspond exactly to the Hebrew canon — the Tanakh as received within Second Temple Judaism and as cited extensively by Jesus and the apostles. The twenty-seven books of the New Testament represent the full apostolic deposit as recognized by the ancient church. The grounding phrase "given by the inspiration of God" directly echoes 2 Timothy 3:16: "All Scripture is breathed out by God (theopneustos) and profitable</w:t>
      </w:r>
      <w:r>
        <w:t xml:space="preserve"> for teaching, for reproof, for correction, and for training in righteousness." The divine authorship of each canonical book is the basis of its authority; the Church's recognition of the canon is the acknowledgment, not the conferral, of that pre-existing authority.</w:t>
      </w:r>
    </w:p>
    <w:p w14:paraId="5CD3742A" w14:textId="77777777" w:rsidR="000E133F" w:rsidRDefault="00EC5ECA">
      <w:pPr>
        <w:spacing w:before="60" w:after="140" w:line="360" w:lineRule="auto"/>
      </w:pPr>
      <w:r>
        <w:rPr>
          <w:b/>
          <w:bCs/>
        </w:rPr>
        <w:t>Paragraph 3:</w:t>
      </w:r>
    </w:p>
    <w:p w14:paraId="371C5623" w14:textId="77777777" w:rsidR="000E133F" w:rsidRDefault="00EC5ECA">
      <w:pPr>
        <w:spacing w:before="60" w:after="140" w:line="360" w:lineRule="auto"/>
      </w:pPr>
      <w:r>
        <w:lastRenderedPageBreak/>
        <w:t>"The books commonly called Apocrypha, not being of divine inspiration, are no part of the canon or rule of the Scripture, and therefore are of no authority to the church of God, nor to be any otherwise approved or made use of than other human writings."</w:t>
      </w:r>
    </w:p>
    <w:p w14:paraId="55213F40" w14:textId="77777777" w:rsidR="000E133F" w:rsidRDefault="00EC5ECA">
      <w:pPr>
        <w:spacing w:before="60" w:after="140" w:line="360" w:lineRule="auto"/>
      </w:pPr>
      <w:r>
        <w:t>The explicit exclusion of the Apocrypha is not peripheral but structurally essential. The Orthodox Church and the Roman Catholic Church include deuterocanonical works such as 1 and 2 Maccabees, Sirach, Wisdom of Solomon, Tobit, and Judith. The Confession's rejection of these books is grounded in the principle that Scripture's authority derives from divine inspiration, and the deuterocanonical books cannot be demonstrated to possess that inspiration. They were never recognized as canonical by the Jewish comm</w:t>
      </w:r>
      <w:r>
        <w:t xml:space="preserve">unity — to whom, Paul insists, "were entrusted the oracles of God" (Romans 3:2). Their theological content in several places introduces doctrines that contradict the New Testament's teaching, most egregiously 2 Maccabees 12:43–45, which teaches prayers and sacrifices for the dead as a means of securing their resurrection — a doctrine that, if canonical, would provide scriptural warrant for purgatory, a doctrine the Confession nowhere teaches and which contradicts the Reformed understanding of justification </w:t>
      </w:r>
      <w:r>
        <w:t>by faith alone as a completed act.</w:t>
      </w:r>
    </w:p>
    <w:p w14:paraId="77845F7A" w14:textId="77777777" w:rsidR="000E133F" w:rsidRDefault="00EC5ECA">
      <w:pPr>
        <w:spacing w:before="60" w:after="140" w:line="360" w:lineRule="auto"/>
      </w:pPr>
      <w:r>
        <w:rPr>
          <w:b/>
          <w:bCs/>
        </w:rPr>
        <w:t>Paragraph 4:</w:t>
      </w:r>
    </w:p>
    <w:p w14:paraId="2C4FB45F" w14:textId="77777777" w:rsidR="000E133F" w:rsidRDefault="00EC5ECA">
      <w:pPr>
        <w:spacing w:before="60" w:after="140" w:line="360" w:lineRule="auto"/>
      </w:pPr>
      <w:r>
        <w:t>"The authority of the Holy Scripture, for which it ought to be believed, dependeth not upon the testimony of any man or church; but wholly upon God (who is truth itself), the author thereof; therefore it is to be received because it is the Word of God."</w:t>
      </w:r>
    </w:p>
    <w:p w14:paraId="08C76D77" w14:textId="77777777" w:rsidR="000E133F" w:rsidRDefault="00EC5ECA">
      <w:pPr>
        <w:spacing w:before="60" w:after="140" w:line="360" w:lineRule="auto"/>
      </w:pPr>
      <w:r>
        <w:t>This is the paragraph on autopistia — Scripture's self-authentication. The Confession makes a claim that cuts directly against both Orthodox and Roman Catholic ecclesiology at their most fundamental point. Rome argues (and the Orthodox, in their own way, agree) that the believer knows Scripture is the Word of God because the Church tells him so. The Confession denies that the Church's testimony is the ground of Scripture's authority. Authority is entirely a function of authorship: God is the author of Scrip</w:t>
      </w:r>
      <w:r>
        <w:t>ture, therefore Scripture has divine authority — period. The Church does not confer, supplement, or qualify this authority. It receives, acknowledges, and submits to it.</w:t>
      </w:r>
    </w:p>
    <w:p w14:paraId="65BF369C" w14:textId="77777777" w:rsidR="000E133F" w:rsidRDefault="00EC5ECA">
      <w:pPr>
        <w:spacing w:before="60" w:after="140" w:line="360" w:lineRule="auto"/>
      </w:pPr>
      <w:r>
        <w:t xml:space="preserve">The polemical target is made explicit: "the testimony of any man or church." No papal declaration, no conciliar definition, no patristic consensus, no liturgical reception — </w:t>
      </w:r>
      <w:r>
        <w:lastRenderedPageBreak/>
        <w:t>however impressive the human authority behind it — constitutes the ground of Scripture's claim on the conscience. The ground is entirely divine. The word "author" is key: if God is the author, and God is truth itself (John 14:6; 17:17), then everything He speaks is true, and His Word carries the authority of His own perfections. To make the Church the authenticator of Scripture is, at bottom, to make the Church the ultimate epistemic authority — because it is the Church's word, not God's Word directly, that</w:t>
      </w:r>
      <w:r>
        <w:t xml:space="preserve"> the believer is trusting when he accepts Scripture as canonical.</w:t>
      </w:r>
    </w:p>
    <w:p w14:paraId="739EEA57" w14:textId="77777777" w:rsidR="000E133F" w:rsidRDefault="00EC5ECA">
      <w:pPr>
        <w:spacing w:before="60" w:after="140" w:line="360" w:lineRule="auto"/>
      </w:pPr>
      <w:r>
        <w:rPr>
          <w:b/>
          <w:bCs/>
        </w:rPr>
        <w:t>Paragraph 5:</w:t>
      </w:r>
    </w:p>
    <w:p w14:paraId="32910C7C" w14:textId="77777777" w:rsidR="000E133F" w:rsidRDefault="00EC5ECA">
      <w:pPr>
        <w:spacing w:before="60" w:after="140" w:line="360" w:lineRule="auto"/>
      </w:pPr>
      <w:r>
        <w:t>"We may be moved and induced by the testimony of the church of God to a high and reverent esteem of the Holy Scripture; and the heavenliness of the matter, the efficacy of the doctrine, the majesty of the style, the consent of all the parts, the scope of the whole (which is to give all glory to God), the full discovery it makes of the only way of man's salvation, the many other incomparable excellencies, and the entire perfection thereof, are arguments whereby it doth abundantly evidence itself to be the Wo</w:t>
      </w:r>
      <w:r>
        <w:t>rd of God; yet notwithstanding, our full persuasion and assurance of its infallible truth and divine authority is from the inward work of the Holy Spirit bearing witness by and with the Word in our hearts."</w:t>
      </w:r>
    </w:p>
    <w:p w14:paraId="0198B4B6" w14:textId="77777777" w:rsidR="000E133F" w:rsidRDefault="00EC5ECA">
      <w:pPr>
        <w:spacing w:before="60" w:after="140" w:line="360" w:lineRule="auto"/>
      </w:pPr>
      <w:r>
        <w:t xml:space="preserve">This paragraph balances external and internal testimony with care. The Confession does not dismiss the ecclesial testimony, the internal marks of Scripture's divine character, or the arguments from Scripture's coherence and majesty. These are all legitimate and valuable instruments by which a person may be led to a high estimation of the Bible. But "our full persuasion and assurance" — the settled, unshakeable certainty of faith — comes not from these external arguments but from the inward testimony of the </w:t>
      </w:r>
      <w:r>
        <w:t>Holy Spirit. This is the testimonium Spiritus Sancti internum, the doctrine John Calvin develops at length in the Institutes (I.7–8) and which will be examined in detail in Section 11.3.</w:t>
      </w:r>
    </w:p>
    <w:p w14:paraId="5A595E6A" w14:textId="77777777" w:rsidR="000E133F" w:rsidRDefault="00EC5ECA">
      <w:pPr>
        <w:spacing w:before="60" w:after="140" w:line="360" w:lineRule="auto"/>
      </w:pPr>
      <w:r>
        <w:rPr>
          <w:b/>
          <w:bCs/>
        </w:rPr>
        <w:t>Paragraph 6:</w:t>
      </w:r>
    </w:p>
    <w:p w14:paraId="31880078" w14:textId="77777777" w:rsidR="000E133F" w:rsidRDefault="00EC5ECA">
      <w:pPr>
        <w:spacing w:before="60" w:after="140" w:line="360" w:lineRule="auto"/>
      </w:pPr>
      <w:r>
        <w:t xml:space="preserve">"The whole counsel of God concerning all things necessary for his own glory, man's salvation, faith, and life, is either expressly set down or necessarily contained in the Holy Scripture: unto which nothing is at any time to be added, whether by new </w:t>
      </w:r>
      <w:r>
        <w:lastRenderedPageBreak/>
        <w:t>revelation of the Spirit, or traditions of men. Nevertheless we acknowledge the inward illumination of the Spirit of God to be necessary for the saving understanding of such things as are revealed in the Word; and that there are some circumstances concerning the worship of God, and government of the church, common to human actions and societies, which are to be ordered by the light of nature and Christian prudence, according to the general rules of the Word, which are always to be observed."</w:t>
      </w:r>
    </w:p>
    <w:p w14:paraId="4986D97B" w14:textId="77777777" w:rsidR="000E133F" w:rsidRDefault="00EC5ECA">
      <w:pPr>
        <w:spacing w:before="60" w:after="140" w:line="360" w:lineRule="auto"/>
      </w:pPr>
      <w:r>
        <w:t>The first sentence of Paragraph 6 contains the single most important claim in the chapter for the debate with Eastern Orthodoxy: "Nothing is at any time to be added to it, whether by new revelation of the Spirit, or traditions of men." This sentence explicitly forecloses both pneumatic enthusiasm (the claim that the Spirit is still delivering new doctrinal revelation) and ecclesiastical tradition (the claim that the Church's Tradition supplements Scripture's content). The "whole counsel of God" is "either e</w:t>
      </w:r>
      <w:r>
        <w:t>xpressly set down or necessarily contained" in Scripture. Expressly set down: whatever is plainly taught by the text. Necessarily contained: whatever is deducible by good and necessary consequence from the biblical text. These two modes of reasoning from Scripture encompass the full range of doctrinal affirmation the Church is authorized to make. Anything beyond these bounds — whether claimed on the basis of conciliar authority, apostolic succession, liturgical tradition, or pneumatic illumination — is an i</w:t>
      </w:r>
      <w:r>
        <w:t>llegitimate addition to the closed deposit of revelation.</w:t>
      </w:r>
    </w:p>
    <w:p w14:paraId="55520E03" w14:textId="77777777" w:rsidR="000E133F" w:rsidRDefault="00EC5ECA">
      <w:pPr>
        <w:spacing w:before="60" w:after="140" w:line="360" w:lineRule="auto"/>
      </w:pPr>
      <w:r>
        <w:t>The second sentence of the paragraph is equally important for avoiding a misunderstanding: the Confession fully affirms that the Spirit's inward illumination is necessary for "the saving understanding of such things as are revealed in the Word." The Spirit does not add new revelatory content to Scripture; He illuminates the content that is already there. He opens blind eyes to see what is written; He does not write new pages. This distinction between illumination (the Spirit's ongoing work in application) a</w:t>
      </w:r>
      <w:r>
        <w:t>nd revelation (the Spirit's completed work in inscripturation) is fundamental to the Reformed doctrine, and its collapse is the root of the Orthodox epistemological error.</w:t>
      </w:r>
    </w:p>
    <w:p w14:paraId="47F06A1F" w14:textId="77777777" w:rsidR="000E133F" w:rsidRDefault="00EC5ECA">
      <w:pPr>
        <w:spacing w:before="60" w:after="140" w:line="360" w:lineRule="auto"/>
      </w:pPr>
      <w:r>
        <w:rPr>
          <w:b/>
          <w:bCs/>
        </w:rPr>
        <w:t>Paragraph 7:</w:t>
      </w:r>
    </w:p>
    <w:p w14:paraId="6D2409B7" w14:textId="77777777" w:rsidR="000E133F" w:rsidRDefault="00EC5ECA">
      <w:pPr>
        <w:spacing w:before="60" w:after="140" w:line="360" w:lineRule="auto"/>
      </w:pPr>
      <w:r>
        <w:t xml:space="preserve">"All things in Scripture are not alike plain in themselves, nor alike clear unto all; yet those things which are necessary to be known, believed, and observed for salvation, are </w:t>
      </w:r>
      <w:r>
        <w:lastRenderedPageBreak/>
        <w:t>so clearly propounded and opened in some place of Scripture or other, that not only the learned, but the unlearned, in a due use of the ordinary means, may attain unto a sufficient understanding of them."</w:t>
      </w:r>
    </w:p>
    <w:p w14:paraId="1A95A53F" w14:textId="77777777" w:rsidR="000E133F" w:rsidRDefault="00EC5ECA">
      <w:pPr>
        <w:spacing w:before="60" w:after="140" w:line="360" w:lineRule="auto"/>
      </w:pPr>
      <w:r>
        <w:t xml:space="preserve">This is the perspicuity of Scripture — what the Confession calls its clarity. The doctrine of perspicuity is frequently misunderstood, and so it must be carefully stated. The Confession does not claim that every passage of Scripture is equally clear. It claims that the things "necessary to be known, believed, and observed for salvation" are "so clearly propounded and opened in some place of Scripture or other" that they are accessible to the earnest student, learned or unlearned alike. This is a deliberate </w:t>
      </w:r>
      <w:r>
        <w:t>democratization of scriptural access: the interpretive authority over salvifically necessary truth does not reside in a magisterium, a hierarchy of bishops, or an elite class of patristic scholars. It resides in the plain text, accessible to any person who approaches it with a due use of ordinary means — reading, hearing, prayer, and the Spirit's illumination.</w:t>
      </w:r>
    </w:p>
    <w:p w14:paraId="79F12DC9" w14:textId="77777777" w:rsidR="000E133F" w:rsidRDefault="00EC5ECA">
      <w:pPr>
        <w:spacing w:before="60" w:after="140" w:line="360" w:lineRule="auto"/>
      </w:pPr>
      <w:r>
        <w:t>The polemical target here is the Orthodox claim that Scripture requires the authoritative interpretive tradition of the Church to yield its true meaning. This claim implies that the Scripture's meaning is not perspicuous — that it is opaque or indeterminate apart from ecclesiastical interpretation. The Confession rejects this: where salvation is at stake, the text is clear. The doctrine of forensic justification by faith alone, for example, is not hidden in the depths of Romans and Galatians, accessible onl</w:t>
      </w:r>
      <w:r>
        <w:t>y to those versed in patristic interpretation. It is there on the surface of the text, plainly stated, expressly set down — which is precisely why ordinary Christian people throughout the centuries who have read their Bibles have again and again arrived at something resembling the Reformation's rediscovery of it.</w:t>
      </w:r>
    </w:p>
    <w:p w14:paraId="3476784C" w14:textId="77777777" w:rsidR="000E133F" w:rsidRDefault="00EC5ECA">
      <w:pPr>
        <w:spacing w:before="60" w:after="140" w:line="360" w:lineRule="auto"/>
      </w:pPr>
      <w:r>
        <w:rPr>
          <w:b/>
          <w:bCs/>
        </w:rPr>
        <w:t>Paragraph 8:</w:t>
      </w:r>
    </w:p>
    <w:p w14:paraId="3FF1D440" w14:textId="77777777" w:rsidR="000E133F" w:rsidRDefault="00EC5ECA">
      <w:pPr>
        <w:spacing w:before="60" w:after="140" w:line="360" w:lineRule="auto"/>
      </w:pPr>
      <w:r>
        <w:t xml:space="preserve">"The Old Testament in Hebrew (which was the native language of the people of God of old), and the New Testament in Greek (which at the time of the writing of it was most generally known to the nations), being immediately inspired by God, and by his singular care and providence kept pure in all ages, are therefore authentical; so as in all controversies of religion, the church is finally to appeal to them. But because these original tongues are not known to all the people of God, who have a right unto, and </w:t>
      </w:r>
      <w:r>
        <w:lastRenderedPageBreak/>
        <w:t>interest in the Scriptures, and are commanded, in the fear of God, to read and search them, therefore they are to be translated into the vulgar language of every nation unto which they come, that the Word of God dwelling plentifully in all, they may worship him in an acceptable manner, and through patience and comfort of the Scriptures, may have hope."</w:t>
      </w:r>
    </w:p>
    <w:p w14:paraId="3B687085" w14:textId="77777777" w:rsidR="000E133F" w:rsidRDefault="00EC5ECA">
      <w:pPr>
        <w:spacing w:before="60" w:after="140" w:line="360" w:lineRule="auto"/>
      </w:pPr>
      <w:r>
        <w:t>The Hebrew and Greek originals are "immediately inspired" — this distinguishes them from translations, which are authoritative only derivatively. In all religious controversies, the Church's final appeal is to the original language text. This is a pointed methodological claim: the text of Scripture in its original languages is the supreme court of theological adjudication, accessible for examination by any trained scholar. No translation, liturgical reception, or patristic commentary can supersede the origi</w:t>
      </w:r>
      <w:r>
        <w:t>nal text. This is the methodological foundation of the Reformation's hermeneutical revolution: ad fontes, to the sources, and specifically to the Hebrew and Greek originals.</w:t>
      </w:r>
    </w:p>
    <w:p w14:paraId="30B16CEB" w14:textId="77777777" w:rsidR="000E133F" w:rsidRDefault="00EC5ECA">
      <w:pPr>
        <w:spacing w:before="60" w:after="140" w:line="360" w:lineRule="auto"/>
      </w:pPr>
      <w:r>
        <w:rPr>
          <w:b/>
          <w:bCs/>
        </w:rPr>
        <w:t>Paragraph 9:</w:t>
      </w:r>
    </w:p>
    <w:p w14:paraId="21AC3B9B" w14:textId="77777777" w:rsidR="000E133F" w:rsidRDefault="00EC5ECA">
      <w:pPr>
        <w:spacing w:before="60" w:after="140" w:line="360" w:lineRule="auto"/>
      </w:pPr>
      <w:r>
        <w:t>"The infallible rule of interpretation of Scripture is the Scripture itself; and therefore when there is a question about the true and full sense of any Scripture (which is not manifold but one), it is to be searched and known by other places that speak more clearly."</w:t>
      </w:r>
    </w:p>
    <w:p w14:paraId="677760AE" w14:textId="77777777" w:rsidR="000E133F" w:rsidRDefault="00EC5ECA">
      <w:pPr>
        <w:spacing w:before="60" w:after="140" w:line="360" w:lineRule="auto"/>
      </w:pPr>
      <w:r>
        <w:t>Scripture interprets Scripture — this is the analogia Scripturae or analogia fidei (the analogy of Scripture, or the analogy of faith). The principle that Scripture interprets Scripture means that the controlling context for any given passage is the totality of the canonical text, not the patristic commentary tradition or the liturgical reading of any particular ecclesial community. This gives every competent exegete access to the ultimate standard of interpretation — the canon itself — without requiring me</w:t>
      </w:r>
      <w:r>
        <w:t>diation through an authoritative tradition. The Orthodox insist that this method merely reproduces the interpreter's own assumptions in the name of Scripture. The Reformed insist that submission to Scripture's own internal logic — following where the plain sense of clearer passages leads in interpreting the more obscure — is the most disciplined and least self-referential hermeneutical method available.</w:t>
      </w:r>
    </w:p>
    <w:p w14:paraId="69C4D5F7" w14:textId="77777777" w:rsidR="000E133F" w:rsidRDefault="00EC5ECA">
      <w:pPr>
        <w:spacing w:before="60" w:after="140" w:line="360" w:lineRule="auto"/>
      </w:pPr>
      <w:r>
        <w:rPr>
          <w:b/>
          <w:bCs/>
        </w:rPr>
        <w:t>Paragraph 10:</w:t>
      </w:r>
    </w:p>
    <w:p w14:paraId="3F514E01" w14:textId="77777777" w:rsidR="000E133F" w:rsidRDefault="00EC5ECA">
      <w:pPr>
        <w:spacing w:before="60" w:after="140" w:line="360" w:lineRule="auto"/>
      </w:pPr>
      <w:r>
        <w:lastRenderedPageBreak/>
        <w:t>"The Supreme Judge, by which all controversies of religion are to be determined, and all decrees of councils, opinions of ancient writers, doctrines of men, and private spirits are to be examined, and in whose sentence we are to rest, can be no other but the Holy Scripture delivered by the Spirit; into this scripture so believed is our faith finally resolved."</w:t>
      </w:r>
    </w:p>
    <w:p w14:paraId="2D2A5E12" w14:textId="77777777" w:rsidR="000E133F" w:rsidRDefault="00EC5ECA">
      <w:pPr>
        <w:spacing w:before="60" w:after="140" w:line="360" w:lineRule="auto"/>
      </w:pPr>
      <w:r>
        <w:t>This is the capstone of the chapter, and it is comprehensive in its sweep. Notice the items over which Scripture functions as supreme judge: "decrees of councils" — this includes the Seven Ecumenical Councils of Eastern Orthodoxy; "opinions of ancient writers" — this includes the entire patristic corpus; "doctrines of men" — this includes any theological system or confessional tradition; and "private spirits" — this includes any individual's claim to pneumatic insight. Everything is subject to examination b</w:t>
      </w:r>
      <w:r>
        <w:t>y Scripture. Nothing is exempt. And the sentence of Scripture — correctly interpreted by the grammatical-historical method, with Scripture interpreting Scripture — is where faith finally rests.</w:t>
      </w:r>
    </w:p>
    <w:p w14:paraId="4D67ACFC" w14:textId="77777777" w:rsidR="000E133F" w:rsidRDefault="00EC5ECA">
      <w:pPr>
        <w:spacing w:before="60" w:after="140" w:line="360" w:lineRule="auto"/>
      </w:pPr>
      <w:r>
        <w:t>The Orthodox response to Paragraph 10 is that the "Scripture delivered by the Spirit" is precisely the Scripture as received, interpreted, and applied within the life of the Spirit-guided Church. The Confession's "Scripture delivered by the Spirit" and the Orthodox "Scripture within Holy Tradition" are, on this reading, merely two ways of describing the same thing. The Reformed response is that this objection merely restates the Orthodox position without engaging the Confession's actual claim. The Confessio</w:t>
      </w:r>
      <w:r>
        <w:t>n does not deny that the Spirit illuminates Scripture in the hearts of readers; it denies that this illuminating work takes the institutional form of a conciliar tradition that bears independent doctrinal authority. The Spirit bears witness "by and with the Word in our hearts" (Para. 5) — not by and with the traditions of men.</w:t>
      </w:r>
    </w:p>
    <w:p w14:paraId="1D640E39" w14:textId="77777777" w:rsidR="000E133F" w:rsidRDefault="00EC5ECA">
      <w:pPr>
        <w:pStyle w:val="Heading2"/>
      </w:pPr>
      <w:bookmarkStart w:id="133" w:name="_Toc232765360"/>
      <w:r>
        <w:t>11.3 — The Self-Authenticating Scripture (Autopistia)</w:t>
      </w:r>
      <w:bookmarkEnd w:id="133"/>
    </w:p>
    <w:p w14:paraId="22826FE9" w14:textId="77777777" w:rsidR="000E133F" w:rsidRDefault="00EC5ECA">
      <w:pPr>
        <w:spacing w:before="60" w:after="140" w:line="360" w:lineRule="auto"/>
      </w:pPr>
      <w:r>
        <w:t>The Reformed doctrine of the autopistia of Scripture is the claim that Scripture does not derive its authority from any source external to itself. It is self-authenticating (Greek: autopiston — bearing its own authority in itself) by virtue of its divine authorship. The locus classicus for this doctrine in the Reformed tradition is Calvin's treatment in Institutes I.7, which must be examined at length.</w:t>
      </w:r>
    </w:p>
    <w:p w14:paraId="010BF0E6" w14:textId="77777777" w:rsidR="000E133F" w:rsidRDefault="00EC5ECA">
      <w:pPr>
        <w:spacing w:before="60" w:after="140" w:line="360" w:lineRule="auto"/>
      </w:pPr>
      <w:r>
        <w:lastRenderedPageBreak/>
        <w:t>Calvin opens I.7 with a decisive methodological observation: "Before I proceed further, it is proper to make some observations on the authority of Scripture, in order that our minds may not only be prepared to receive it with reverence, but be divested of all doubt." He then addresses the primary epistemological challenge: how do we know Scripture is the Word of God? The answer, Calvin insists, cannot consist in an appeal to the Church's testimony without generating a circular and epistemologically unstable</w:t>
      </w:r>
      <w:r>
        <w:t xml:space="preserve"> result. He writes: "For if the Christian religion is to be believed as true, it must be held to be true on the ground of the Word of God, and the Word of God on the testimony of the Church — the whole system is established on a circular argument." The problem with grounding Scripture's authority in the Church's testimony is that it inverts the proper relationship: "It is a most pernicious error, that Scripture has only so much weight as is conceded to it by the suffrages of the Church, as though the eterna</w:t>
      </w:r>
      <w:r>
        <w:t>l and inviolable truth of God depended on the will of men." If the Church authenticates Scripture, Scripture's authority is derived — ultimately, the Church is the higher authority, and Scripture is authoritative only insofar as the Church says so.</w:t>
      </w:r>
    </w:p>
    <w:p w14:paraId="42256452" w14:textId="77777777" w:rsidR="000E133F" w:rsidRDefault="00EC5ECA">
      <w:pPr>
        <w:spacing w:before="60" w:after="140" w:line="360" w:lineRule="auto"/>
      </w:pPr>
      <w:r>
        <w:t>Calvin then presents the positive doctrine: "Scripture is indeed self-authenticated (α</w:t>
      </w:r>
      <w:r>
        <w:t>ὐ</w:t>
      </w:r>
      <w:r>
        <w:t>τόπιστος — autopiston); hence, it is not right to subject it to proof and reasoning. And the certainty it deserves with us, it attains by the testimony of the Spirit. For though in its own majesty it has enough to command reverence, it seriously affects us only when it is sealed to our hearts by the Holy Spirit." The self-authentication of Scripture does not mean that Scripture simply asserts its own authority and demands credence on that bare assertion — which would indeed be circular. It means that Scrip</w:t>
      </w:r>
      <w:r>
        <w:t>ture's authority is intrinsic to its nature as the Word of the living God: as the light of the sun requires no external attestation to prove itself real (those with eyes to see simply see it), so Scripture bears the marks of divine authorship in its own structure, coherence, majesty, and power. But those marks are truly perceived not by the operation of natural reason alone but by the Spirit-illuminated heart.</w:t>
      </w:r>
    </w:p>
    <w:p w14:paraId="2F86838B" w14:textId="77777777" w:rsidR="000E133F" w:rsidRDefault="00EC5ECA">
      <w:pPr>
        <w:spacing w:before="60" w:after="140" w:line="360" w:lineRule="auto"/>
      </w:pPr>
      <w:r>
        <w:t xml:space="preserve">This leads Calvin to the testimonium Spiritus Sancti internum — the internal testimony of the Holy Spirit. He writes in I.7.4: "Those whom the Holy Spirit has inwardly taught rest upon Scripture, and that Scripture indeed is self-authenticated; hence it is not right to subject it to proof and reasoning. And the certainty it deserves with us, it attains by </w:t>
      </w:r>
      <w:r>
        <w:lastRenderedPageBreak/>
        <w:t>the testimony of the Spirit. For though in its own majesty it has enough to command reverence, it seriously affects us only when it is sealed to our hearts by the Holy Spirit. Therefore, illumined by his power, we believe neither by our own nor by anyone else's judgment that Scripture is from God; but above human judgment we affirm with utter certainty (just as if we were gazing upon the majesty of God himself) that it has flowed to us from the very mouth of God by the ministry of men."</w:t>
      </w:r>
    </w:p>
    <w:p w14:paraId="5671440F" w14:textId="77777777" w:rsidR="000E133F" w:rsidRDefault="00EC5ECA">
      <w:pPr>
        <w:spacing w:before="60" w:after="140" w:line="360" w:lineRule="auto"/>
      </w:pPr>
      <w:r>
        <w:t xml:space="preserve">The testimonium is not a mystical experience that bypasses rational examination of the text. It is the Spirit's work of enabling the human heart to recognize what the text already is — the Word of God. The Spirit who inspired the text also illuminates the reader to receive it as such. This is the ground of full assurance: not the Church's testimony (which is fallible, changing, and historically contested) and not the arguments of natural reason alone (which, while persuasive to the Spirit-illuminated mind, </w:t>
      </w:r>
      <w:r>
        <w:t>cannot in themselves compel faith), but the Spirit's own witness bearing itself in and through the Word.</w:t>
      </w:r>
    </w:p>
    <w:p w14:paraId="524CE81D" w14:textId="77777777" w:rsidR="000E133F" w:rsidRDefault="00EC5ECA">
      <w:pPr>
        <w:spacing w:before="60" w:after="140" w:line="360" w:lineRule="auto"/>
      </w:pPr>
      <w:r>
        <w:t xml:space="preserve">Francis Turretin addresses the charge of circularity in his Institutes of Elenctic Theology, Topic 2, Question 6, "Whether the Scriptures are Autopiston — that is, of Undoubted Credibility — and the Supreme Judge of Controversies." Turretin argues that the accusation of circularity fundamentally misunderstands what the Reformed claim is. He distinguishes between "the formal reason of believing" (the cause that grounds the belief) and "the means by which the belief is formed." God is the formal reason — His </w:t>
      </w:r>
      <w:r>
        <w:t>authority is why the Scripture is credible. The Scripture itself is the medium through which that authority is communicated. The Spirit's testimony is the means by which this authority becomes effective in the heart. None of these three are the same thing, and the "circle" only appears if they are conflated.</w:t>
      </w:r>
    </w:p>
    <w:p w14:paraId="6B717341" w14:textId="77777777" w:rsidR="000E133F" w:rsidRDefault="00EC5ECA">
      <w:pPr>
        <w:spacing w:before="60" w:after="140" w:line="360" w:lineRule="auto"/>
      </w:pPr>
      <w:r>
        <w:t>Turretin writes in Topic 2, Q. 6: "We assert the scriptures are α</w:t>
      </w:r>
      <w:r>
        <w:t>ὐ</w:t>
      </w:r>
      <w:r>
        <w:t xml:space="preserve">τόπιστα (autopista) — i.e., worthy of credit of themselves — because they have God for their author, whose authority needs no external proof, but sufficiently proves and recommends itself both by external and internal marks." He then distinguishes what he calls the objective ground (God's authorship and the intrinsic properties of the text) from the subjective condition (the Spirit's illumination in the heart). The objection that the Reformed position is </w:t>
      </w:r>
      <w:r>
        <w:lastRenderedPageBreak/>
        <w:t xml:space="preserve">circular would apply equally to any first-principle </w:t>
      </w:r>
      <w:r>
        <w:t>claim — the epistemological regress cannot be stopped anywhere without appealing to something that is its own ground. The Reformed claim is that the only non-circular stopping point is the divine authorship of Scripture itself, witnessed by the Spirit to the renewed heart.</w:t>
      </w:r>
    </w:p>
    <w:p w14:paraId="7A5F72D4" w14:textId="77777777" w:rsidR="000E133F" w:rsidRDefault="00EC5ECA">
      <w:pPr>
        <w:spacing w:before="60" w:after="140" w:line="360" w:lineRule="auto"/>
      </w:pPr>
      <w:r>
        <w:t>The contrast with the Orthodox and Catholic position is stark. If the Church authenticates Scripture, one must ask: how do I know the Church's testimony is reliable? Because the Spirit guides the Church into all truth. How do I know the Spirit guides the Church? Because the Church's tradition says so. How do I know the tradition is reliable? Because the Church authoritatively interprets it. And so on. The Orthodox circle is not less circular than the Reformed position; it is more circular, because it introd</w:t>
      </w:r>
      <w:r>
        <w:t>uces an additional human institution into the epistemological chain and then claims that institution is itself infallible. At least the Reformed position grounds itself in the character of God, not in the claims of a fallible human organization about its own infallibility.</w:t>
      </w:r>
    </w:p>
    <w:p w14:paraId="3AC536B6" w14:textId="77777777" w:rsidR="000E133F" w:rsidRDefault="00EC5ECA">
      <w:pPr>
        <w:spacing w:before="60" w:after="140" w:line="360" w:lineRule="auto"/>
      </w:pPr>
      <w:r>
        <w:t>The pastoral import of the testimonium must not be overlooked. The ground of the believer's certainty about Scripture is not ultimately historical research, patristic scholarship, or ecclesiastical endorsement — all of which are beyond the reach of most ordinary Christians. It is the Spirit's own testimony, which is accessible to every regenerate heart. The shepherd and the farmer reading their Bibles can know, with the full certainty of faith, that what they are reading is the Word of God — not because a b</w:t>
      </w:r>
      <w:r>
        <w:t>ishop has told them so, but because the Spirit who gave the Word bears witness in their hearts that it is His. This is the democratization of religious knowledge that the Reformation both recovered and placed at the center of its theology.</w:t>
      </w:r>
    </w:p>
    <w:p w14:paraId="3AD0BC29" w14:textId="77777777" w:rsidR="000E133F" w:rsidRDefault="00EC5ECA">
      <w:pPr>
        <w:pStyle w:val="Heading2"/>
      </w:pPr>
      <w:bookmarkStart w:id="134" w:name="_Toc232765361"/>
      <w:r>
        <w:t>11.4 — The Patristic Evidence: Did the Fathers Teach Sola Scriptura?</w:t>
      </w:r>
      <w:bookmarkEnd w:id="134"/>
    </w:p>
    <w:p w14:paraId="74CF34C7" w14:textId="77777777" w:rsidR="000E133F" w:rsidRDefault="00EC5ECA">
      <w:pPr>
        <w:spacing w:before="60" w:after="140" w:line="360" w:lineRule="auto"/>
      </w:pPr>
      <w:r>
        <w:t xml:space="preserve">The Orthodox claim to the Fathers as witnesses for their doctrine of Holy Tradition is one of the most rhetorically powerful arguments in the Orthodox arsenal. If the early Fathers consistently treated the Church's living tradition as bearing co-equal authority with Scripture in doctrinal adjudication, then the Protestant appeal to Scripture alone represents a genuine departure from ancient practice, whatever its biblical merits. The </w:t>
      </w:r>
      <w:r>
        <w:lastRenderedPageBreak/>
        <w:t>question is therefore both historically and theologically significant. We will argue that the claim to patristic support for Holy Tradition as a co-equal doctrinal authority is exaggerated, selective, and in key instances demonstrably false, and that the more careful and comprehensive historical work — represented above all by William Webster's three-volume Holy Scripture: The Ground and Pillar of Our Faith (2001) — demonstrates that the leading Fathers of the Church appealed to Scripture as the supreme cou</w:t>
      </w:r>
      <w:r>
        <w:t>rt of doctrinal adjudication in a manner much more congruent with the Reformed position than with the Orthodox one.</w:t>
      </w:r>
    </w:p>
    <w:p w14:paraId="4C28A5DC" w14:textId="77777777" w:rsidR="000E133F" w:rsidRDefault="00EC5ECA">
      <w:pPr>
        <w:spacing w:before="60" w:after="140" w:line="360" w:lineRule="auto"/>
      </w:pPr>
      <w:r>
        <w:t xml:space="preserve">Irenaeus of Lyon (c. 130–202 AD) is frequently cited by Orthodox apologists as the Father who definitively established the authority of Tradition against the Gnostics. His appeal to the "rule of faith" (regula fidei) and to the succession of bishops in Adversus Haereses is presented as proof that from the earliest period, the Church's Tradition and episcopal succession, not Scripture alone, settled doctrinal disputes. But this reading of Irenaeus is one-sided. In Adversus Haereses II.28.2, Irenaeus writes: </w:t>
      </w:r>
      <w:r>
        <w:t>"If, therefore, even with respect to Creation, there are some things [the knowledge of] which belongs only to God, and others which come within the range of our own knowledge, what ground of complaint is it if, in regard to those things which we investigate in the Scriptures, which are throughout spiritual, we are able by the grace of God to explain some of them, while we must leave others in the hands of God, and that not only in the present world, but also in that which is to come, so that God should fore</w:t>
      </w:r>
      <w:r>
        <w:t>ver teach, and man should forever learn the things that are taught him by God?" Here Irenaeus is not subordinating Scripture to Tradition but precisely the opposite: the things investigated "in the Scriptures" are the things one examines, with some things explained by grace and others left to God. Scripture is the arena of doctrinal investigation, not one source among many.</w:t>
      </w:r>
    </w:p>
    <w:p w14:paraId="4E6FD498" w14:textId="77777777" w:rsidR="000E133F" w:rsidRDefault="00EC5ECA">
      <w:pPr>
        <w:spacing w:before="60" w:after="140" w:line="360" w:lineRule="auto"/>
      </w:pPr>
      <w:r>
        <w:t>Irenaeus's famous appeal to Tradition in Adversus Haereses III.3 must be understood in its polemical context. The Gnostics claimed a secret oral tradition that supplemented and overrode the publicly available apostolic writings. Irenaeus's response was to point to the public, observable, traceable tradition of the bishops as proof that no such secret tradition existed — the apostolic deposit is what the bishops publicly teach, and it is consistent with the public Scriptures. His argument is thus not "Tradit</w:t>
      </w:r>
      <w:r>
        <w:t xml:space="preserve">ion supplements </w:t>
      </w:r>
      <w:r>
        <w:lastRenderedPageBreak/>
        <w:t>Scripture" but "the public tradition of the Church confirms the public Scriptures against the Gnostic appeal to secret supplements." This is substantially different from the Orthodox claim that Tradition bears independent doctrinal content.</w:t>
      </w:r>
    </w:p>
    <w:p w14:paraId="333BA5BC" w14:textId="77777777" w:rsidR="000E133F" w:rsidRDefault="00EC5ECA">
      <w:pPr>
        <w:spacing w:before="60" w:after="140" w:line="360" w:lineRule="auto"/>
      </w:pPr>
      <w:r>
        <w:t xml:space="preserve">Athanasius of Alexandria (296–373 AD), the great champion of Nicene orthodoxy, appealed repeatedly to Scripture as the supreme standard of doctrinal proof. In his De Decretis (On the Decrees of Nicaea), written to defend the Council's use of the term homoousios (of the same substance), Athanasius does not simply appeal to the Council's authority as self-validating. He defends the term as legitimate precisely because it captures what Scripture teaches about the Son's relationship to the Father. His argument </w:t>
      </w:r>
      <w:r>
        <w:t>throughout is to demonstrate that the Nicene theology is the teaching of Scripture — the Council derives its authority from its fidelity to the scriptural deposit, not the other way around. In De Incarnatione 3.3, Athanasius states that the knowledge of the divine mysteries is to be derived "from the divinely inspired Scriptures" — and his polemical engagement throughout his life consists of demonstrating that the Arians contradict Scripture, not merely that they contradict Tradition.</w:t>
      </w:r>
    </w:p>
    <w:p w14:paraId="1251E0F6" w14:textId="77777777" w:rsidR="000E133F" w:rsidRDefault="00EC5ECA">
      <w:pPr>
        <w:spacing w:before="60" w:after="140" w:line="360" w:lineRule="auto"/>
      </w:pPr>
      <w:r>
        <w:t>Basil of Caesarea (329–379 AD) is occasionally cited by Orthodox apologists as supporting unwritten tradition on the basis of On the Holy Spirit 27.66, where Basil defends certain liturgical practices (the doxology "with the Father and the Son together") by appeal to unwritten tradition. But Basil's use of unwritten tradition is carefully limited: he appeals to it for liturgical practices, not for doctrinal propositions. His attitude toward Scripture as the doctrinal norm is clear from On the Holy Spirit 7.</w:t>
      </w:r>
      <w:r>
        <w:t>16: "What our Fathers said, the same say we, that the glory of the Father and of the Son is common." When Basil wishes to vindicate the equality of the Holy Spirit with the Father and the Son, he does so by appeal to Baptismal formula and patristic testimony, but he frames the entire argument as one that is consistent with and derived from Scripture. The doctrinal point — the Spirit's divinity — he regards as established from Scripture; the liturgical practice is the tradition he appeals to in order to show</w:t>
      </w:r>
      <w:r>
        <w:t xml:space="preserve"> its antiquity.</w:t>
      </w:r>
    </w:p>
    <w:p w14:paraId="6A2FF1AA" w14:textId="77777777" w:rsidR="000E133F" w:rsidRDefault="00EC5ECA">
      <w:pPr>
        <w:spacing w:before="60" w:after="140" w:line="360" w:lineRule="auto"/>
      </w:pPr>
      <w:r>
        <w:t xml:space="preserve">Cyril of Jerusalem (315–386 AD) provides one of the clearest patristic statements of what can only be called functional sola Scriptura. In his Catechetical Lectures 4.17, he </w:t>
      </w:r>
      <w:r>
        <w:lastRenderedPageBreak/>
        <w:t>writes: "Have thou ever in thy mind this seal, which for the present has been lightly touched in my prelection, but shall be stated, should the Lord permit, to the best of my ability with the proof from the Scriptures. For concerning the divine and holy mysteries of the Faith, not even a casual statement must be delivered without the Holy Scriptures; nor must we be drawn aside by mere plausibility and artifices of speech. Even to me, who tell thee these things, give not absolute credence, unless thou receiv</w:t>
      </w:r>
      <w:r>
        <w:t>e the proof of the things which I announce from the Divine Scriptures. For this salvation which we believe depends not on ingenious reasoning, but on demonstration of the Holy Scriptures." Here Cyril explicitly subordinates his own teaching authority to the proof from Scripture. The catechumen is not to believe Cyril simply because Cyril is a bishop; he is to verify everything from Scripture. This is not the epistemological posture of someone who believes that episcopal tradition bears independent doctrinal</w:t>
      </w:r>
      <w:r>
        <w:t xml:space="preserve"> authority.</w:t>
      </w:r>
    </w:p>
    <w:p w14:paraId="4C56FEB8" w14:textId="77777777" w:rsidR="000E133F" w:rsidRDefault="00EC5ECA">
      <w:pPr>
        <w:spacing w:before="60" w:after="140" w:line="360" w:lineRule="auto"/>
      </w:pPr>
      <w:r>
        <w:t>John Chrysostom (349–407 AD) returns to the same theme with characteristic bluntness. In his Homilies on Matthew 1.1, he writes: "This is the cause of all evil, the not knowing the Scriptures. We go into battle without arms, and how should we not be wounded?" For Chrysostom, ignorance of Scripture is not merely a devotional failure — it is the root cause of all theological error and moral failure. The solution is not to submit oneself to the Church's authoritative tradition but to know the Scriptures. In hi</w:t>
      </w:r>
      <w:r>
        <w:t>s Homilies on 2 Thessalonians 4, he explicitly addresses the question of tradition: "What then? Are we to receive everything that is handed down without examining it? God forbid. But we must examine whether it agrees with the Scriptures, and if it does not, we must refuse it." This is a direct statement that the criterion of theological validity is agreement with Scripture, not antiquity or ecclesiastical endorsement.</w:t>
      </w:r>
    </w:p>
    <w:p w14:paraId="4076AB44" w14:textId="77777777" w:rsidR="000E133F" w:rsidRDefault="00EC5ECA">
      <w:pPr>
        <w:spacing w:before="60" w:after="140" w:line="360" w:lineRule="auto"/>
      </w:pPr>
      <w:r>
        <w:t>The cumulative picture that emerges from this patristic survey is one that fits the Reformed doctrine much more closely than the Orthodox one. The leading Fathers of the Church — across different centuries and geographical locations — consistently treated Scripture as the supreme court of doctrinal adjudication. They appealed to tradition where it was consistent with Scripture and as supportive evidence for the antiquity of scriptural teaching. But they did not treat tradition as an independent source of do</w:t>
      </w:r>
      <w:r>
        <w:t xml:space="preserve">ctrine that could establish what Scripture did not contain or override what Scripture plainly taught. William Webster's conclusion, reached after three volumes of </w:t>
      </w:r>
      <w:r>
        <w:lastRenderedPageBreak/>
        <w:t>detailed patristic analysis, is decisive: "It has been demonstrated time and again throughout this work that the Reformers' position regarding the unique authority of Scripture was, in fact, the teaching of the early church."</w:t>
      </w:r>
    </w:p>
    <w:p w14:paraId="2395220D" w14:textId="77777777" w:rsidR="000E133F" w:rsidRDefault="00EC5ECA">
      <w:pPr>
        <w:pStyle w:val="Heading2"/>
      </w:pPr>
      <w:bookmarkStart w:id="135" w:name="_Toc232765362"/>
      <w:r>
        <w:t>11.5 — The Self-Refuting Circle of Tradition</w:t>
      </w:r>
      <w:bookmarkEnd w:id="135"/>
    </w:p>
    <w:p w14:paraId="2B48181A" w14:textId="77777777" w:rsidR="000E133F" w:rsidRDefault="00EC5ECA">
      <w:pPr>
        <w:spacing w:before="60" w:after="140" w:line="360" w:lineRule="auto"/>
      </w:pPr>
      <w:r>
        <w:t>The Eastern Orthodox appeal to Holy Tradition as Scripture's co-equal authority, or as Scripture's necessary interpretive context, generates a series of epistemological difficulties that, when pressed, reveal the argument to be inescapably circular. This is not a trivial polemical point but a fundamental epistemological challenge that the Orthodox position must answer if it is to serve as a serious alternative to the Reformed doctrine.</w:t>
      </w:r>
    </w:p>
    <w:p w14:paraId="07D16CF3" w14:textId="77777777" w:rsidR="000E133F" w:rsidRDefault="00EC5ECA">
      <w:pPr>
        <w:spacing w:before="60" w:after="140" w:line="360" w:lineRule="auto"/>
      </w:pPr>
      <w:r>
        <w:t>The circularity of the Orthodox position can be traced through a series of questions. How does a contemporary Orthodox Christian know which councils are truly Ecumenical and therefore binding? The answer given is: by the Church's reception of them. Seven councils are Ecumenical; others (the Robber Council of Ephesus in 449, the Council of Hieria in 754) were not truly received, and therefore their definitions did not carry binding authority. But this raises the next question: how do we know whether a counci</w:t>
      </w:r>
      <w:r>
        <w:t>l's reception was genuine? The Orthodox answer is that the Spirit guides the Church in its reception of true conciliar decisions. How, then, do we know the Spirit guides the Church in this way? The answer points to the Church's teaching about the Spirit's presence — in other words, to Tradition. How do we know that Tradition is authoritative? Because the Church, guided by the Spirit, has received it as authoritative. And the circle closes upon itself.</w:t>
      </w:r>
    </w:p>
    <w:p w14:paraId="084D4F0B" w14:textId="77777777" w:rsidR="000E133F" w:rsidRDefault="00EC5ECA">
      <w:pPr>
        <w:spacing w:before="60" w:after="140" w:line="360" w:lineRule="auto"/>
      </w:pPr>
      <w:r>
        <w:t>The problem is not merely formal but substantive. The Orthodox criterion for recognizing a council as Ecumenical — reception by the whole Church — is historically ambiguous to a degree that undermines its function as a reliable criterion. Nestorius was condemned at Ephesus (431), but the Nestorian church, comprising millions of Christians in Persia and the East, rejected that condemnation for centuries. Were they part of "the whole Church" whose non-reception might have invalidated Ephesus? The Orthodox say</w:t>
      </w:r>
      <w:r>
        <w:t xml:space="preserve"> no — but why not? The answer requires a prior definition of "the Church" that excludes those who disagree, which is precisely what is at issue. Monophysite </w:t>
      </w:r>
      <w:r>
        <w:lastRenderedPageBreak/>
        <w:t>communities rejected Chalcedon (451) and continued to exist as major Christian bodies; the Chalcedonian definition was not universally received for centuries after the Council. Does this mean Chalcedon was not truly Ecumenical? The Orthodox say it was — but then reception cannot be the criterion in any simple empirical sense, because the reception was n</w:t>
      </w:r>
      <w:r>
        <w:t>ot universal.</w:t>
      </w:r>
    </w:p>
    <w:p w14:paraId="18DE0548" w14:textId="77777777" w:rsidR="000E133F" w:rsidRDefault="00EC5ECA">
      <w:pPr>
        <w:spacing w:before="60" w:after="140" w:line="360" w:lineRule="auto"/>
      </w:pPr>
      <w:r>
        <w:t>John Owen pressed a version of this argument in his work The Divine Original of the Scripture, where he argued that the primitive Church's confidence in Scripture rested not on any magisterial pronouncement but on the Spirit's testimony through the Word itself. Owen writes that the Word is self-evidencing — it carries "the characters of its own divine original" — and that the Church's ministry in relation to Scripture is receptive and ministerial, not constitutive or authoritative. The Church is the witness</w:t>
      </w:r>
      <w:r>
        <w:t xml:space="preserve"> and keeper of Scripture; it is not the judge of Scripture. When the Church attempts to stand over Scripture as its judge and authenticator, it arrogates to itself a function that belongs to God alone.</w:t>
      </w:r>
    </w:p>
    <w:p w14:paraId="187D5C0C" w14:textId="77777777" w:rsidR="000E133F" w:rsidRDefault="00EC5ECA">
      <w:pPr>
        <w:spacing w:before="60" w:after="140" w:line="360" w:lineRule="auto"/>
      </w:pPr>
      <w:r>
        <w:t>The Reformed position, by contrast, does not ground itself on a human institution's claim about its own authority. The ground is the divine authorship of Scripture, attested by the Spirit in the heart. This is not, as critics charge, an appeal to subjective feeling — the Spirit's testimony is not a vague impression but a cognitive recognition of the divine character of the canonical Word, worked through the instruments of reading, hearing, and reflection on the text. The Spirit who inspired the Word works i</w:t>
      </w:r>
      <w:r>
        <w:t>n and through the Word to produce the recognition of its divine origin. This is epistemologically sounder than the Orthodox alternative because it locates the ground of authority in God's own nature — not in a human institution's self-certification.</w:t>
      </w:r>
    </w:p>
    <w:p w14:paraId="1C40F760" w14:textId="77777777" w:rsidR="000E133F" w:rsidRDefault="00EC5ECA">
      <w:pPr>
        <w:spacing w:before="60" w:after="140" w:line="360" w:lineRule="auto"/>
      </w:pPr>
      <w:r>
        <w:t>The practical consequences of the Orthodox epistemological framework are significant. A convert to Eastern Orthodoxy must trust the Church's account of which councils are authentic, which Fathers are authoritative, which traditions are genuinely apostolic, and which readings of Scripture are correct — and all of this must be accepted on the authority of the very institution whose authority is in question. The Reformed believer, by contrast, is directed to the text of Scripture itself, which speaks with tran</w:t>
      </w:r>
      <w:r>
        <w:t xml:space="preserve">sparent clarity on the things necessary for salvation, and is given the Spirit's own testimony as </w:t>
      </w:r>
      <w:r>
        <w:lastRenderedPageBreak/>
        <w:t>the ground of assurance. It is this that gives the ordinary lay Christian direct access to God's saving revelation without institutional mediation — and it is this that the Reformation rightly identified as the recovery of the apostolic pattern.</w:t>
      </w:r>
    </w:p>
    <w:p w14:paraId="035EEE80" w14:textId="77777777" w:rsidR="000E133F" w:rsidRDefault="00EC5ECA">
      <w:pPr>
        <w:pStyle w:val="Heading2"/>
      </w:pPr>
      <w:bookmarkStart w:id="136" w:name="_Toc232765363"/>
      <w:r>
        <w:t>11.6 — The Canon Question: The Hebrew Canon vs. the LXX Deuterocanon</w:t>
      </w:r>
      <w:bookmarkEnd w:id="136"/>
    </w:p>
    <w:p w14:paraId="6BF0690F" w14:textId="77777777" w:rsidR="000E133F" w:rsidRDefault="00EC5ECA">
      <w:pPr>
        <w:spacing w:before="60" w:after="140" w:line="360" w:lineRule="auto"/>
      </w:pPr>
      <w:r>
        <w:t xml:space="preserve">The question of the Old Testament canon is not a marginal debate about the status of a few disputed books. It is a question about the scope and boundaries of divine revelation — about which writings God has set apart as His authoritative Word, and which writings, however valuable for piety and historical knowledge, do not carry the weight of divine authority. The Second London Baptist Confession addresses this directly in Paragraphs 2 and 3, identifying the sixty-six books of the Hebrew and Greek canonical </w:t>
      </w:r>
      <w:r>
        <w:t>Scriptures and explicitly excluding the Apocrypha from the canon: "The books commonly called Apocrypha, not being of divine inspiration, are no part of the canon or rule of the Scripture, and therefore are of no authority to the church of God, nor to be any otherwise approved or made use of than other human writings."</w:t>
      </w:r>
    </w:p>
    <w:p w14:paraId="00FB4603" w14:textId="77777777" w:rsidR="000E133F" w:rsidRDefault="00EC5ECA">
      <w:pPr>
        <w:spacing w:before="60" w:after="140" w:line="360" w:lineRule="auto"/>
      </w:pPr>
      <w:r>
        <w:t>The argument for the sixty-six book Hebrew canon rests on several converging lines of evidence. The first is the principle articulated in Romans 3:2, where Paul writes that to the Jews "were entrusted the oracles of God." The Jewish people were the custodians of the Old Testament canon. The question of which books belong in the Old Testament is therefore substantially a question about what the Jewish community recognized as Scripture. And the Jewish community, consistently from the Second Temple period onwa</w:t>
      </w:r>
      <w:r>
        <w:t>rd, recognized only what we know as the thirty-nine books of the Old Testament — the Torah, the Nevi'im (Prophets), and the Ketuvim (Writings). The Tripartite division of the Hebrew Bible was well established before the Christian era, as is evidenced by the Prologue to the Wisdom of Ben Sira (Sirach), written around 130 BC, which refers to "the Law and the Prophets and the other books of our ancestors" — precisely the tripartite division. The Wisdom of Ben Sira itself, significantly, is placed by this Prolo</w:t>
      </w:r>
      <w:r>
        <w:t>gue outside the established canonical categories: it is an addition to, not a part of, "the Law and the Prophets and the other books."</w:t>
      </w:r>
    </w:p>
    <w:p w14:paraId="42B98162" w14:textId="77777777" w:rsidR="000E133F" w:rsidRDefault="00EC5ECA">
      <w:pPr>
        <w:spacing w:before="60" w:after="140" w:line="360" w:lineRule="auto"/>
      </w:pPr>
      <w:r>
        <w:lastRenderedPageBreak/>
        <w:t>The most decisive ancient witness is Josephus (c. 37–100 AD), writing in Against Apion 1.37–42: "We do not possess myriads of inconsistent books, conflicting with each other. Our books, those which are justly accredited, are but two and twenty, and contain the record of all time. Of these, five are the books of Moses, comprising the laws and the traditional history from the birth of man down to the death of Moses. This period falls only a little short of three thousand years. From the death of Moses until A</w:t>
      </w:r>
      <w:r>
        <w:t>rtaxerxes, who succeeded Xerxes as king of Persia, the prophets subsequent to Moses wrote the history of the events of their own times in thirteen books. The remaining four books contain hymns to God and precepts for the conduct of human life." Twenty-two books is the Hebrew way of counting what Protestants call the thirty-nine — the same books, organized according to the Hebrew system of counting Samuel, Kings, Chronicles as single books, and combining the twelve Minor Prophets into one book, and so forth.</w:t>
      </w:r>
      <w:r>
        <w:t xml:space="preserve"> Josephus explicitly notes that no books after the time of Artaxerxes — a reference to roughly 400 BC — carry the same canonical status, because the succession of prophets had ceased. This effectively excludes the deuterocanonical books, all of which date from after this period.</w:t>
      </w:r>
    </w:p>
    <w:p w14:paraId="61A57174" w14:textId="77777777" w:rsidR="000E133F" w:rsidRDefault="00EC5ECA">
      <w:pPr>
        <w:spacing w:before="60" w:after="140" w:line="360" w:lineRule="auto"/>
      </w:pPr>
      <w:r>
        <w:t>Roger Beckwith's The Old Testament Canon of the New Testament Church (1985) represents the most thorough and comprehensive historical examination of this question in modern scholarship. Beckwith demonstrates that the tripartite canon was not merely a product of the so-called "Council of Jamnia" (c. 90 AD), a rabbinic assembly whose influence on canon formation has been greatly exaggerated. Rather, the tripartite canon was already well established in the pre-Christian period — it is evidenced in the Dead Sea</w:t>
      </w:r>
      <w:r>
        <w:t xml:space="preserve"> Scrolls, in Philo, in the New Testament itself, and in the writings of Second Temple Judaism more broadly. The books of the deuterocanon (Tobit, Judith, 1–2 Maccabees, Sirach, Wisdom, Baruch) were known and read by Jewish communities, but they were not placed within the canonical tripartite division. They circulated as edifying religious literature without the mark of canonical authority.</w:t>
      </w:r>
    </w:p>
    <w:p w14:paraId="22FE672E" w14:textId="77777777" w:rsidR="000E133F" w:rsidRDefault="00EC5ECA">
      <w:pPr>
        <w:spacing w:before="60" w:after="140" w:line="360" w:lineRule="auto"/>
      </w:pPr>
      <w:r>
        <w:t xml:space="preserve">The New Testament evidence is strongly supportive of this conclusion. Jesus and the apostles quote extensively from the books of the Hebrew canon — citing nearly every book within the thirty-nine. Jesus refers to "the Law of Moses, the Prophets, and the Psalms" (Luke 24:44) — precisely the tripartite Hebrew canon. No New Testament </w:t>
      </w:r>
      <w:r>
        <w:lastRenderedPageBreak/>
        <w:t>writer ever introduces a quotation from a deuterocanonical book with the formula "it is written" or "Scripture says" or any other form of citation that indicates canonical authority. The absence of such citations, across the entire New Testament, is not an argument from silence in any trivial sense: it is a consistent pattern of canonical recognition by the very people who were charged with establishing the doctrine of the primitive Church.</w:t>
      </w:r>
    </w:p>
    <w:p w14:paraId="14C902BD" w14:textId="77777777" w:rsidR="000E133F" w:rsidRDefault="00EC5ECA">
      <w:pPr>
        <w:spacing w:before="60" w:after="140" w:line="360" w:lineRule="auto"/>
      </w:pPr>
      <w:r>
        <w:t>Jerome (c. 347–420 AD) formulated what is known as the hebraica veritas — the truth of the Hebrew text — as the authoritative standard for Old Testament canon and text. In his Prologus Galeatus (a preface to the books of Samuel and Kings), Jerome explicitly distinguishes the books found in the Hebrew Bible from the deuterocanonical books, which he calls "apocryphal" — placed outside the canon and suitable only for the instruction of the people, not for establishing doctrine. Jerome writes: "Whatever falls o</w:t>
      </w:r>
      <w:r>
        <w:t>utside of these must be set aside among the apocryphal writings. Therefore, the Wisdom which generally bears the name of Solomon, and the book of Jesus son of Sirach, and Judith, and Tobias, and the Shepherd are not in the canon." This is a remarkable statement from the man who produced the Vulgate — the Latin Bible that became the standard text of the Western Church for over a millennium. Jerome's canonical judgment, rooted in his deep knowledge of the Hebrew tradition, supports the Protestant position.</w:t>
      </w:r>
    </w:p>
    <w:p w14:paraId="7E7ADAE2" w14:textId="77777777" w:rsidR="000E133F" w:rsidRDefault="00EC5ECA">
      <w:pPr>
        <w:spacing w:before="60" w:after="140" w:line="360" w:lineRule="auto"/>
      </w:pPr>
      <w:r>
        <w:t xml:space="preserve">The theological problems generated by including the deuterocanonical books in the canon are well illustrated by 2 Maccabees 12:43–45: "He also took up a collection, man by man, to the amount of two thousand drachmas of silver, and sent it to Jerusalem to provide for a sin offering. In doing this he acted very well and honorably, taking account of the resurrection. For if he were not expecting that those who had fallen would rise again, it would have been superfluous and foolish to pray for the dead. But if </w:t>
      </w:r>
      <w:r>
        <w:t>he was looking to the splendid reward that is laid up for those who fall asleep in godliness, it was a holy and pious thought. Therefore he made atonement for the dead, so that they might be delivered from their sin." This text has been used since the medieval period to support the doctrine of purgatory and prayers for the dead. If canonical, it provides direct scriptural warrant for the practice of praying and offering sacrifice for the dead as a means of securing their liberation from sin. But this doctri</w:t>
      </w:r>
      <w:r>
        <w:t xml:space="preserve">ne is nowhere taught in the </w:t>
      </w:r>
      <w:r>
        <w:lastRenderedPageBreak/>
        <w:t>New Testament; it contradicts the consistent New Testament teaching that the definitive determination of one's eternal state occurs at death (Hebrews 9:27: "it is appointed for man to die once, and after that comes judgment"), and it directly undermines the Reformed doctrine of justification by faith alone as a complete and final transaction. A book that teaches what the New Testament nowhere teaches, and that contradicts central New Testament doctrine, cannot be canonical — if c</w:t>
      </w:r>
      <w:r>
        <w:t>anonical Scripture is the self-consistent, mutually illuminating deposit of divine revelation.</w:t>
      </w:r>
    </w:p>
    <w:p w14:paraId="4A2C0238" w14:textId="77777777" w:rsidR="000E133F" w:rsidRDefault="00EC5ECA">
      <w:pPr>
        <w:pStyle w:val="Heading2"/>
      </w:pPr>
      <w:bookmarkStart w:id="137" w:name="_Toc232765364"/>
      <w:r>
        <w:t>11.7 — The Regulative Principle of Worship vs. Orthodox Liturgy</w:t>
      </w:r>
      <w:bookmarkEnd w:id="137"/>
    </w:p>
    <w:p w14:paraId="155DEA66" w14:textId="77777777" w:rsidR="000E133F" w:rsidRDefault="00EC5ECA">
      <w:pPr>
        <w:spacing w:before="60" w:after="140" w:line="360" w:lineRule="auto"/>
      </w:pPr>
      <w:r>
        <w:t>The debate over Scripture and Tradition is not merely an academic epistemological dispute; it has immediate and practical consequences for the Church's worship. The Reformed Regulative Principle of Worship (RPW) is the logical liturgical application of the doctrine of Sola Scriptura: because Scripture is the only sufficient and supreme rule of all saving knowledge, faith, and obedience, the acceptable way of worshiping God must be defined and limited by Scripture.</w:t>
      </w:r>
    </w:p>
    <w:p w14:paraId="4EF60C8B" w14:textId="77777777" w:rsidR="000E133F" w:rsidRDefault="00EC5ECA">
      <w:pPr>
        <w:spacing w:before="60" w:after="140" w:line="360" w:lineRule="auto"/>
      </w:pPr>
      <w:r>
        <w:t>The Second London Baptist Confession states in Chapter 22, Paragraph 1: "The light of nature shews that there is a God, who hath lordship and sovereignty over all; is just, good, and doth good unto all; and is therefore to be feared, loved, praised, called upon, trusted in, and served, with all the heart and with all the soul and with all the might. But the acceptable way of worshipping the true God, is instituted by himself, and so limited by his own revealed will, that he may not be worshipped according t</w:t>
      </w:r>
      <w:r>
        <w:t>o the imaginations and devices of men, nor the suggestions of Satan, under any visible representations, or any other way not prescribed in the Holy Scripture."</w:t>
      </w:r>
    </w:p>
    <w:p w14:paraId="504C00E5" w14:textId="77777777" w:rsidR="000E133F" w:rsidRDefault="00EC5ECA">
      <w:pPr>
        <w:spacing w:before="60" w:after="140" w:line="360" w:lineRule="auto"/>
      </w:pPr>
      <w:r>
        <w:t>The key clause is: "limited by his own revealed will...he may not be worshipped according to the imaginations and devices of men...or any other way not prescribed in the Holy Scripture." This is the positive formulation of the RPW: worship must be commanded by God to be acceptable. What is not commanded is not merely indifferent — it is forbidden, because it substitutes human invention for divine prescription in the most sacred arena of human activity.</w:t>
      </w:r>
    </w:p>
    <w:p w14:paraId="0ECB2736" w14:textId="77777777" w:rsidR="000E133F" w:rsidRDefault="00EC5ECA">
      <w:pPr>
        <w:spacing w:before="60" w:after="140" w:line="360" w:lineRule="auto"/>
      </w:pPr>
      <w:r>
        <w:lastRenderedPageBreak/>
        <w:t xml:space="preserve">The biblical foundations for this principle are multiple and clear. Leviticus 10:1–2 narrates the death of Nadab and Abihu, Aaron's sons, who "offered unauthorized fire before the LORD, which he had not commanded them. And fire came out from before the LORD and consumed them, and they died before the LORD." The lesson drawn is precisely the lesson of the RPW: God's holiness in worship means that He, not human creativity, determines what is acceptable. Deuteronomy 12:32 states explicitly: "Everything that I </w:t>
      </w:r>
      <w:r>
        <w:t>command you, you shall be careful to do. You shall not add to it or take away from it." Matthew 15:9 records Jesus condemning worship that substitutes human tradition for divine command: "in vain do they worship me, teaching as doctrines the commandments of men."</w:t>
      </w:r>
    </w:p>
    <w:p w14:paraId="22AC0A2D" w14:textId="77777777" w:rsidR="000E133F" w:rsidRDefault="00EC5ECA">
      <w:pPr>
        <w:spacing w:before="60" w:after="140" w:line="360" w:lineRule="auto"/>
      </w:pPr>
      <w:r>
        <w:t>The Westminster Larger Catechism, Question 109, enumerates the sins forbidden by the Second Commandment as including "the making any representation of God, of all or of any of the three persons, either inwardly in our mind, or outwardly in any kind of image or likeness of any creature whatsoever; all worshipping of it, or God in it or by it; the making of any representation of feigned deities, and all worship of them, or service belonging to them; all superstitious devices, corrupting the worship of God, ad</w:t>
      </w:r>
      <w:r>
        <w:t>ding to it, or taking from it...all neglect, contempt, hindering and opposing of it." This extensive list of forbidden practices covers, without explicitly naming them, a remarkable range of elements present in Orthodox liturgical worship: images used in a worshipful context, prayers addressed to saints, liturgical ceremonies not commanded in Scripture.</w:t>
      </w:r>
    </w:p>
    <w:p w14:paraId="3D0F25BB" w14:textId="77777777" w:rsidR="000E133F" w:rsidRDefault="00EC5ECA">
      <w:pPr>
        <w:spacing w:before="60" w:after="140" w:line="360" w:lineRule="auto"/>
      </w:pPr>
      <w:r>
        <w:t>The Orthodox response to the RPW is that the liturgy developed under the guidance of the Holy Spirit as the living Church gave expression to her faith in worship. The Spirit who inspired Scripture also guides the Church's organic liturgical development, and the richness of the Divine Liturgy of St. John Chrysostom is the fruit of centuries of Spirit-guided doxological reflection on the revealed faith. The Reformed response to this is simple and determinative: the Spirit's illuminating and sanctifying work i</w:t>
      </w:r>
      <w:r>
        <w:t xml:space="preserve">n the Church does not extend to the creation of new worship forms not authorized by Scripture. If it did, the phrase in 2LBC 1.6 — "nothing is at any time to be added to it, whether by new revelation of the Spirit, or traditions of men" — would be rendered meaningless. Calvin addresses this at length in Institutes IV.10, arguing that the Church has no authority to make laws that bind consciences in worship, because conscience is bindable only by </w:t>
      </w:r>
      <w:r>
        <w:lastRenderedPageBreak/>
        <w:t>God, and God has bounded worship by His Word alone. Human trad</w:t>
      </w:r>
      <w:r>
        <w:t>itions in worship, however ancient and venerable, cannot bind the conscience — because the conscience is "the Lord's prerogative."</w:t>
      </w:r>
    </w:p>
    <w:p w14:paraId="0927586B" w14:textId="77777777" w:rsidR="000E133F" w:rsidRDefault="00EC5ECA">
      <w:pPr>
        <w:pStyle w:val="Heading1"/>
        <w:pageBreakBefore/>
      </w:pPr>
      <w:bookmarkStart w:id="138" w:name="_Toc232765365"/>
      <w:r>
        <w:lastRenderedPageBreak/>
        <w:t>CHAPTER 12: JUSTIFICATION BY FAITH ALONE VS. THEOSIS — THE HEART OF THE GOSPEL DIVIDE</w:t>
      </w:r>
      <w:bookmarkEnd w:id="138"/>
    </w:p>
    <w:p w14:paraId="4577C069" w14:textId="77777777" w:rsidR="000E133F" w:rsidRDefault="00EC5ECA">
      <w:pPr>
        <w:pStyle w:val="Heading2"/>
      </w:pPr>
      <w:bookmarkStart w:id="139" w:name="_Toc232765366"/>
      <w:r>
        <w:t>12.1 — The Centrality of Justification in Reformed Theology</w:t>
      </w:r>
      <w:bookmarkEnd w:id="139"/>
    </w:p>
    <w:p w14:paraId="1E1D572F" w14:textId="77777777" w:rsidR="000E133F" w:rsidRDefault="00EC5ECA">
      <w:pPr>
        <w:spacing w:before="60" w:after="140" w:line="360" w:lineRule="auto"/>
      </w:pPr>
      <w:r>
        <w:t>In Book III, Chapter 11, Paragraph 1 of his Institutes of the Christian Religion, John Calvin writes: "We now come to the principal hinge on which religion turns." The word Calvin uses — "hinge" — is not rhetorical ornamentation. A hinge is a structural element: remove it and the door falls. The analogy is precise. Justification is the hinge on which the whole religious edifice turns: get it wrong, and everything else — prayer, worship, assurance, sanctification, ecclesiology, the nature of union with Chris</w:t>
      </w:r>
      <w:r>
        <w:t>t — falls into distortion. Get it right, and everything else falls into its proper and liberating order.</w:t>
      </w:r>
    </w:p>
    <w:p w14:paraId="66A67426" w14:textId="77777777" w:rsidR="000E133F" w:rsidRDefault="00EC5ECA">
      <w:pPr>
        <w:spacing w:before="60" w:after="140" w:line="360" w:lineRule="auto"/>
      </w:pPr>
      <w:r>
        <w:t>The phrase attributed to Luther — articulus stantis et cadentis ecclesiae, the article by which the Church stands or falls — captures the same conviction with different imagery. This article is not merely important; it is definitional for the very identity of the Christian Church. A church that preaches a distorted doctrine of justification has distorted the gospel itself, and a distorted gospel is, in the apostle's severe language, no gospel at all (Galatians 1:6–9: "I am astonished that you are so quickly</w:t>
      </w:r>
      <w:r>
        <w:t xml:space="preserve"> deserting him who called you in the grace of Christ and are turning to a different gospel — not that there is another one, but there are some who trouble you and want to distort the gospel of Christ. But even if we or an angel from heaven should preach to you a gospel contrary to the one we preached to you, let him be accursed").</w:t>
      </w:r>
    </w:p>
    <w:p w14:paraId="1AC2B9FD" w14:textId="77777777" w:rsidR="000E133F" w:rsidRDefault="00EC5ECA">
      <w:pPr>
        <w:spacing w:before="60" w:after="140" w:line="360" w:lineRule="auto"/>
      </w:pPr>
      <w:r>
        <w:t xml:space="preserve">The stakes of this chapter are therefore not academic. The question of how a sinful human being can stand before a holy God is the most momentous question any human being can face. The Reformed doctrine of forensic justification answers this question with the clarity of a courtroom declaration: the sinner stands before God as righteous because Christ's righteousness has been imputed to him by divine act, received through faith alone. The Orthodox doctrine of theosis answers it with the language of process: </w:t>
      </w:r>
      <w:r>
        <w:t xml:space="preserve">the sinner is progressively transformed through sacramental participation in the divine life, moving asymptotically toward the divine nature. These are not two different </w:t>
      </w:r>
      <w:r>
        <w:lastRenderedPageBreak/>
        <w:t>descriptions of the same thing, amenable to synthesis. They are structurally incompatible answers to the most fundamental question of human existence.</w:t>
      </w:r>
    </w:p>
    <w:p w14:paraId="3B65CCC4" w14:textId="77777777" w:rsidR="000E133F" w:rsidRDefault="00EC5ECA">
      <w:pPr>
        <w:spacing w:before="60" w:after="140" w:line="360" w:lineRule="auto"/>
      </w:pPr>
      <w:r>
        <w:t>The Reformed insistence on justification's centrality does not mean that sanctification, union with Christ, theosis-like language of participation, or growth in holiness are unimportant. Calvin himself, in developing the duplex gratia (double grace) in Institutes III.11.1, insists that Christ gives both justification and sanctification in the same act of union: "By partaking of him, we principally receive a double grace: namely, that being reconciled to God through Christ's blamelessness, we may have in hea</w:t>
      </w:r>
      <w:r>
        <w:t>ven instead of a Judge a gracious Father; and secondly, that sanctified by Christ's spirit we may cultivate blamelessness and purity of life." But these two graces, though inseparable in their giving, must never be confused in their logical structure. Justification is the declaration that grounds the relationship; sanctification is the transformation that flows from it. The foundation must not be confused with the superstructure.</w:t>
      </w:r>
    </w:p>
    <w:p w14:paraId="4B6D5B56" w14:textId="77777777" w:rsidR="000E133F" w:rsidRDefault="00EC5ECA">
      <w:pPr>
        <w:pStyle w:val="Heading2"/>
      </w:pPr>
      <w:bookmarkStart w:id="140" w:name="_Toc232765367"/>
      <w:r>
        <w:t>12.2 — The Biblical Doctrine of Forensic Justification</w:t>
      </w:r>
      <w:bookmarkEnd w:id="140"/>
    </w:p>
    <w:p w14:paraId="3D55CDCE" w14:textId="77777777" w:rsidR="000E133F" w:rsidRDefault="00EC5ECA">
      <w:pPr>
        <w:spacing w:before="60" w:after="140" w:line="360" w:lineRule="auto"/>
      </w:pPr>
      <w:r>
        <w:rPr>
          <w:b/>
          <w:bCs/>
        </w:rPr>
        <w:t>Romans 3:21–26:</w:t>
      </w:r>
    </w:p>
    <w:p w14:paraId="1FC53054" w14:textId="77777777" w:rsidR="000E133F" w:rsidRDefault="00EC5ECA">
      <w:pPr>
        <w:spacing w:before="60" w:after="140" w:line="360" w:lineRule="auto"/>
      </w:pPr>
      <w:r>
        <w:t>"But now the righteousness of God has been manifested apart from the law, although the Law and the Prophets bear witness to it — the righteousness of God through faith in Jesus Christ for all who believe. For there is no distinction: for all have sinned and fall short of the glory of God, and are justified by his grace as a gift, through the redemption that is in Christ Jesus, whom God put forward as a propitiation by his blood, to be received by faith. This was to show God's righteousness, because in his d</w:t>
      </w:r>
      <w:r>
        <w:t>ivine forbearance he had passed over former sins. It was to show his righteousness at the present time, so that he might be just and the justifier of the one who has faith in Jesus."</w:t>
      </w:r>
    </w:p>
    <w:p w14:paraId="6ADBCDD8" w14:textId="77777777" w:rsidR="000E133F" w:rsidRDefault="00EC5ECA">
      <w:pPr>
        <w:spacing w:before="60" w:after="140" w:line="360" w:lineRule="auto"/>
      </w:pPr>
      <w:r>
        <w:t xml:space="preserve">This passage is the theological center of the epistle to the Romans and, in many respects, of the entire Pauline corpus. Its structure rewards careful analysis. Paul has just completed a devastating indictment of the entire human race — Jew and Gentile alike — in Romans 1:18–3:20, concluding with the unqualified verdict: "None is righteous, no, not one...for all have sinned and fall short of the glory of God" (3:10, 23). This sets the </w:t>
      </w:r>
      <w:r>
        <w:lastRenderedPageBreak/>
        <w:t>stage for what follows. The problem is universal human guilt; the solution must address that guilt.</w:t>
      </w:r>
    </w:p>
    <w:p w14:paraId="0D74D4AD" w14:textId="77777777" w:rsidR="000E133F" w:rsidRDefault="00EC5ECA">
      <w:pPr>
        <w:spacing w:before="60" w:after="140" w:line="360" w:lineRule="auto"/>
      </w:pPr>
      <w:r>
        <w:t>The word Paul uses for the act of justification is the Greek verb dikaioō (δικαιόω), which is regularly rendered "to justify" in English translations. The semantic range of this verb and its cognates is crucial for the entire debate. The verb dikaioō belongs to a family of words (the dikaio- group: dikaiosynē = righteousness, dikaios = righteous, dikaiōma = righteous decree, dikaiōsis = justification) that in Greek refer to the legal/forensic domain — to matters of law, judgment, courts, and righteous stand</w:t>
      </w:r>
      <w:r>
        <w:t>ing before a judge. When a judge "justifies" a defendant, he declares that person to be righteous in the legal sense — acquitted of the charges against him, bearing a clean legal status. The verb does not mean "to make morally upright" in the Greek usage; it means "to declare legally righteous." This forensic, declarative meaning is the foundation of the Reformed doctrine.</w:t>
      </w:r>
    </w:p>
    <w:p w14:paraId="560FB867" w14:textId="77777777" w:rsidR="000E133F" w:rsidRDefault="00EC5ECA">
      <w:pPr>
        <w:spacing w:before="60" w:after="140" w:line="360" w:lineRule="auto"/>
      </w:pPr>
      <w:r>
        <w:t>The significance of this for the Orthodox position cannot be overstated. If dikaioō means "to declare righteous" (a forensic declaration), then justification is logically distinct from sanctification (a moral transformation). If, as the Orthodox contend, the primary soteriological category is participatory transformation — theosis — rather than forensic declaration, then the word-group Paul has chosen for his central salvific concept must be read against its natural Greek sense, in a direction that the text</w:t>
      </w:r>
      <w:r>
        <w:t xml:space="preserve"> itself does not support. The Orthodox and Roman Catholic tradition has consistently read iustificare (the Latin verb used in Jerome's Vulgate) in the sense of "to make righteous" — a transformative meaning. But this Latin semantic drift is precisely what Luther's tower experience corrected: the Latin had obscured the Greek forensic sense, and Luther's return to the Greek text recovered it.</w:t>
      </w:r>
    </w:p>
    <w:p w14:paraId="3422332A" w14:textId="77777777" w:rsidR="000E133F" w:rsidRDefault="00EC5ECA">
      <w:pPr>
        <w:spacing w:before="60" w:after="140" w:line="360" w:lineRule="auto"/>
      </w:pPr>
      <w:r>
        <w:t>Verse 24 is grammatically connected to verse 23: all have sinned (v. 23) "and are justified by his grace as a gift." The word "gift" (dōrean — freely, as a gift) excludes any notion of human merit as a contributing cause. The "redemption that is in Christ Jesus" (v. 24) introduces the transactional metaphor of purchase from captivity. Verse 25 introduces the crucial term hilastērion (</w:t>
      </w:r>
      <w:r>
        <w:t>ἱ</w:t>
      </w:r>
      <w:r>
        <w:t xml:space="preserve">λαστήριον): God "put forward" Christ "as a propitiation by his blood." Hilastērion is the Greek term for the mercy seat (the lid of the </w:t>
      </w:r>
      <w:r>
        <w:lastRenderedPageBreak/>
        <w:t>Ark of the Covenant), the locus of the annual Day of Atonement sacrifice in Leviticus 16. The use of this term is Paul's deliberate invocation of the Day of Atonement typology: Christ's death is the great antitype of the mercy seat, the place where divine wrath is averted and forgiveness is grounded.</w:t>
      </w:r>
    </w:p>
    <w:p w14:paraId="1F11B3BE" w14:textId="77777777" w:rsidR="000E133F" w:rsidRDefault="00EC5ECA">
      <w:pPr>
        <w:spacing w:before="60" w:after="140" w:line="360" w:lineRule="auto"/>
      </w:pPr>
      <w:r>
        <w:t>The word hilastērion carries the connotation of propitiation — the averting of divine wrath — not merely expiation (the cleansing of moral defilement). The distinction is theologically significant. Expiation is sin-ward: it removes the stain. Propitiation is God-ward: it satisfies the offended party. The presence of "the wrath of God" as the dominant theme of Romans 1:18–3:20 — "the wrath of God is revealed from heaven against all ungodliness and unrighteousness of men" (1:18) — establishes the contextual n</w:t>
      </w:r>
      <w:r>
        <w:t>ecessity of a God-ward solution. The wrath must be averted; it cannot merely be ignored. God "put forward" Christ as the means of averting His own righteous wrath — and He did this to demonstrate His own righteousness (v. 25–26). This is the resolution of the divine dilemma: God's holiness required punishment of sin; God's love provided the substitute. "So that he might be just and the justifier of the one who has faith in Jesus" (v. 26) — both justice and justifying grace are simultaneously satisfied in th</w:t>
      </w:r>
      <w:r>
        <w:t>e cross of Christ.</w:t>
      </w:r>
    </w:p>
    <w:p w14:paraId="05293F91" w14:textId="77777777" w:rsidR="000E133F" w:rsidRDefault="00EC5ECA">
      <w:pPr>
        <w:spacing w:before="60" w:after="140" w:line="360" w:lineRule="auto"/>
      </w:pPr>
      <w:r>
        <w:rPr>
          <w:b/>
          <w:bCs/>
        </w:rPr>
        <w:t>Romans 4:1–8:</w:t>
      </w:r>
    </w:p>
    <w:p w14:paraId="1A78525A" w14:textId="77777777" w:rsidR="000E133F" w:rsidRDefault="00EC5ECA">
      <w:pPr>
        <w:spacing w:before="60" w:after="140" w:line="360" w:lineRule="auto"/>
      </w:pPr>
      <w:r>
        <w:t>"What then shall we say was gained by Abraham, our forefather according to the flesh? For if Abraham was justified by works, he has something to boast about, but not before God. For what does the Scripture say? 'Abraham believed God, and it was counted to him as righteousness.' Now to the one who works, his wages are not counted as a gift but as his due. And to the one who does not work but believes in him who justifies the ungodly, his faith is counted as righteousness, just as David also speaks of the ble</w:t>
      </w:r>
      <w:r>
        <w:t>ssing of the one to whom God counts righteousness apart from works: 'Blessed are those whose lawless deeds are forgiven, and whose sins are covered; blessed is the man against whom the Lord will not count his sin.'"</w:t>
      </w:r>
    </w:p>
    <w:p w14:paraId="14FC14C6" w14:textId="77777777" w:rsidR="000E133F" w:rsidRDefault="00EC5ECA">
      <w:pPr>
        <w:spacing w:before="60" w:after="140" w:line="360" w:lineRule="auto"/>
      </w:pPr>
      <w:r>
        <w:t xml:space="preserve">The argumentative structure of Romans 4 is critical. Paul chooses Abraham as his illustration because Abraham is the quintessential covenant figure — if Paul can demonstrate that Abraham's justification was forensic and by faith rather than by </w:t>
      </w:r>
      <w:r>
        <w:lastRenderedPageBreak/>
        <w:t>works, the entire Jewish-Christian debate about the basis of acceptance before God is settled. The key term is logizomai (λογίζομαι) — "counted," "reckoned," "imputed." It appears eleven times in Romans 4:1–11. In its accounting context, logizomai means to credit an amount to someone's account: it is a transfer of credit, a bookkeeping metaphor. Abraham's faith was "reckoned to him as righteousness" — the faith was not itself the righteousness (as if God accepted faith as a substitute for obedience), but th</w:t>
      </w:r>
      <w:r>
        <w:t>rough faith, righteousness was credited to Abraham's account. Whose righteousness? The text does not specify here, but Philippians 3:8–9 will make it explicit: it is the righteousness "from God" — Christ's righteousness — received through faith.</w:t>
      </w:r>
    </w:p>
    <w:p w14:paraId="25B5ADBF" w14:textId="77777777" w:rsidR="000E133F" w:rsidRDefault="00EC5ECA">
      <w:pPr>
        <w:spacing w:before="60" w:after="140" w:line="360" w:lineRule="auto"/>
      </w:pPr>
      <w:r>
        <w:t>The contrast Paul draws in verses 4–5 is definitive: "To the one who works, his wages are not counted as a gift but as his due. And to the one who does not work but believes in him who justifies the ungodly, his faith is counted as righteousness." The logic is of two mutually exclusive categories: the worker who earns wages, and the one who does not work but trusts. The first category is excluded from grace, not because work is evil, but because the ground of acceptance in this category is human achievement</w:t>
      </w:r>
      <w:r>
        <w:t xml:space="preserve"> — something that can be paid as a wage. The second category is constituted entirely by divine generosity: the "ungodly" is justified — and the word "ungodly" (asebē) is remarkably strong. God does not justify the almost-righteous, the sufficiently transformed, the partially deified — He justifies the ungodly. This is the scandal of the gospel: the justification of one who has no claim on divine acceptance, entirely on the basis of another's righteousness credited to his account.</w:t>
      </w:r>
    </w:p>
    <w:p w14:paraId="45D74C9B" w14:textId="77777777" w:rsidR="000E133F" w:rsidRDefault="00EC5ECA">
      <w:pPr>
        <w:spacing w:before="60" w:after="140" w:line="360" w:lineRule="auto"/>
      </w:pPr>
      <w:r>
        <w:t>Paul then brings in Psalm 32:1–2 (vv. 7–8): "Blessed are those whose lawless deeds are forgiven, and whose sins are covered; blessed is the man against whom the Lord will not count his sin." This is negative imputation: "the Lord will not count his sin." The blessing of justification has two inseparable components: the positive crediting of righteousness (Abraham's example) and the negative non-crediting of sin (David's example). Both are aspects of the same forensic transaction: the account is cleared of d</w:t>
      </w:r>
      <w:r>
        <w:t xml:space="preserve">ebt (sin not counted) and credited with righteous standing (righteousness counted). This double structure of imputation — the positive and the negative — will reappear in 2 Corinthians 5:21 ("he made him to be sin...so that in him we might become the </w:t>
      </w:r>
      <w:r>
        <w:lastRenderedPageBreak/>
        <w:t>righteousness of God") and constitutes the logical architecture of the doctrine of imputed righteousness.</w:t>
      </w:r>
    </w:p>
    <w:p w14:paraId="6FA2B670" w14:textId="77777777" w:rsidR="000E133F" w:rsidRDefault="00EC5ECA">
      <w:pPr>
        <w:spacing w:before="60" w:after="140" w:line="360" w:lineRule="auto"/>
      </w:pPr>
      <w:r>
        <w:rPr>
          <w:b/>
          <w:bCs/>
        </w:rPr>
        <w:t>Philippians 3:8–9:</w:t>
      </w:r>
    </w:p>
    <w:p w14:paraId="503DE89D" w14:textId="77777777" w:rsidR="000E133F" w:rsidRDefault="00EC5ECA">
      <w:pPr>
        <w:spacing w:before="60" w:after="140" w:line="360" w:lineRule="auto"/>
      </w:pPr>
      <w:r>
        <w:t>"Indeed, I count everything as loss because of the surpassing worth of knowing Christ Jesus my Lord. For his sake I have suffered the loss of all things and count them as rubbish, in order that I may gain Christ and be found in him, not having a righteousness of my own that comes from the law, but that which comes through faith in Christ, the righteousness from God that depends on faith."</w:t>
      </w:r>
    </w:p>
    <w:p w14:paraId="7211A7AC" w14:textId="77777777" w:rsidR="000E133F" w:rsidRDefault="00EC5ECA">
      <w:pPr>
        <w:spacing w:before="60" w:after="140" w:line="360" w:lineRule="auto"/>
      </w:pPr>
      <w:r>
        <w:t>Paul here uses the first person singular with autobiographical intensity. The "righteousness of my own that comes from the law" (dikaiosynēn emēn tēn ek nomou) is explicitly contrasted with "the righteousness from God that depends on faith" (dikaiosynēn tēn ek theou epi tē pistei). The righteousness Paul wants is not an improved version of his own moral performance — it is an alien righteousness, from God, received through faith. Luther's great discovery is here stated with crystalline precision by Paul him</w:t>
      </w:r>
      <w:r>
        <w:t>self: the iustitia aliena, the foreign righteousness, the righteousness that belongs to Another but is imputed to the believer. The believer is to be "found in him" — in Christ — wearing not his own righteousness but Christ's. This is the imputation of Christ's active obedience: Christ obeyed the law perfectly, and that perfect obedience is credited to the believer's account.</w:t>
      </w:r>
    </w:p>
    <w:p w14:paraId="2A5A6D1E" w14:textId="77777777" w:rsidR="000E133F" w:rsidRDefault="00EC5ECA">
      <w:pPr>
        <w:spacing w:before="60" w:after="140" w:line="360" w:lineRule="auto"/>
      </w:pPr>
      <w:r>
        <w:rPr>
          <w:b/>
          <w:bCs/>
        </w:rPr>
        <w:t>Galatians 2:16:</w:t>
      </w:r>
    </w:p>
    <w:p w14:paraId="6A18E6A5" w14:textId="77777777" w:rsidR="000E133F" w:rsidRDefault="00EC5ECA">
      <w:pPr>
        <w:spacing w:before="60" w:after="140" w:line="360" w:lineRule="auto"/>
      </w:pPr>
      <w:r>
        <w:t>"Yet we know that a person is not justified by works of the law but through faith in Jesus Christ, so we also have believed in Christ Jesus, in order to be justified by faith in Christ and not by works of the law, because by works of the law no one will be justified."</w:t>
      </w:r>
    </w:p>
    <w:p w14:paraId="58554479" w14:textId="77777777" w:rsidR="000E133F" w:rsidRDefault="00EC5ECA">
      <w:pPr>
        <w:spacing w:before="60" w:after="140" w:line="360" w:lineRule="auto"/>
      </w:pPr>
      <w:r>
        <w:t xml:space="preserve">The triple repetition in this single verse — justified/faith in Christ/not by works of the law — is rhetorically emphatic. Paul uses the contrast three times in sequence, as if to close every possible escape route from the conclusion. The Greek phrase ex ergon nomou (from works of the law) excludes the law as a basis for justification; the phrase dia pisteōs Iēsou Christou (through faith in Jesus Christ) identifies the only proper </w:t>
      </w:r>
      <w:r>
        <w:lastRenderedPageBreak/>
        <w:t>instrument. The instrumental preposition dia marks faith as the means, not the ground: faith is the hand that receives Christ's righteousness, not the righteousness itself.</w:t>
      </w:r>
    </w:p>
    <w:p w14:paraId="5A30AB73" w14:textId="77777777" w:rsidR="000E133F" w:rsidRDefault="00EC5ECA">
      <w:pPr>
        <w:pStyle w:val="Heading2"/>
      </w:pPr>
      <w:bookmarkStart w:id="141" w:name="_Toc232765368"/>
      <w:r>
        <w:t>12.3 — The 2LBC on Justification: Chapter 11 in Full</w:t>
      </w:r>
      <w:bookmarkEnd w:id="141"/>
    </w:p>
    <w:p w14:paraId="182E3E49" w14:textId="77777777" w:rsidR="000E133F" w:rsidRDefault="00EC5ECA">
      <w:pPr>
        <w:spacing w:before="60" w:after="140" w:line="360" w:lineRule="auto"/>
      </w:pPr>
      <w:r>
        <w:t>The Second London Baptist Confession of Faith, Chapter 11, "Of Justification," comprises four paragraphs that together constitute the most precise and comprehensive confessional articulation of the Reformed doctrine. They must be reproduced and examined in full.</w:t>
      </w:r>
    </w:p>
    <w:p w14:paraId="41183263" w14:textId="77777777" w:rsidR="000E133F" w:rsidRDefault="00EC5ECA">
      <w:pPr>
        <w:spacing w:before="60" w:after="140" w:line="360" w:lineRule="auto"/>
      </w:pPr>
      <w:r>
        <w:rPr>
          <w:b/>
          <w:bCs/>
        </w:rPr>
        <w:t>Paragraph 1:</w:t>
      </w:r>
    </w:p>
    <w:p w14:paraId="5851DED3" w14:textId="77777777" w:rsidR="000E133F" w:rsidRDefault="00EC5ECA">
      <w:pPr>
        <w:spacing w:before="60" w:after="140" w:line="360" w:lineRule="auto"/>
      </w:pPr>
      <w:r>
        <w:t>"Those whom God effectually calls, he also freely justifies, not by infusing righteousness into them, but by pardoning their sins, and by accounting and accepting their persons as righteous; not for anything wrought in them, or done by them, but for Christ's sake alone; not by imputing faith itself, the act of believing, or any other evangelical obedience to them, as their righteousness; but by imputing Christ's active obedience unto the whole law, and passive obedience in his death for their whole and sole</w:t>
      </w:r>
      <w:r>
        <w:t xml:space="preserve"> righteousness by faith, which faith they have not of themselves; it is the gift of God."</w:t>
      </w:r>
    </w:p>
    <w:p w14:paraId="57DE1CD8" w14:textId="77777777" w:rsidR="000E133F" w:rsidRDefault="00EC5ECA">
      <w:pPr>
        <w:spacing w:before="60" w:after="140" w:line="360" w:lineRule="auto"/>
      </w:pPr>
      <w:r>
        <w:t>Every negative clause in this paragraph is a deliberate polemical exclusion. "Not by infusing righteousness into them" — this directly excludes the Roman Catholic and, in a structurally analogous way, the Orthodox doctrine of iustitia infusa (infused righteousness). Justification is not the moral improvement or transformation of the sinner; it is a forensic declaration about the sinner's legal status. "Not for anything wrought in them, or done by them" — this excludes works, character, sacramental participa</w:t>
      </w:r>
      <w:r>
        <w:t>tion, and progress in holiness as contributing causes of justification. "Not by imputing faith itself, the act of believing, or any other evangelical obedience to them, as their righteousness" — this closes the door on the Arminian and moralistic distortion that would treat faith itself as the righteousness before God. Faith is not righteousness; it receives righteousness. "But by imputing Christ's active obedience unto the whole law, and passive obedience in his death" — here is the positive formulation. C</w:t>
      </w:r>
      <w:r>
        <w:t xml:space="preserve">hrist's active obedience is His lifelong, perfect fulfillment of all the law's positive requirements; Christ's passive obedience is His suffering and death under the law's penal sanctions. </w:t>
      </w:r>
      <w:r>
        <w:lastRenderedPageBreak/>
        <w:t>Both together constitute the "whole and sole righteousness" that is imputed to the believing sinner.</w:t>
      </w:r>
    </w:p>
    <w:p w14:paraId="7F055C49" w14:textId="77777777" w:rsidR="000E133F" w:rsidRDefault="00EC5ECA">
      <w:pPr>
        <w:spacing w:before="60" w:after="140" w:line="360" w:lineRule="auto"/>
      </w:pPr>
      <w:r>
        <w:rPr>
          <w:b/>
          <w:bCs/>
        </w:rPr>
        <w:t>Paragraph 2:</w:t>
      </w:r>
    </w:p>
    <w:p w14:paraId="0BB26A36" w14:textId="77777777" w:rsidR="000E133F" w:rsidRDefault="00EC5ECA">
      <w:pPr>
        <w:spacing w:before="60" w:after="140" w:line="360" w:lineRule="auto"/>
      </w:pPr>
      <w:r>
        <w:t>"Faith thus receiving and resting on Christ and his righteousness, is the alone instrument of justification; yet it is not alone in the person justified, but is ever accompanied with all other saving graces, and is no dead faith, but worketh by love."</w:t>
      </w:r>
    </w:p>
    <w:p w14:paraId="56A15FAD" w14:textId="77777777" w:rsidR="000E133F" w:rsidRDefault="00EC5ECA">
      <w:pPr>
        <w:spacing w:before="60" w:after="140" w:line="360" w:lineRule="auto"/>
      </w:pPr>
      <w:r>
        <w:t>This paragraph contains the crucial distinction between faith as the "alone instrument" of justification and faith as never alone in the person justified. Faith justifies instrumentally — it is the hand that receives Christ's righteousness, not the basis of that righteousness. But the same Spirit who creates justifying faith also produces regeneration, love, repentance, and all the other saving graces. No one is genuinely justified who is not also genuinely regenerated and on the path of progressive sanctif</w:t>
      </w:r>
      <w:r>
        <w:t>ication. The Confession cannot be accused of antinomianism: it explicitly states that justifying faith "worketh by love" (an echo of Galatians 5:6, "faith working through love"). The difference between the Reformed and the Orthodox doctrine is not that the Reformed are indifferent to transformation and the Orthodox are not. It is that the Reformed insist on the logical priority of justification over transformation: one is declared righteous before God on the basis of imputed righteousness before one's own t</w:t>
      </w:r>
      <w:r>
        <w:t>ransformation begins contributing to one's standing, and that declaration is the permanent, unchangeable ground of one's acceptance.</w:t>
      </w:r>
    </w:p>
    <w:p w14:paraId="07E04352" w14:textId="77777777" w:rsidR="000E133F" w:rsidRDefault="00EC5ECA">
      <w:pPr>
        <w:spacing w:before="60" w:after="140" w:line="360" w:lineRule="auto"/>
      </w:pPr>
      <w:r>
        <w:rPr>
          <w:b/>
          <w:bCs/>
        </w:rPr>
        <w:t>Paragraph 3:</w:t>
      </w:r>
    </w:p>
    <w:p w14:paraId="4183619A" w14:textId="77777777" w:rsidR="000E133F" w:rsidRDefault="00EC5ECA">
      <w:pPr>
        <w:spacing w:before="60" w:after="140" w:line="360" w:lineRule="auto"/>
      </w:pPr>
      <w:r>
        <w:t>"Christ, by his obedience and death, did fully discharge the debt of all those who are justified; and did, by the sacrifice of himself in the blood of his cross, undergoing in their stead the penalty due to them, make a proper, real, and full satisfaction to God's justice in their behalf; yet, inasmuch as he was given by the Father for them, and his obedience and satisfaction accepted in their stead, and both freely, not for anything in them, their justification is only of free grace; that both the exact ju</w:t>
      </w:r>
      <w:r>
        <w:t>stice and rich grace of God might be glorified in the justification of sinners."</w:t>
      </w:r>
    </w:p>
    <w:p w14:paraId="68442F5A" w14:textId="77777777" w:rsidR="000E133F" w:rsidRDefault="00EC5ECA">
      <w:pPr>
        <w:spacing w:before="60" w:after="140" w:line="360" w:lineRule="auto"/>
      </w:pPr>
      <w:r>
        <w:lastRenderedPageBreak/>
        <w:t>"A proper, real, and full satisfaction to God's justice in their behalf" — the language of satisfaction is here carefully and precisely asserted. The satisfaction was "proper" (genuinely satisfying divine justice, not merely symbolic), "real" (actually accomplished, not merely potentially offered), and "full" (leaving nothing of the debt unpaid). This is the confessional answer to the Orthodox charge that forensic justification is a "legal fiction" — it is not fictitious because the satisfaction is genuine.</w:t>
      </w:r>
      <w:r>
        <w:t xml:space="preserve"> Christ really bore the penalty, really fulfilled the righteous demands, really cleared the debt. The declaration of righteousness rests on a real transaction, not a mere accounting trick.</w:t>
      </w:r>
    </w:p>
    <w:p w14:paraId="1AD98ACE" w14:textId="77777777" w:rsidR="000E133F" w:rsidRDefault="00EC5ECA">
      <w:pPr>
        <w:spacing w:before="60" w:after="140" w:line="360" w:lineRule="auto"/>
      </w:pPr>
      <w:r>
        <w:rPr>
          <w:b/>
          <w:bCs/>
        </w:rPr>
        <w:t>Paragraph 4:</w:t>
      </w:r>
    </w:p>
    <w:p w14:paraId="26AEC506" w14:textId="77777777" w:rsidR="000E133F" w:rsidRDefault="00EC5ECA">
      <w:pPr>
        <w:spacing w:before="60" w:after="140" w:line="360" w:lineRule="auto"/>
      </w:pPr>
      <w:r>
        <w:t>"God did, from all eternity, decree to justify all the elect; and Christ did, in the fulness of time, die for their sins and rise again for their justification; nevertheless they are not justified personally, until the Holy Spirit doth in due time actually apply Christ unto them."</w:t>
      </w:r>
    </w:p>
    <w:p w14:paraId="19C935E6" w14:textId="77777777" w:rsidR="000E133F" w:rsidRDefault="00EC5ECA">
      <w:pPr>
        <w:spacing w:before="60" w:after="140" w:line="360" w:lineRule="auto"/>
      </w:pPr>
      <w:r>
        <w:t xml:space="preserve">This paragraph addresses both the eternal decree and the temporal application of justification. From the perspective of God's eternal decree, the justification of the elect is settled in eternity. From the perspective of the believer's actual experience, justification occurs at the moment of Spirit-wrought faith, when "the Holy Spirit doth in due time actually apply Christ unto them." This temporal, personal application of a completed transaction is the ground of assurance: the believer knows not only that </w:t>
      </w:r>
      <w:r>
        <w:t>Christ died and rose for sinners in general but that the Spirit has applied Christ's death and righteousness to him in particular, in the act of faith.</w:t>
      </w:r>
    </w:p>
    <w:p w14:paraId="57256D4E" w14:textId="77777777" w:rsidR="000E133F" w:rsidRDefault="00EC5ECA">
      <w:pPr>
        <w:pStyle w:val="Heading2"/>
      </w:pPr>
      <w:bookmarkStart w:id="142" w:name="_Toc232765369"/>
      <w:r>
        <w:t>12.4 — Luther, Calvin, and Turretin on Justification</w:t>
      </w:r>
      <w:bookmarkEnd w:id="142"/>
    </w:p>
    <w:p w14:paraId="51DF1E61" w14:textId="77777777" w:rsidR="000E133F" w:rsidRDefault="00EC5ECA">
      <w:pPr>
        <w:spacing w:before="60" w:after="140" w:line="360" w:lineRule="auto"/>
      </w:pPr>
      <w:r>
        <w:t xml:space="preserve">Martin Luther's account of his transformation in the tower experience, recorded in his Preface to the Latin Writings of 1545, is one of the most significant autobiographical documents in the history of Christian theology. Luther writes: "I had indeed been captivated with an extraordinary ardor for understanding Paul in the Epistle to the Romans. But up till then it was not the cold blood about the heart, but a single word in Chapter 1, 'In it the righteousness of God is revealed,' that had stood in my way. </w:t>
      </w:r>
      <w:r>
        <w:t xml:space="preserve">For I hated that word 'righteousness of God,' which, according to the use and custom of all the </w:t>
      </w:r>
      <w:r>
        <w:lastRenderedPageBreak/>
        <w:t>teachers, I had been taught to understand philosophically regarding the formal or active righteousness, as they called it, with which God is righteous and punishes the unrighteous sinner. Though I lived as a monk without reproach, I felt that I was a sinner before God with an extremely disturbed conscience...I did not love, yes, I hated the righteous God who punishes sinners...At last, by the mercy of God, medita</w:t>
      </w:r>
      <w:r>
        <w:t>ting day and night, I gave heed to the context of the words, namely, 'In it the righteousness of God is revealed, as it is written, He who through faith is righteous shall live.' There I began to understand that the righteousness of God is that by which the righteous lives by a gift of God, namely by faith. And this is the meaning: the righteousness of God is revealed by the gospel, namely, the passive righteousness with which merciful God justifies us by faith...Here I felt that I was altogether born again</w:t>
      </w:r>
      <w:r>
        <w:t xml:space="preserve"> and had entered paradise itself through open gates."</w:t>
      </w:r>
    </w:p>
    <w:p w14:paraId="779D4F4B" w14:textId="77777777" w:rsidR="000E133F" w:rsidRDefault="00EC5ECA">
      <w:pPr>
        <w:spacing w:before="60" w:after="140" w:line="360" w:lineRule="auto"/>
      </w:pPr>
      <w:r>
        <w:t>Luther's distinction between active righteousness (iustitia activa — what God demands of me, what I must achieve) and passive righteousness (iustitia passiva — what God gives to me, what is credited to my account) is the hermeneutical key that unlocked the Pauline letters for the Reformation. The "righteousness of God" in Romans 1:17 is not the demanding standard of divine holiness that condemns me; it is the gift of divine righteousness that is given to me as I believe. This is the iustitia aliena — the al</w:t>
      </w:r>
      <w:r>
        <w:t>ien righteousness, the righteousness that does not originate in me but in Christ, and is mine only by imputation through faith.</w:t>
      </w:r>
    </w:p>
    <w:p w14:paraId="68F7EB34" w14:textId="77777777" w:rsidR="000E133F" w:rsidRDefault="00EC5ECA">
      <w:pPr>
        <w:spacing w:before="60" w:after="140" w:line="360" w:lineRule="auto"/>
      </w:pPr>
      <w:r>
        <w:t>Calvin develops the doctrine with systematic precision in Institutes III.11–14. At III.11.1, he states: "We now come to the principal hinge on which religion turns, so that we devote the greater attention and care to it. For unless you first of all grasp what your relationship to God is, and the nature of his judgment concerning you, you have neither a foundation on which to establish your salvation nor one on which to build piety toward God." The soteriological and doxological stakes are explicitly connect</w:t>
      </w:r>
      <w:r>
        <w:t>ed: a wrong doctrine of justification produces not only a distorted soteriology but a distorted piety, because piety is the fruit of right relationship with God, and right relationship with God rests on the proper ground of acceptance.</w:t>
      </w:r>
    </w:p>
    <w:p w14:paraId="0A070695" w14:textId="77777777" w:rsidR="000E133F" w:rsidRDefault="00EC5ECA">
      <w:pPr>
        <w:spacing w:before="60" w:after="140" w:line="360" w:lineRule="auto"/>
      </w:pPr>
      <w:r>
        <w:lastRenderedPageBreak/>
        <w:t>Calvin's definition of justification at III.11.2 is precise: "We explain justification simply as the acceptance with which God receives us into his favor as righteous men. And we say that it consists in the remission of sins and the imputation of Christ's righteousness." Two components: remission of sins (the negative — guilt removed) and imputation of Christ's righteousness (the positive — righteous standing conferred). These correspond exactly to the negative and positive imputation Paul develops in Roman</w:t>
      </w:r>
      <w:r>
        <w:t>s 4 from Psalm 32.</w:t>
      </w:r>
    </w:p>
    <w:p w14:paraId="4A9429B1" w14:textId="77777777" w:rsidR="000E133F" w:rsidRDefault="00EC5ECA">
      <w:pPr>
        <w:spacing w:before="60" w:after="140" w:line="360" w:lineRule="auto"/>
      </w:pPr>
      <w:r>
        <w:t>At III.11.11, Calvin addresses the specific Orthodox and Catholic objection that the Reformed doctrine promotes antinomianism or produces believers who are externally acquitted but inwardly unchanged: "The man who is justified by faith is he who, excluded from the righteousness of works, grasps the righteousness of Christ through faith and, clothed in it, appears in God's sight not as a sinner but as a righteous man." The image of clothing oneself in Christ's righteousness (cf. Galatians 3:27: "as many of y</w:t>
      </w:r>
      <w:r>
        <w:t>ou as were baptized into Christ have put on Christ") is important: the righteousness is genuinely one's own in the sense that it is genuinely credited and genuinely constitutes one's standing, but it is another's righteousness in the sense that it originated in Christ's perfect obedience, not in one's own transformed character.</w:t>
      </w:r>
    </w:p>
    <w:p w14:paraId="3110418B" w14:textId="77777777" w:rsidR="000E133F" w:rsidRDefault="00EC5ECA">
      <w:pPr>
        <w:spacing w:before="60" w:after="140" w:line="360" w:lineRule="auto"/>
      </w:pPr>
      <w:r>
        <w:t>Calvin's treatment of the duplex gratia (double grace) at III.11.1 is the crucial Reformed answer to the Orthodox charge that forensic justification and real transformation are incompatible. Calvin insists: "Christ was given to us by God's generosity, to be grasped and possessed by us in faith. By partaking of him, we principally receive a double grace: namely, that being reconciled to God through Christ's blamelessness, we may have in heaven instead of a Judge a gracious Father; and secondly, that sanctifi</w:t>
      </w:r>
      <w:r>
        <w:t>ed by Christ's spirit we may cultivate blamelessness and purity of life." Justification and sanctification are both received in union with Christ — they are inseparable in their source and in their giving. But they are logically distinct: justification is not sanctification, and sanctification does not contribute to justification. The two are like twins born simultaneously from the same mother (union with Christ) — they are always born together, but they are distinct individuals.</w:t>
      </w:r>
    </w:p>
    <w:p w14:paraId="57AF4DF5" w14:textId="77777777" w:rsidR="000E133F" w:rsidRDefault="00EC5ECA">
      <w:pPr>
        <w:spacing w:before="60" w:after="140" w:line="360" w:lineRule="auto"/>
      </w:pPr>
      <w:r>
        <w:lastRenderedPageBreak/>
        <w:t>Francis Turretin provides the most technically precise Reformed scholastic account of justification in his Institutes of Elenctic Theology, Volume 2, Topic 16. Turretin structures his analysis around the Aristotelian causal categories to demonstrate the full architecture of the doctrine. The efficient cause of justification is God's free grace — no human merit contributes to it. The material cause is Christ's merit — His active and passive obedience. The formal cause (what constitutes the act of justificati</w:t>
      </w:r>
      <w:r>
        <w:t>on in its essence) is imputation — the crediting of Christ's righteousness to the believer. The instrumental cause is faith alone — not faith as meritorious, but faith as the instrument that receives the imputed righteousness.</w:t>
      </w:r>
    </w:p>
    <w:p w14:paraId="7B4E8F62" w14:textId="77777777" w:rsidR="000E133F" w:rsidRDefault="00EC5ECA">
      <w:pPr>
        <w:spacing w:before="60" w:after="140" w:line="360" w:lineRule="auto"/>
      </w:pPr>
      <w:r>
        <w:t>Turretin insists at length that justification is a forensic act, not a physical or moral transformation. He writes in Topic 16, Q. 1: "Justification is a forensic and judicial act of God the supreme Judge, by which, on account of the satisfaction and righteousness of Christ imputed to us and apprehended by faith, we are absolved from the guilt of sins and receive the right to life." The term "forensic" is not a pejorative — it is a precise term for a legitimate category of action. When a judge acquits a def</w:t>
      </w:r>
      <w:r>
        <w:t>endant, that acquittal is a forensic act — a declaration about legal standing, not a transformation of character. God's justifying act in response to faith is precisely such a forensic declaration, grounded in the real satisfaction made by Christ and the real imputation of His righteousness.</w:t>
      </w:r>
    </w:p>
    <w:p w14:paraId="0FDFAB93" w14:textId="77777777" w:rsidR="000E133F" w:rsidRDefault="00EC5ECA">
      <w:pPr>
        <w:spacing w:before="60" w:after="140" w:line="360" w:lineRule="auto"/>
      </w:pPr>
      <w:r>
        <w:t>Turretin also defends the imputation of Christ's active obedience as essential to the Reformed doctrine. This is a point of particular importance in the Orthodox debate, because the Orthodox doctrine of theosis has no place for the imputation of Christ's positive righteousness; it focuses on participation in the divine life and the removal of the corruption of sin, not on the crediting of a positive righteous standing. Turretin argues (Topic 16, Q. 5) that both the active and passive obedience of Christ mus</w:t>
      </w:r>
      <w:r>
        <w:t>t be imputed for justification to be complete: the passive obedience (Christ's suffering and death) removes the guilt of sin, but without the active obedience (Christ's perfect fulfillment of the law's positive demands), the believer would have nothing more than a clean sheet — not a positive righteous standing that merits eternal life. The imputation of both active and passive obedience together gives the believer full righteousness before God.</w:t>
      </w:r>
    </w:p>
    <w:p w14:paraId="12C5DB61" w14:textId="77777777" w:rsidR="000E133F" w:rsidRDefault="00EC5ECA">
      <w:pPr>
        <w:pStyle w:val="Heading2"/>
      </w:pPr>
      <w:bookmarkStart w:id="143" w:name="_Toc232765370"/>
      <w:r>
        <w:lastRenderedPageBreak/>
        <w:t>12.5 — The Orthodox Doctrine of Theosis as an Alternative Soteriology — A Reformed Critique</w:t>
      </w:r>
      <w:bookmarkEnd w:id="143"/>
    </w:p>
    <w:p w14:paraId="4B7DDBD3" w14:textId="77777777" w:rsidR="000E133F" w:rsidRDefault="00EC5ECA">
      <w:pPr>
        <w:spacing w:before="60" w:after="140" w:line="360" w:lineRule="auto"/>
      </w:pPr>
      <w:r>
        <w:t>The Orthodox doctrine of theosis (θέωσις — deification, divinization) is the dominant soteriological category in Eastern theology, developed with particular systematic sophistication by Gregory Palamas (1296–1359) and articulated for the modern reader by Vladimir Lossky, John Meyendorff, Kallistos Ware, and George Mantzaridis. Before mounting a Reformed critique, it is necessary to present the doctrine faithfully at full length, because the caricatures in popular Reformed anti-Orthodox polemic frequently mi</w:t>
      </w:r>
      <w:r>
        <w:t>ss the nuances that Orthodox theologians regard as most important.</w:t>
      </w:r>
    </w:p>
    <w:p w14:paraId="36670159" w14:textId="77777777" w:rsidR="000E133F" w:rsidRDefault="00EC5ECA">
      <w:pPr>
        <w:spacing w:before="60" w:after="140" w:line="360" w:lineRule="auto"/>
      </w:pPr>
      <w:r>
        <w:t>The classical formula of theosis is attributed to Athanasius of Alexandria in De Incarnatione 54: "God became man so that man might become god" (theopoiēthōmen). This formula does not teach pantheism — the absorption of the creature into the divine substance. The entire Orthodox tradition, from Athanasius through Palamas, insists on the preservation of the creature's personal identity in theosis. The creature does not become God in His essence (ousia); he participates in the divine energies (energeiai) — th</w:t>
      </w:r>
      <w:r>
        <w:t>e divine perfections that flow outward from the divine essence in self-communicating love: life, light, love, holiness, goodness, wisdom. Palamas's distinction between divine essence and divine energies is the theological key: the essence remains utterly transcendent and incommunicable; the energies are genuinely divine (not created intermediaries) and are genuinely participated by the deified creature. Vladimir Lossky writes: "The distinction between essence and energies, introduced to safeguard the real c</w:t>
      </w:r>
      <w:r>
        <w:t>haracter of the union with God, enables us to understand why this union takes place in the divine energies and not in the divine essence: if it were otherwise — if souls were united with the very essence — we should be forced to admit, if we do not wish to fall into pantheism, that the soul is an emanation of the divine essence."</w:t>
      </w:r>
    </w:p>
    <w:p w14:paraId="28AB890D" w14:textId="77777777" w:rsidR="000E133F" w:rsidRDefault="00EC5ECA">
      <w:pPr>
        <w:spacing w:before="60" w:after="140" w:line="360" w:lineRule="auto"/>
      </w:pPr>
      <w:r>
        <w:t xml:space="preserve">Salvation in Orthodox theology is accordingly understood as the restoration and perfection of the imago Dei in the human person through participation in God's life. The fall, on the Orthodox account, introduced mortality and a weakened tendency toward sin, and Christ's incarnation, death, and resurrection reconstitute human nature by re-uniting the human with the divine in His own Person. The benefits of this reconstitution are extended to believers through the sacramental life of the Church — Baptism, </w:t>
      </w:r>
      <w:r>
        <w:lastRenderedPageBreak/>
        <w:t>Eucharist, Chrismation, the daily disciplines of prayer, fasting, and repentance. John Meyendorff writes: "In Eastern Christianity, the concept of salvation has never been reduced to a legal transaction but has always been understood in terms of man's participation in God." Kallistos Ware expresses the same conviction: "Salvation is not merely the forgiveness of sins but our deification, our participation in the divine life." The process of theosis is life-long, involving synergistic cooperation between div</w:t>
      </w:r>
      <w:r>
        <w:t>ine grace and human freedom, and reaches its eschatological completion in the age to come.</w:t>
      </w:r>
    </w:p>
    <w:p w14:paraId="57B589C5" w14:textId="77777777" w:rsidR="000E133F" w:rsidRDefault="00EC5ECA">
      <w:pPr>
        <w:spacing w:before="60" w:after="140" w:line="360" w:lineRule="auto"/>
      </w:pPr>
      <w:r>
        <w:t>The Reformed critique of this doctrine proceeds along four distinct but interconnected lines.</w:t>
      </w:r>
    </w:p>
    <w:p w14:paraId="6A73206F" w14:textId="77777777" w:rsidR="000E133F" w:rsidRDefault="00EC5ECA">
      <w:pPr>
        <w:spacing w:before="60" w:after="140" w:line="360" w:lineRule="auto"/>
      </w:pPr>
      <w:r>
        <w:rPr>
          <w:b/>
          <w:bCs/>
        </w:rPr>
        <w:t>First: The claim that forensic justification leaves the sinner externally acquitted but internally unchanged.</w:t>
      </w:r>
      <w:r>
        <w:t xml:space="preserve"> This is the most common Orthodox (and Catholic) objection to the Reformed doctrine, and it misrepresents the Reformed position in a fundamental way. The Reformed tradition does not teach that justification exhausts the content of salvation. The Second London Baptist Confession contains separate chapters on effectual calling (Chapter 10), justification (Chapter 11), adoption (Chapter 12), sanctification (Chapter 13), saving faith (Chapter 14), repentance (Chapter 15), and good works (Chapter 16). The forens</w:t>
      </w:r>
      <w:r>
        <w:t>ic declaration of justification is the foundation of the believer's relationship with God; it is not the sum total of what God does in and for the sinner. The same act of union with Christ that brings justification also brings regeneration, sanctification, adoption, and every other spiritual blessing (Ephesians 1:3: "every spiritual blessing in the heavenly places"). 2LBC 13.1 states: "They who are united to Christ, effectually called and regenerated, having a new heart and a new spirit created in them, thr</w:t>
      </w:r>
      <w:r>
        <w:t>ough the virtue of Christ's death and resurrection, are also further sanctified, really and personally, through the same virtue, by his Word and Spirit dwelling in them." There is no Reformed theology of mere external acquittal without inward renewal — the two are inseparably united in the one act of union with Christ.</w:t>
      </w:r>
    </w:p>
    <w:p w14:paraId="5DB0224E" w14:textId="77777777" w:rsidR="000E133F" w:rsidRDefault="00EC5ECA">
      <w:pPr>
        <w:spacing w:before="60" w:after="140" w:line="360" w:lineRule="auto"/>
      </w:pPr>
      <w:r>
        <w:rPr>
          <w:b/>
          <w:bCs/>
        </w:rPr>
        <w:t>Second: The claim that 2 Peter 1:4 supports theosis as ontological participation in the divine nature.</w:t>
      </w:r>
      <w:r>
        <w:t xml:space="preserve"> The text reads: "by which he has granted to us his precious and very great promises, so that through them you may become partakers </w:t>
      </w:r>
      <w:r>
        <w:lastRenderedPageBreak/>
        <w:t>of the divine nature (theias koinōnoi physeōs), having escaped from the corruption that is in the world because of sinful desire." The phrase theias koinōnoi physeōs is undeniably participatory language, and the Reformed tradition cannot and should not minimize its force. The question is: what kind of participation does this text describe?</w:t>
      </w:r>
    </w:p>
    <w:p w14:paraId="4920FE53" w14:textId="77777777" w:rsidR="000E133F" w:rsidRDefault="00EC5ECA">
      <w:pPr>
        <w:spacing w:before="60" w:after="140" w:line="360" w:lineRule="auto"/>
      </w:pPr>
      <w:r>
        <w:t>The context provides the answer. The verse concludes: "having escaped from the corruption that is in the world because of sinful desire" (aporaphugontes tēs en tō kosmō en epithymia phthoras). The antithesis is between the divine nature (theias physeōs) on the one hand and the corruption in the world through sinful desire (phthora... en epithymia) on the other. The "divine nature" of which believers become partakers is thus, in context, the antithesis of corruption and sinful desire — which is to say, it is</w:t>
      </w:r>
      <w:r>
        <w:t xml:space="preserve"> defined morally and relationally: holiness, incorruptibility, love, goodness. The participation Peter describes is participation in God's communicable attributes — those attributes of God that can be shared with creatures without destroying the Creator-creature distinction: holiness, wisdom, love, righteousness. Thomas Schreiner notes in his commentary on 2 Peter (Baker Exegetical Commentary) that "the divine nature here does not refer to the divine essence, to God's incommunicable attributes, but to the m</w:t>
      </w:r>
      <w:r>
        <w:t>oral attributes of God such as holiness and righteousness." The verse teaches real and transformative participation in God's life, but it does not teach ontological merger with the divine substance — and certainly not the erasure of the legal category of justification.</w:t>
      </w:r>
    </w:p>
    <w:p w14:paraId="11C996E3" w14:textId="77777777" w:rsidR="000E133F" w:rsidRDefault="00EC5ECA">
      <w:pPr>
        <w:spacing w:before="60" w:after="140" w:line="360" w:lineRule="auto"/>
      </w:pPr>
      <w:r>
        <w:t>The comparison of 2 Peter 1:4 with 2 Corinthians 3:18 is illuminating: "And we all, with unveiled face, beholding the glory of the Lord, are being transformed into the same image from one degree of glory to another. For this comes from the Lord who is the Spirit." This is genuine transformative participation — "transformed into the same image" — and it describes progressive moral and spiritual conformity to Christ. But it is the language of sanctification, not of forensic justification, and the Reformed tra</w:t>
      </w:r>
      <w:r>
        <w:t>dition fully embraces it as describing the Spirit's ongoing work in the believer.</w:t>
      </w:r>
    </w:p>
    <w:p w14:paraId="7DAE490B" w14:textId="77777777" w:rsidR="000E133F" w:rsidRDefault="00EC5ECA">
      <w:pPr>
        <w:spacing w:before="60" w:after="140" w:line="360" w:lineRule="auto"/>
      </w:pPr>
      <w:r>
        <w:rPr>
          <w:b/>
          <w:bCs/>
        </w:rPr>
        <w:t>Third: The synergism problem.</w:t>
      </w:r>
      <w:r>
        <w:t xml:space="preserve"> Orthodox soteriology is explicitly synergistic: salvation is a cooperation between divine grace and human freedom. God acts; man responds; man cooperates with grace; the outcome is theosis. The Reformed doctrine, by contrast, is monergistic: God acts in such a way as to produce the human response — </w:t>
      </w:r>
      <w:r>
        <w:lastRenderedPageBreak/>
        <w:t>including faith, repentance, and all subsequent obedience — as the fruit of His sovereign work. Philippians 2:12–13 is the decisive text: "Work out your own salvation with fear and trembling, for it is God who w</w:t>
      </w:r>
      <w:r>
        <w:t>orks in you, both to will and to work for his good pleasure." The Reformed reading is that the human working (v. 12) is not a contribution alongside God's working but is itself the product of God's working (v. 13). God works in the human will and activity, producing the very desire and capacity to will and act in accordance with His pleasure. This is not the cooperation of two independent agents; it is the Spirit producing human activity from within, which is precisely what 2LBC 13.3 describes: "In which wa</w:t>
      </w:r>
      <w:r>
        <w:t>r, although the remaining corruption, for a time, may much prevail; yet, through the continual supply of strength from the sanctifying Spirit of Christ, the regenerate part doth overcome; and so, the saints grow in grace, perfecting holiness in the fear of God."</w:t>
      </w:r>
    </w:p>
    <w:p w14:paraId="22352F3F" w14:textId="77777777" w:rsidR="000E133F" w:rsidRDefault="00EC5ECA">
      <w:pPr>
        <w:spacing w:before="60" w:after="140" w:line="360" w:lineRule="auto"/>
      </w:pPr>
      <w:r>
        <w:t>The Orthodox synergism, by making the human contribution a genuine (not merely Spirit-enabled) cause of progress in theosis, necessarily introduces a form of human merit — however carefully the Orthodox theologians deny this in their formal theological statements. If my cooperation with grace produces progress in deification that contributes to my ultimate salvation, then my cooperation is, at least in part, a condition of my salvation. This undermines the sola gratia principle in a way that the Reformed do</w:t>
      </w:r>
      <w:r>
        <w:t>ctrine, by grounding all human activity in the Spirit's sovereign production of that activity within the human will, does not.</w:t>
      </w:r>
    </w:p>
    <w:p w14:paraId="6D624E4A" w14:textId="77777777" w:rsidR="000E133F" w:rsidRDefault="00EC5ECA">
      <w:pPr>
        <w:spacing w:before="60" w:after="140" w:line="360" w:lineRule="auto"/>
      </w:pPr>
      <w:r>
        <w:rPr>
          <w:b/>
          <w:bCs/>
        </w:rPr>
        <w:t>Fourth: The assurance problem.</w:t>
      </w:r>
      <w:r>
        <w:t xml:space="preserve"> The pastoral dimensions of the theosis doctrine, when held consistently, produce an absence of assurance that the Reformation specifically addressed as one of the church's greatest pastoral failures. In Orthodox theology, theosis is a lifelong process with no moment of completion this side of the age to come. One cannot, in the Orthodox framework, point to a moment when God declared one righteous and said "It is finished" — there is no analogous transaction to the one Paul describes in Romans 8:1 ("There i</w:t>
      </w:r>
      <w:r>
        <w:t xml:space="preserve">s therefore now no condemnation for those who are in Christ Jesus"). Progress in theosis is real but asymptotic: one is always moving toward the divine nature, never having arrived. Moreover, one's standing is partly a function of one's present degree of cooperation with grace: if I have ceased to </w:t>
      </w:r>
      <w:r>
        <w:lastRenderedPageBreak/>
        <w:t>cooperate, if I have fallen into grave sin, my progress in theosis is reversed, and I cannot be certain of my final state.</w:t>
      </w:r>
    </w:p>
    <w:p w14:paraId="6F6254E1" w14:textId="77777777" w:rsidR="000E133F" w:rsidRDefault="00EC5ECA">
      <w:pPr>
        <w:spacing w:before="60" w:after="140" w:line="360" w:lineRule="auto"/>
      </w:pPr>
      <w:r>
        <w:t>The Reformation specifically recovered the NT teaching that assurance of salvation is both possible and commanded. 1 John 5:13 states: "I write these things to you who believe in the name of the Son of God, that you may know that you have eternal life." The purpose of John's first epistle is precisely to enable believing Christians to "know" (oida — to know with certainty) that they have eternal life. This is not the aspiration to know; it is the achievable reality of knowing, grounded in the completed tran</w:t>
      </w:r>
      <w:r>
        <w:t>saction of justification. Forensic justification is the ground of this assurance: because justification is a completed act — a divine declaration that does not oscillate with the fluctuating quality of the believer's cooperation with grace — the believer has the objective ground for settled assurance. The 2LBC Chapter 18 ("Of the Assurance of Grace and Salvation") affirms: "Although temporary believers, and other unregenerate men, may vainly deceive themselves with false hopes and carnal presumption of bein</w:t>
      </w:r>
      <w:r>
        <w:t>g in the favour of God and state of salvation, which hope of theirs shall perish; yet such as truly believe in the Lord Jesus, and love him in sincerity, endeavouring to walk in all good conscience before him, may in this life be certainly assured that they are in the state of grace, and may rejoice in the hope of the glory of God." The foundation of this assurance is "the divine truth of the promises of salvation," not the quality of one's progress in theosis.</w:t>
      </w:r>
    </w:p>
    <w:p w14:paraId="2A5F4070" w14:textId="77777777" w:rsidR="000E133F" w:rsidRDefault="00EC5ECA">
      <w:pPr>
        <w:pStyle w:val="Heading1"/>
        <w:pageBreakBefore/>
      </w:pPr>
      <w:bookmarkStart w:id="144" w:name="_Toc232765371"/>
      <w:r>
        <w:lastRenderedPageBreak/>
        <w:t>CHAPTER 13: ORIGINAL SIN VS. ANCESTRAL SIN — THE ANTHROPOLOGICAL FOUNDATION</w:t>
      </w:r>
      <w:bookmarkEnd w:id="144"/>
    </w:p>
    <w:p w14:paraId="2337D68A" w14:textId="77777777" w:rsidR="000E133F" w:rsidRDefault="00EC5ECA">
      <w:pPr>
        <w:pStyle w:val="Heading2"/>
      </w:pPr>
      <w:bookmarkStart w:id="145" w:name="_Toc232765372"/>
      <w:r>
        <w:t>13.1 — The Reformed Doctrine of Original Sin: 2LBC Chapter 6 in Full</w:t>
      </w:r>
      <w:bookmarkEnd w:id="145"/>
    </w:p>
    <w:p w14:paraId="302E3B69" w14:textId="77777777" w:rsidR="000E133F" w:rsidRDefault="00EC5ECA">
      <w:pPr>
        <w:spacing w:before="60" w:after="140" w:line="360" w:lineRule="auto"/>
      </w:pPr>
      <w:r>
        <w:t>The anthropological question is the necessary presupposition of the soteriological one. Before asking "what must be done to save humanity?" one must ask "what has gone wrong with humanity?" The answer one gives to the second question determines the structure of the first. Eastern Orthodoxy's answer — that what has gone wrong is primarily the introduction of mortality and a weakened moral nature — produces a soteriology oriented toward healing, restoration, and the defeat of death. The Reformed answer — that</w:t>
      </w:r>
      <w:r>
        <w:t xml:space="preserve"> what has gone wrong is the introduction of both original guilt (shared in Adam's transgression) and original corruption (total depravity) — produces a soteriology oriented toward the satisfaction of divine justice and the imputation of alien righteousness. The anthropological divide is therefore the foundation of the soteriological divide.</w:t>
      </w:r>
    </w:p>
    <w:p w14:paraId="78A9E55C" w14:textId="77777777" w:rsidR="000E133F" w:rsidRDefault="00EC5ECA">
      <w:pPr>
        <w:spacing w:before="60" w:after="140" w:line="360" w:lineRule="auto"/>
      </w:pPr>
      <w:r>
        <w:t>The Second London Baptist Confession of Faith, Chapter 6, "Of the Fall of Man, of Sin, and of the Punishment Thereof," addresses the anthropological question with precision and comprehensiveness. Its five paragraphs must be reproduced and examined in full.</w:t>
      </w:r>
    </w:p>
    <w:p w14:paraId="28D0FFCC" w14:textId="77777777" w:rsidR="000E133F" w:rsidRDefault="00EC5ECA">
      <w:pPr>
        <w:spacing w:before="60" w:after="140" w:line="360" w:lineRule="auto"/>
      </w:pPr>
      <w:r>
        <w:rPr>
          <w:b/>
          <w:bCs/>
        </w:rPr>
        <w:t>Paragraph 1:</w:t>
      </w:r>
    </w:p>
    <w:p w14:paraId="74F1F4DF" w14:textId="77777777" w:rsidR="000E133F" w:rsidRDefault="00EC5ECA">
      <w:pPr>
        <w:spacing w:before="60" w:after="140" w:line="360" w:lineRule="auto"/>
      </w:pPr>
      <w:r>
        <w:t>"Although God created Man upright and perfect, and gave him a righteous law, which had been unto life had he kept it, and threatened death upon the breach thereof; yet he did not long abide in this honour; Satan using the subtlety of the serpent to subdue Eve, then by her seducing Adam, who without any compulsion, did wilfully transgress the law of their creation, and the command given to them, in eating the forbidden fruit; which God was pleased, according to his wise and holy counsel to permit, having pur</w:t>
      </w:r>
      <w:r>
        <w:t>posed to order it to his own glory."</w:t>
      </w:r>
    </w:p>
    <w:p w14:paraId="014BFEF5" w14:textId="77777777" w:rsidR="000E133F" w:rsidRDefault="00EC5ECA">
      <w:pPr>
        <w:spacing w:before="60" w:after="140" w:line="360" w:lineRule="auto"/>
      </w:pPr>
      <w:r>
        <w:t xml:space="preserve">The narrative of the fall is presented as historical, deliberate, and morally culpable. Adam and Eve's transgression was not a mere mistake or a step in moral development; </w:t>
      </w:r>
      <w:r>
        <w:lastRenderedPageBreak/>
        <w:t>it was a willful violation of a known divine command — "without any compulsion, did wilfully transgress." The introduction of "Satan using the subtlety of the serpent" identifies the transgression as not merely anthropological but cosmological: the fall is the intersection of human disobedience and satanic cunning, both working against the divine command. The final clause — "having purposed to order it to his own glory" — is the characteristic Reformed insistence on divine sovereignty over human history, ev</w:t>
      </w:r>
      <w:r>
        <w:t>en in its darkest turns: God permitted the fall in accordance with His wise and holy counsel, without thereby becoming the author of sin or relieving human responsibility for it.</w:t>
      </w:r>
    </w:p>
    <w:p w14:paraId="5B80BEDD" w14:textId="77777777" w:rsidR="000E133F" w:rsidRDefault="00EC5ECA">
      <w:pPr>
        <w:spacing w:before="60" w:after="140" w:line="360" w:lineRule="auto"/>
      </w:pPr>
      <w:r>
        <w:rPr>
          <w:b/>
          <w:bCs/>
        </w:rPr>
        <w:t>Paragraph 2:</w:t>
      </w:r>
    </w:p>
    <w:p w14:paraId="75271786" w14:textId="77777777" w:rsidR="000E133F" w:rsidRDefault="00EC5ECA">
      <w:pPr>
        <w:spacing w:before="60" w:after="140" w:line="360" w:lineRule="auto"/>
      </w:pPr>
      <w:r>
        <w:t>"Our first parents, by this sin, fell from their original righteousness and communion with God, and we in them. The penalty of this was death to all their posterity coming of them by ordinary generation; as also communion and fellowship with God was broken, spiritual death, pollution, and an inclination and facility to sin came upon all; and this we commonly call original sin."</w:t>
      </w:r>
    </w:p>
    <w:p w14:paraId="77BE62EB" w14:textId="77777777" w:rsidR="000E133F" w:rsidRDefault="00EC5ECA">
      <w:pPr>
        <w:spacing w:before="60" w:after="140" w:line="360" w:lineRule="auto"/>
      </w:pPr>
      <w:r>
        <w:t>Two consequences of the fall are identified here: (1) the fall of Adam and Eve, and "we in them" — the corporate involvement of humanity in Adam's transgression; and (2) the penalty of death to all their posterity, together with spiritual death and pollution of nature. The phrase "we in them" is the covenantal/federal claim: our first parents acted not only for themselves but as representatives of all their natural descendants. Their fall was our fall. This is the doctrine of federal headship and original g</w:t>
      </w:r>
      <w:r>
        <w:t>uilt. The consequences for their posterity are described in three categories: death (the penal consequence), communion with God broken (the relational consequence), and "spiritual death, pollution, and an inclination and facility to sin" (the inward corruption — original pollution). All three together constitute "original sin."</w:t>
      </w:r>
    </w:p>
    <w:p w14:paraId="5DE5B94C" w14:textId="77777777" w:rsidR="000E133F" w:rsidRDefault="00EC5ECA">
      <w:pPr>
        <w:spacing w:before="60" w:after="140" w:line="360" w:lineRule="auto"/>
      </w:pPr>
      <w:r>
        <w:rPr>
          <w:b/>
          <w:bCs/>
        </w:rPr>
        <w:t>Paragraph 3:</w:t>
      </w:r>
    </w:p>
    <w:p w14:paraId="5102700D" w14:textId="77777777" w:rsidR="000E133F" w:rsidRDefault="00EC5ECA">
      <w:pPr>
        <w:spacing w:before="60" w:after="140" w:line="360" w:lineRule="auto"/>
      </w:pPr>
      <w:r>
        <w:t xml:space="preserve">"They being the root, and by God's appointment, standing in the room and stead of all mankind, the guilt of this sin was imputed, and corrupted nature conveyed to all their posterity descending from them by ordinary generation, being now conceived in sin and </w:t>
      </w:r>
      <w:r>
        <w:lastRenderedPageBreak/>
        <w:t>by nature children of wrath, the servants of sin, the subjects of death and all other miseries, spiritual, temporal and eternal, unless the Lord Jesus Christ set them free."</w:t>
      </w:r>
    </w:p>
    <w:p w14:paraId="65917B96" w14:textId="77777777" w:rsidR="000E133F" w:rsidRDefault="00EC5ECA">
      <w:pPr>
        <w:spacing w:before="60" w:after="140" w:line="360" w:lineRule="auto"/>
      </w:pPr>
      <w:r>
        <w:t xml:space="preserve">The federal/covenantal structure is now made explicit: Adam and Eve stood "by God's appointment...in the room and stead of all mankind." This is covenant theology's account of the Covenant of Works (also called the Covenant of Creation or Covenant of Life): God constituted Adam as the federal representative of all his natural descendants, such that his obedience would have secured life for all and his disobedience incurred death for all. The imputation of guilt is presented as a function of this covenantal </w:t>
      </w:r>
      <w:r>
        <w:t>appointment: "the guilt of this sin was imputed." The language of imputation (charging to one's account) here anticipates the language of imputed righteousness in Chapter 11: just as Adam's guilt is imputed to his descendants through federal representation, so Christ's righteousness is imputed to His people through federal representation. The parallel is not accidental; it is essential to the entire structure of Reformed soteriology.</w:t>
      </w:r>
    </w:p>
    <w:p w14:paraId="193F13AB" w14:textId="77777777" w:rsidR="000E133F" w:rsidRDefault="00EC5ECA">
      <w:pPr>
        <w:spacing w:before="60" w:after="140" w:line="360" w:lineRule="auto"/>
      </w:pPr>
      <w:r>
        <w:rPr>
          <w:b/>
          <w:bCs/>
        </w:rPr>
        <w:t>Paragraph 4:</w:t>
      </w:r>
    </w:p>
    <w:p w14:paraId="23E2495C" w14:textId="77777777" w:rsidR="000E133F" w:rsidRDefault="00EC5ECA">
      <w:pPr>
        <w:spacing w:before="60" w:after="140" w:line="360" w:lineRule="auto"/>
      </w:pPr>
      <w:r>
        <w:t>"From this original corruption, whereby we are utterly indisposed, disabled, and made opposite to all good, and wholly inclined to all evil, do proceed all actual transgressions."</w:t>
      </w:r>
    </w:p>
    <w:p w14:paraId="3B2517C7" w14:textId="77777777" w:rsidR="000E133F" w:rsidRDefault="00EC5ECA">
      <w:pPr>
        <w:spacing w:before="60" w:after="140" w:line="360" w:lineRule="auto"/>
      </w:pPr>
      <w:r>
        <w:t>Total depravity is here stated with characteristic directness: "utterly indisposed, disabled, and made opposite to all good, and wholly inclined to all evil." The threefold characterization — indisposed (no inclination toward spiritual good), disabled (no ability to pursue spiritual good), made opposite (positively inclined against spiritual good) — is a comprehensive account of the noetic, volitional, and affective dimensions of human fallenness. The phrase "made opposite to all good" is particularly strik</w:t>
      </w:r>
      <w:r>
        <w:t>ing: the fallen human being is not merely neutral or weakened in relation to God; he is actively set against the things of God. Paul confirms this in Romans 8:7–8: "For the mind that is set on the flesh is hostile to God, for it does not submit to God's law; indeed, it cannot. Those who are in the flesh cannot please God." And in 1 Corinthians 2:14: "The natural person does not accept the things of the Spirit of God, for they are folly to him, and he is not able to understand them because they are spiritual</w:t>
      </w:r>
      <w:r>
        <w:t>ly discerned."</w:t>
      </w:r>
    </w:p>
    <w:p w14:paraId="190E0077" w14:textId="77777777" w:rsidR="000E133F" w:rsidRDefault="00EC5ECA">
      <w:pPr>
        <w:spacing w:before="60" w:after="140" w:line="360" w:lineRule="auto"/>
      </w:pPr>
      <w:r>
        <w:rPr>
          <w:b/>
          <w:bCs/>
        </w:rPr>
        <w:t>Paragraph 5:</w:t>
      </w:r>
    </w:p>
    <w:p w14:paraId="4934A088" w14:textId="77777777" w:rsidR="000E133F" w:rsidRDefault="00EC5ECA">
      <w:pPr>
        <w:spacing w:before="60" w:after="140" w:line="360" w:lineRule="auto"/>
      </w:pPr>
      <w:r>
        <w:lastRenderedPageBreak/>
        <w:t>"The corruption of nature, during this life, doth remain in those that are regenerated; and although it be through Christ pardoned and mortified, yet both itself, and the first motions thereof, are truly and properly sin."</w:t>
      </w:r>
    </w:p>
    <w:p w14:paraId="02FF704E" w14:textId="77777777" w:rsidR="000E133F" w:rsidRDefault="00EC5ECA">
      <w:pPr>
        <w:spacing w:before="60" w:after="140" w:line="360" w:lineRule="auto"/>
      </w:pPr>
      <w:r>
        <w:t>This paragraph addresses the ongoing presence of original corruption in the regenerate. Even after regeneration and justification, the corruption of nature remains — what the Westminster tradition calls the "remnants of sin" and what Paul calls "the flesh" (Galatians 5:17: "For the desires of the flesh are against the Spirit, and the desires of the Spirit are against the flesh, for these are opposed to each other, to keep you from doing the things you want to do"). The paragraph specifies that "the first mo</w:t>
      </w:r>
      <w:r>
        <w:t>tions thereof" — the first stirrings of sinful desire, even before they are consented to and acted upon — are "truly and properly sin." This is the Augustinian claim against Pelagius: sin is not merely in the act but in the nature, and the nature's corruption is genuinely sinful, not merely a morally neutral tendency.</w:t>
      </w:r>
    </w:p>
    <w:p w14:paraId="1C840D38" w14:textId="77777777" w:rsidR="000E133F" w:rsidRDefault="00EC5ECA">
      <w:pPr>
        <w:spacing w:before="60" w:after="140" w:line="360" w:lineRule="auto"/>
      </w:pPr>
      <w:r>
        <w:t>The theological implications of the full Reformed doctrine are considerable. Total depravity does not mean that every unregenerate human being acts with maximum wickedness at every moment — the Confession does not teach anything so crude. It means that every faculty of the human person — intellect, will, affections, conscience — is corrupted by original sin to such a degree that, without regenerating grace, no person will or can incline toward God or perform any action that merits divine acceptance. This is</w:t>
      </w:r>
      <w:r>
        <w:t xml:space="preserve"> the foundation of the doctrine of monergistic grace: if the human will is dead in trespasses and sins (Ephesians 2:1), then the initiative in salvation must come entirely from God. The human person cannot cooperate with grace because, prior to grace, the human person is incapable of any genuine movement toward God. The Reformed monergism is thus not a theological preference but a direct implication of the consistent anthropology of Scripture.</w:t>
      </w:r>
    </w:p>
    <w:p w14:paraId="10FBEF9F" w14:textId="77777777" w:rsidR="000E133F" w:rsidRDefault="00EC5ECA">
      <w:pPr>
        <w:spacing w:before="60" w:after="140" w:line="360" w:lineRule="auto"/>
      </w:pPr>
      <w:r>
        <w:t xml:space="preserve">Augustine articulated this doctrine with definitive force in his anti-Pelagian writings — De Peccato Originali, De Natura et Gratia, Contra Iulianum — and the Council of Orange (529 AD), responding to the Semi-Pelagian controversy, confirmed the Augustinian doctrine against the view that human beings can take the first step toward God unaided by grace. Canon 3 of Orange states: "If anyone says that the grace of God can be </w:t>
      </w:r>
      <w:r>
        <w:lastRenderedPageBreak/>
        <w:t>conferred as a result of human prayer, but that it is not grace itself which makes us pray to God, he contradicts the prophet Isaiah, or the Apostle who says the same thing, 'I was found by those who did not seek me; I revealed myself to those who did not ask for me' (Romans 10:20, citing Isaiah 65:1)." And Canon 7: "If anyone affirms that we can form any right opinion or make any right choice which relates to the salvation of eternal life, as is expedient for us, or that we can be saved, that is, assent to</w:t>
      </w:r>
      <w:r>
        <w:t xml:space="preserve"> the preaching of the gospel through our natural powers without the illumination and inspiration of the Holy Spirit...he is led astray by a heretical spirit."</w:t>
      </w:r>
    </w:p>
    <w:p w14:paraId="2C245BD0" w14:textId="77777777" w:rsidR="000E133F" w:rsidRDefault="00EC5ECA">
      <w:pPr>
        <w:spacing w:before="60" w:after="140" w:line="360" w:lineRule="auto"/>
      </w:pPr>
      <w:r>
        <w:t>Calvin's treatment of the fall and original sin in Institutes II.1–3 develops the doctrine along lines consistent with the 2LBC. At II.1.8, Calvin defines original sin: "Original sin, therefore, seems to be a hereditary depravity and corruption of our nature, diffused into all parts of the soul, which first makes us liable to God's wrath, then also brings forth in us those works which Scripture calls 'works of the flesh' (Gal. 5:19)." The definition has two components: hereditary corruption (original pollut</w:t>
      </w:r>
      <w:r>
        <w:t>ion) and liability to divine wrath (original guilt). Both are present in Calvin; both are necessary for a complete account of original sin; and the absence of either — as in the Orthodox doctrine of ancestral sin, which acknowledges inherited corruption but denies inherited guilt — produces a truncated anthropology.</w:t>
      </w:r>
    </w:p>
    <w:p w14:paraId="09E3051F" w14:textId="77777777" w:rsidR="000E133F" w:rsidRDefault="00EC5ECA">
      <w:pPr>
        <w:pStyle w:val="Heading2"/>
      </w:pPr>
      <w:bookmarkStart w:id="146" w:name="_Toc232765373"/>
      <w:r>
        <w:t>13.2 — The Biblical Foundation: Romans 5:12–19 in Full Exegesis</w:t>
      </w:r>
      <w:bookmarkEnd w:id="146"/>
    </w:p>
    <w:p w14:paraId="65481F78" w14:textId="77777777" w:rsidR="000E133F" w:rsidRDefault="00EC5ECA">
      <w:pPr>
        <w:spacing w:before="60" w:after="140" w:line="360" w:lineRule="auto"/>
      </w:pPr>
      <w:r>
        <w:t>Romans 5:12–19 is the most direct biblical treatment of the relationship between Adam's transgression and the universal human condition, and it is the text on which the entire debate between Orthodox "ancestral sin" and Reformed "original sin" turns. The passage must be reproduced in full and then analyzed at length.</w:t>
      </w:r>
    </w:p>
    <w:p w14:paraId="1AEC3B0D" w14:textId="77777777" w:rsidR="000E133F" w:rsidRDefault="00EC5ECA">
      <w:pPr>
        <w:spacing w:before="60" w:after="140" w:line="360" w:lineRule="auto"/>
      </w:pPr>
      <w:r>
        <w:t xml:space="preserve">"Therefore, just as sin came into the world through one man, and death through sin, and so death spread to all men because all sinned — for sin indeed was in the world before the law was given, but sin is not counted where there is no law. Yet death reigned from Adam to Moses, even over those whose sinning was not like the transgression of Adam, who was a type of the one who was to come. But the free gift is not like the trespass. For if many died through one man's trespass, much more have the grace of God </w:t>
      </w:r>
      <w:r>
        <w:t xml:space="preserve">and the free </w:t>
      </w:r>
      <w:r>
        <w:lastRenderedPageBreak/>
        <w:t>gift by the grace of that one man Jesus Christ abounded for many. And the free gift is not like the result of that one man's sin. For the judgment following one trespass brought condemnation, but the free gift following many trespasses brought justification. For if, because of one man's trespass, death reigned through that one man, much more will those who receive the abundance of grace and the free gift of righteousness reign in life through the one man Jesus Christ. Therefore, as one trespass</w:t>
      </w:r>
      <w:r>
        <w:t xml:space="preserve"> led to condemnation for all men, so one act of righteousness leads to justification and life for all men. For as by the one man's disobedience the many were made sinners, so by the one man's obedience the many will be made righteous." (Romans 5:12–19, ESV)</w:t>
      </w:r>
    </w:p>
    <w:p w14:paraId="73A2303F" w14:textId="77777777" w:rsidR="000E133F" w:rsidRDefault="00EC5ECA">
      <w:pPr>
        <w:spacing w:before="60" w:after="140" w:line="360" w:lineRule="auto"/>
      </w:pPr>
      <w:r>
        <w:t>The exegetical crux is the phrase at the end of verse 12: eph' hō pantes hēmarton (</w:t>
      </w:r>
      <w:r>
        <w:t>ἐ</w:t>
      </w:r>
      <w:r>
        <w:t>φ</w:t>
      </w:r>
      <w:r>
        <w:t>᾽</w:t>
      </w:r>
      <w:r>
        <w:t xml:space="preserve"> </w:t>
      </w:r>
      <w:r>
        <w:t>ᾧ</w:t>
      </w:r>
      <w:r>
        <w:t xml:space="preserve"> πάντες </w:t>
      </w:r>
      <w:r>
        <w:t>ἥ</w:t>
      </w:r>
      <w:r>
        <w:t>μαρτον). The Greek phrase eph' hō is a prepositional phrase (epi + the relative pronoun hō). Its interpretation has divided East and West for centuries, and the divergent readings have generated the divergent anthropologies. Three principal readings have been proposed.</w:t>
      </w:r>
    </w:p>
    <w:p w14:paraId="3021C884" w14:textId="77777777" w:rsidR="000E133F" w:rsidRDefault="00EC5ECA">
      <w:pPr>
        <w:spacing w:before="60" w:after="140" w:line="360" w:lineRule="auto"/>
      </w:pPr>
      <w:r>
        <w:t>The first reading is Augustine's, based on his Latin translation: "in quo omnes peccaverunt" — "in whom all have sinned." Augustine read the relative pronoun hō as masculine (referring to Adam, the nearest masculine antecedent in the sentence) rather than neuter (which would require it to refer to "death" or "sin"). On Augustine's reading, all humanity sinned in Adam — a real participation in Adam's own historical act. This reading generates the doctrine that all humanity was seminally or representatively p</w:t>
      </w:r>
      <w:r>
        <w:t>resent in Adam, sharing in his transgression and therefore inheriting both its guilt and its corruption. Modern Greek scholars generally regard Augustine's Latin reading as grammatically unsustainable — the Greek construction eph' hō almost certainly functions causally rather than relationally — but the theological instinct it expressed, that all humanity is implicated in Adam's sin in some real way, is well-founded exegetically on grounds other than the single phrase.</w:t>
      </w:r>
    </w:p>
    <w:p w14:paraId="1B162B86" w14:textId="77777777" w:rsidR="000E133F" w:rsidRDefault="00EC5ECA">
      <w:pPr>
        <w:spacing w:before="60" w:after="140" w:line="360" w:lineRule="auto"/>
      </w:pPr>
      <w:r>
        <w:t xml:space="preserve">The second reading is the dominant Eastern patristic reading: "because of which [death] all have sinned" — reading eph' hō as neuter, referring to "death" or "sin" in the preceding clause. On this reading, the causal relationship runs from death to sin, not from sin to death in Adam: death spread to all men (because of which spreading of </w:t>
      </w:r>
      <w:r>
        <w:lastRenderedPageBreak/>
        <w:t>death) all sinned. Death — inherited from Adam — becomes the occasion and environment that generates human sin. This is the foundation of the Orthodox anthropological claim: we inherit mortality from Adam; mortality (combined with the weakened will) produces actual sins in each person; but we do not inherit Adam's guilt. John Chrysostom explicitly defends this reading in his Homilies on Romans, and it has remained the standard Eastern interpretation.</w:t>
      </w:r>
    </w:p>
    <w:p w14:paraId="3C9076AB" w14:textId="77777777" w:rsidR="000E133F" w:rsidRDefault="00EC5ECA">
      <w:pPr>
        <w:spacing w:before="60" w:after="140" w:line="360" w:lineRule="auto"/>
      </w:pPr>
      <w:r>
        <w:t>The third reading — which represents the dominant modern Protestant exegetical conclusion, and which also captures the essential Reformed doctrinal claim — translates eph' hō causally as "because all sinned" (NASB, ESV, NIV). On this reading, "death spread to all men because all sinned" — with the "sinning" in question understood not as individual personal transgressions (for then the Eastern reading would be correct) but as the corporate transgression of all humanity in Adam. This reading is confirmed by t</w:t>
      </w:r>
      <w:r>
        <w:t>he subsequent verses in a way that the Eastern reading cannot account for.</w:t>
      </w:r>
    </w:p>
    <w:p w14:paraId="0D254070" w14:textId="77777777" w:rsidR="000E133F" w:rsidRDefault="00EC5ECA">
      <w:pPr>
        <w:spacing w:before="60" w:after="140" w:line="360" w:lineRule="auto"/>
      </w:pPr>
      <w:r>
        <w:t xml:space="preserve">The decisive exegetical evidence is found in verses 13–14 and verses 18–19, which establish the framework within which verse 12 must be read. Verses 13–14: "for sin indeed was in the world before the law was given, but sin is not counted where there is no law. Yet death reigned from Adam to Moses, even over those whose sinning was not like the transgression of Adam." This is Paul's argument for the reality of imputed sin. If people died only for their own personal sins, then the death of those who "sinning </w:t>
      </w:r>
      <w:r>
        <w:t>was not like the transgression of Adam" — specifically those who lived before the Mosaic law and thus did not have an explicit divine command to violate in the same way Adam did — would be inexplicable. They died, yet their individual sins cannot be the full explanation for their death, because "sin is not counted where there is no law." The only explanation for the universal reign of death even over those without explicit law-transgressions is that they shared in Adam's guilt through federal representation</w:t>
      </w:r>
      <w:r>
        <w:t>. Death is their inheritance from Adam, not merely the consequence of their own personal wrongdoing.</w:t>
      </w:r>
    </w:p>
    <w:p w14:paraId="6925B2A5" w14:textId="77777777" w:rsidR="000E133F" w:rsidRDefault="00EC5ECA">
      <w:pPr>
        <w:spacing w:before="60" w:after="140" w:line="360" w:lineRule="auto"/>
      </w:pPr>
      <w:r>
        <w:t xml:space="preserve">Verse 18 then provides the syntactical parallel that controls the whole passage: "Therefore, as one trespass led to condemnation for all men, so one act of righteousness leads to justification and life for all men." The parallel structure is Adam's one trespass </w:t>
      </w:r>
      <w:r>
        <w:lastRenderedPageBreak/>
        <w:t>→ condemnation for all men / Christ's one act of righteousness → justification for all men. The parallel is exact, and it is the exegetical key to the entire passage. Notice the structural demand this places on the interpretation of Adam's side of the parallel: if Christ's righteousness leads to justification for those who played no personal part in producing it (this is the entire argument of Romans 3–4), then Adam's trespass leads to condemnation for those who played no personal part in committing it. The</w:t>
      </w:r>
      <w:r>
        <w:t xml:space="preserve"> parallelism is federally symmetrical. To accept the one side of the parallel (Christ's imputed righteousness) while rejecting the other (Adam's imputed guilt) is to read the passage incoherently.</w:t>
      </w:r>
    </w:p>
    <w:p w14:paraId="6643595A" w14:textId="77777777" w:rsidR="000E133F" w:rsidRDefault="00EC5ECA">
      <w:pPr>
        <w:spacing w:before="60" w:after="140" w:line="360" w:lineRule="auto"/>
      </w:pPr>
      <w:r>
        <w:t>Verse 19 makes the point explicit: "For as by the one man's disobedience the many were made sinners, so by the one man's obedience the many will be made righteous." The passive verb katestathēsan (were made) is juridical/federal language — it does not describe what the "many" did but what was done to them. They were "constituted" sinners by an act external to themselves: the disobedience of the one man. This is not a description of personal moral deterioration; it is a description of a legal/federal constit</w:t>
      </w:r>
      <w:r>
        <w:t>ution: by God's covenantal arrangement, Adam's disobedience constituted all his descendants as sinners before God. The same passive voice on the other side: "the many will be made righteous" — constituted righteous by the obedience of the one Man, Christ. The legal/federal character of both imputations is established by the shared passive construction.</w:t>
      </w:r>
    </w:p>
    <w:p w14:paraId="40C7C3BD" w14:textId="77777777" w:rsidR="000E133F" w:rsidRDefault="00EC5ECA">
      <w:pPr>
        <w:spacing w:before="60" w:after="140" w:line="360" w:lineRule="auto"/>
      </w:pPr>
      <w:r>
        <w:t>Douglas Moo's commentary on Romans 5:12–19 in the New International Commentary on the New Testament is the most thorough modern evangelical exegetical treatment. Moo argues that the eph' hō in verse 12 is best understood causally — "because all sinned" — but that the "sinning" must be understood in light of the federal framework Paul establishes in verses 18–19. He writes: "The most convincing argument for interpreting 'all sinned' in a corporate/participatory sense is the context of the passage as a whole.</w:t>
      </w:r>
      <w:r>
        <w:t xml:space="preserve">..Paul is arguing for a parallel between Adam and Christ. Just as Christ's righteous act is the basis for the justification of 'the many' who had no personal part in performing it, so Adam's sin must be the basis for the condemnation of 'the many' who had no personal part in committing it." Thomas Schreiner, in his BECNT commentary on Romans, reaches the same conclusion: "Paul teaches a federal understanding of </w:t>
      </w:r>
      <w:r>
        <w:lastRenderedPageBreak/>
        <w:t xml:space="preserve">Adam's headship, in which all sinned in and through Adam because he served as the representative </w:t>
      </w:r>
      <w:r>
        <w:t>head of the human race."</w:t>
      </w:r>
    </w:p>
    <w:p w14:paraId="4AACEEAB" w14:textId="77777777" w:rsidR="000E133F" w:rsidRDefault="00EC5ECA">
      <w:pPr>
        <w:spacing w:before="60" w:after="140" w:line="360" w:lineRule="auto"/>
      </w:pPr>
      <w:r>
        <w:t>John Murray's monograph The Imputation of Adam's Sin (1959) remains the most careful and complete Reformed treatment of this question. Murray argues that verses 15–17 demonstrate Paul's "much more" logic: if the trespass of the one man brought such catastrophic consequences, how much more do the grace and the free gift of the one man Jesus Christ abound for the many? The asymmetry in Paul's argument — the exceeding abundance of grace over the extent of sin — presupposes the symmetry of the federal structure</w:t>
      </w:r>
      <w:r>
        <w:t>s: both Adam and Christ act as representative heads whose actions determine the standing of those they represent.</w:t>
      </w:r>
    </w:p>
    <w:p w14:paraId="674CFB1F" w14:textId="77777777" w:rsidR="000E133F" w:rsidRDefault="00EC5ECA">
      <w:pPr>
        <w:spacing w:before="60" w:after="140" w:line="360" w:lineRule="auto"/>
      </w:pPr>
      <w:r>
        <w:t>The Eastern reading of verse 12 — "because of which [death] all have sinned" — faces the difficulty that it severs the logical connection between inherited death and inherited sin in a way that makes the subsequent argument of verses 13–19 incoherent. If death precedes sin as its cause (rather than following sin as its penalty), then death is not the punishment for Adam's transgression but its consequence in a different sense — an introduced condition of mortality that itself generates further sin. But this</w:t>
      </w:r>
      <w:r>
        <w:t xml:space="preserve"> contradicts Paul's own explicit logic in Romans 6:23: "For the wages of sin is death." Wages are payment for work done; they follow the work as its legal consequence. "The wages of sin is death" means that death is the legally appropriate consequence that sin earns — not a prior condition that produces sin. If death is the wages of sin, then death presupposes sin as its ground. On Paul's own account, sin → death, not death → sin. The Eastern reading inverts the Pauline causal sequence in a way that makes t</w:t>
      </w:r>
      <w:r>
        <w:t>he text self-contradictory.</w:t>
      </w:r>
    </w:p>
    <w:p w14:paraId="0F4ACEC6" w14:textId="77777777" w:rsidR="000E133F" w:rsidRDefault="00EC5ECA">
      <w:pPr>
        <w:pStyle w:val="Heading2"/>
      </w:pPr>
      <w:bookmarkStart w:id="147" w:name="_Toc232765374"/>
      <w:r>
        <w:t>13.3 — The Orthodox Doctrine of Ancestral Sin: Its Exegetical Basis</w:t>
      </w:r>
      <w:bookmarkEnd w:id="147"/>
    </w:p>
    <w:p w14:paraId="43EB34BB" w14:textId="77777777" w:rsidR="000E133F" w:rsidRDefault="00EC5ECA">
      <w:pPr>
        <w:spacing w:before="60" w:after="140" w:line="360" w:lineRule="auto"/>
      </w:pPr>
      <w:r>
        <w:t>The Eastern Orthodox position on original sin, more precisely called "ancestral sin" (protopatoria in Greek), is rooted in the Greek patristic reading of both the Adam narrative in Genesis and the Pauline treatment in Romans 5. Before subjecting this position to critique, it must be presented with the accuracy and charity that serious theological engagement demands.</w:t>
      </w:r>
    </w:p>
    <w:p w14:paraId="3152C99E" w14:textId="77777777" w:rsidR="000E133F" w:rsidRDefault="00EC5ECA">
      <w:pPr>
        <w:spacing w:before="60" w:after="140" w:line="360" w:lineRule="auto"/>
      </w:pPr>
      <w:r>
        <w:lastRenderedPageBreak/>
        <w:t>The Eastern position is defined in contrast to the Western Augustinian tradition. John Meyendorff articulates the essential difference with precision: "The idea of inherited guilt plays no part in Eastern theology: neither original sin nor salvation can be realized in an individual's life without involving his personal and free responsibility." What is inherited from Adam, on the Orthodox account, is not the guilt of Adam's transgression — that guilt was Adam's own, and justice would not permit it to be att</w:t>
      </w:r>
      <w:r>
        <w:t>ributed to those who did not personally commit the act — but the condition of mortality and the weakened moral nature that followed from Adam's transgression. Death, not guilt, is the primary inheritance.</w:t>
      </w:r>
    </w:p>
    <w:p w14:paraId="500D8A83" w14:textId="77777777" w:rsidR="000E133F" w:rsidRDefault="00EC5ECA">
      <w:pPr>
        <w:spacing w:before="60" w:after="140" w:line="360" w:lineRule="auto"/>
      </w:pPr>
      <w:r>
        <w:t xml:space="preserve">This reading is supported, the Orthodox argue, by the Greek patristic consensus on Romans 5:12. John Chrysostom, in his Homilies on Romans, reads eph' hō as referring to death: "For sin indeed was in the world before the law was given, but sin is not counted where there is no law — yet death reigned from Adam to Moses, even over those who did not sin in the same way as Adam did (that is, by disobeying an explicit command). But the death that reigned was not because of personal transgressions but because of </w:t>
      </w:r>
      <w:r>
        <w:t>Adam." Chrysostom's reading is that death spread universally because all were subjected to the same mortality as Adam; and mortality, by weakening the will and making survival a constant concern, became the environmental cause of each person's individual sins. Theodoret of Cyrrhus (c. 393–458 AD) follows the same line: "We were condemned not for Adam's sin but for our own." Cyril of Alexandria's position is somewhat ambiguous, but his general emphasis falls on the communication of a corrupt nature rather th</w:t>
      </w:r>
      <w:r>
        <w:t>an on the direct imputation of guilt.</w:t>
      </w:r>
    </w:p>
    <w:p w14:paraId="3287B4CF" w14:textId="77777777" w:rsidR="000E133F" w:rsidRDefault="00EC5ECA">
      <w:pPr>
        <w:spacing w:before="60" w:after="140" w:line="360" w:lineRule="auto"/>
      </w:pPr>
      <w:r>
        <w:t>The Orthodox theological consequence of this anthropology is that the human person is not born guilty before God — a newborn infant has committed no personal transgression and therefore stands under no personal condemnation. The child inherits a nature that is mortal, weakened in its resistance to temptation, and inclined toward self-will — but not a nature that is legally condemned for Adam's sin. This distinction has direct pastoral implications: baptism, on the Orthodox account, is not primarily the remo</w:t>
      </w:r>
      <w:r>
        <w:t xml:space="preserve">val of inherited guilt (for there is none to remove in the case of an infant) but the renewal of nature, the gift of the Holy Spirit, and the initiation into the community of </w:t>
      </w:r>
      <w:r>
        <w:lastRenderedPageBreak/>
        <w:t>the Church. The entire sacramental-participatory structure of Orthodox soteriology flows naturally from this anthropological starting point.</w:t>
      </w:r>
    </w:p>
    <w:p w14:paraId="1B302E49" w14:textId="77777777" w:rsidR="000E133F" w:rsidRDefault="00EC5ECA">
      <w:pPr>
        <w:spacing w:before="60" w:after="140" w:line="360" w:lineRule="auto"/>
      </w:pPr>
      <w:r>
        <w:t>The Orthodox also press a moral objection against the Reformed doctrine of inherited guilt: it is prima facie unjust for God to hold individuals guilty for an act they did not personally commit. If I was not present at the fall, if I had no capacity to choose otherwise, and if the federal arrangement by which Adam represented me was not something I consented to, then how can I be held guilty for Adam's act? This objection has intuitive moral force, and it must be taken seriously rather than dismissed.</w:t>
      </w:r>
    </w:p>
    <w:p w14:paraId="226C6C21" w14:textId="77777777" w:rsidR="000E133F" w:rsidRDefault="00EC5ECA">
      <w:pPr>
        <w:pStyle w:val="Heading2"/>
      </w:pPr>
      <w:bookmarkStart w:id="148" w:name="_Toc232765375"/>
      <w:r>
        <w:t>13.4 — The Reformed Response to the Orthodox Critique of Inherited Guilt</w:t>
      </w:r>
      <w:bookmarkEnd w:id="148"/>
    </w:p>
    <w:p w14:paraId="347CFE03" w14:textId="77777777" w:rsidR="000E133F" w:rsidRDefault="00EC5ECA">
      <w:pPr>
        <w:spacing w:before="60" w:after="140" w:line="360" w:lineRule="auto"/>
      </w:pPr>
      <w:r>
        <w:t>The Reformed response to the Orthodox doctrine of ancestral sin proceeds along four distinct and mutually reinforcing lines of argument. Taken together, they demonstrate that the doctrine of imputed guilt is not only biblically grounded but necessary for the coherence of the entire structure of Reformed soteriology, and that the Orthodox position, by severing guilt from condemnation, creates irresolvable difficulties for its own account of salvation.</w:t>
      </w:r>
    </w:p>
    <w:p w14:paraId="3A2992A1" w14:textId="77777777" w:rsidR="000E133F" w:rsidRDefault="00EC5ECA">
      <w:pPr>
        <w:spacing w:before="60" w:after="140" w:line="360" w:lineRule="auto"/>
      </w:pPr>
      <w:r>
        <w:rPr>
          <w:b/>
          <w:bCs/>
        </w:rPr>
        <w:t>First: The federal headship argument.</w:t>
      </w:r>
      <w:r>
        <w:t xml:space="preserve"> The doctrine of inherited guilt does not rest on the bare assertion that God holds people responsible for others' acts without any rational principle of connection. It rests on the biblical teaching that God constituted Adam as the covenant representative of all humanity — the federal head whose actions in the covenant of works determined the standing of all his natural descendants. This is not an arbitrary arrangement; it is a deliberate divine institution whose logic is made explicit by the Adam-Christ p</w:t>
      </w:r>
      <w:r>
        <w:t>arallel in Romans 5:12–19. And critically, the representative principle operates in both directions: just as Adam's disobedience brought condemnation on all who did not personally commit it, so Christ's obedience brings justification to all who did not personally perform it.</w:t>
      </w:r>
    </w:p>
    <w:p w14:paraId="67EB06A6" w14:textId="77777777" w:rsidR="000E133F" w:rsidRDefault="00EC5ECA">
      <w:pPr>
        <w:spacing w:before="60" w:after="140" w:line="360" w:lineRule="auto"/>
      </w:pPr>
      <w:r>
        <w:t xml:space="preserve">The Orthodox objection — that it is unjust for God to hold individuals guilty for Adam's act — applies with equal force to the imputation of Christ's righteousness. No believer performed Christ's perfect obedience; no believer personally satisfied divine justice by </w:t>
      </w:r>
      <w:r>
        <w:lastRenderedPageBreak/>
        <w:t xml:space="preserve">bearing the law's penal sanctions; yet the Reformed doctrine holds that Christ's righteousness is imputed to believers and is the ground of their acceptance before God. If the principle of representative imputation is rejected as unjust on the Adam-side of the parallel, it must also be rejected on the Christ-side — in which case the entire doctrine of forensic justification by imputed righteousness collapses. Conversely, if the imputation of Christ's righteousness is accepted as the ground of salvation (as </w:t>
      </w:r>
      <w:r>
        <w:t>the Orthodox, with their different soteriology, do not accept it, but as any system that takes the Pauline parallel seriously must), then the imputation of Adam's guilt cannot be dismissed as unjust without internal inconsistency.</w:t>
      </w:r>
    </w:p>
    <w:p w14:paraId="3E6AF82E" w14:textId="77777777" w:rsidR="000E133F" w:rsidRDefault="00EC5ECA">
      <w:pPr>
        <w:spacing w:before="60" w:after="140" w:line="360" w:lineRule="auto"/>
      </w:pPr>
      <w:r>
        <w:t>The Reformed tradition, following Charles Hodge, John Murray, and Louis Berkhof, insists that the covenant of works was not an arbitrary or unfair arrangement. Adam was created "upright and perfect" (2LBC 6.1) — he was the best possible representative, in the best possible conditions, with full cognitive and moral capacity. He had no inherited corruption to blame; he acted in the full freedom of an uncorrupted will. If he could not represent us adequately, no human being could — and the entire history of hu</w:t>
      </w:r>
      <w:r>
        <w:t>man relationships, in which we regularly hold people responsible for the choices of their representatives (we are bound by the commitments of our nation's leaders, our company's executives, our contractual agents), suggests that representative action is not inherently unjust.</w:t>
      </w:r>
    </w:p>
    <w:p w14:paraId="28BFC970" w14:textId="77777777" w:rsidR="000E133F" w:rsidRDefault="00EC5ECA">
      <w:pPr>
        <w:spacing w:before="60" w:after="140" w:line="360" w:lineRule="auto"/>
      </w:pPr>
      <w:r>
        <w:rPr>
          <w:b/>
          <w:bCs/>
        </w:rPr>
        <w:t>Second: The experiential and empirical argument.</w:t>
      </w:r>
      <w:r>
        <w:t xml:space="preserve"> Even granting the Orthodox position that we do not inherit guilt directly, the universal reality of human sinfulness (Romans 3:23: "for all have sinned and fall short of the glory of God") must be explained. Every human being born of natural generation does in fact commit personal sins. Every single one. No human being, apart from the incarnate Christ, has ever lived without actual transgression of God's law. This is an empirical observation so consistent as to be practically a law of nature. The question </w:t>
      </w:r>
      <w:r>
        <w:t>is: why?</w:t>
      </w:r>
    </w:p>
    <w:p w14:paraId="609FA786" w14:textId="77777777" w:rsidR="000E133F" w:rsidRDefault="00EC5ECA">
      <w:pPr>
        <w:spacing w:before="60" w:after="140" w:line="360" w:lineRule="auto"/>
      </w:pPr>
      <w:r>
        <w:t xml:space="preserve">The Orthodox answer is that death, by introducing fear and survival anxiety, creates the conditions in which sinful choices become likely. But "likely" is not the same as "certain and universal." If human beings are born morally neutral, with only a weakened will and the added pressure of mortality, then — given the countless variations in human </w:t>
      </w:r>
      <w:r>
        <w:lastRenderedPageBreak/>
        <w:t>experience, constitution, circumstance, and environment — we should expect at least some individuals, under favorable circumstances, to manage to live without sinning. The fact that no one does (apart from the unique case of Christ) is better explained by the Reformed doctrine: the inherited corruption is not a mere weakening but a thorough incapacitation of the will in relation to spiritual good. "From this original corruption, whereby we are utterly indisposed, disabled, and made opposite to all good, and</w:t>
      </w:r>
      <w:r>
        <w:t xml:space="preserve"> wholly inclined to all evil, do proceed all actual transgressions" (2LBC 6.4). The universal experience of actual sin confirms the depth of the inherited corruption.</w:t>
      </w:r>
    </w:p>
    <w:p w14:paraId="67EAB7B6" w14:textId="77777777" w:rsidR="000E133F" w:rsidRDefault="00EC5ECA">
      <w:pPr>
        <w:spacing w:before="60" w:after="140" w:line="360" w:lineRule="auto"/>
      </w:pPr>
      <w:r>
        <w:rPr>
          <w:b/>
          <w:bCs/>
        </w:rPr>
        <w:t>Third: The soteriological argument — the coherence of the system.</w:t>
      </w:r>
      <w:r>
        <w:t xml:space="preserve"> The Orthodox rejection of inherited guilt forces a corresponding adjustment in the Orthodox account of what Christ's atonement accomplishes. If the primary problem of human existence is not guilt before God's justice but mortality and corruption of nature, then the primary thing salvation must accomplish is not the satisfaction of divine justice but the defeat of death and the restoration of the corrupted nature. This produces the soteriological trajectory characteristic of Eastern theology: Christus Victo</w:t>
      </w:r>
      <w:r>
        <w:t>r (the defeat of death), theosis (the restoration of the divine image through participatory union with the divine nature), and the sacramental system as the channel of the healing power of Christ's resurrection. Penal substitutionary atonement — Christ bearing the guilt of His people before the divine tribunal — has no organic place in this framework, because guilt is not the primary problem.</w:t>
      </w:r>
    </w:p>
    <w:p w14:paraId="3296C0DF" w14:textId="77777777" w:rsidR="000E133F" w:rsidRDefault="00EC5ECA">
      <w:pPr>
        <w:spacing w:before="60" w:after="140" w:line="360" w:lineRule="auto"/>
      </w:pPr>
      <w:r>
        <w:t>The consequence, however, is that the central Pauline and Johannine soteriological categories become inexplicable. Why did Christ have to shed blood? "Without the shedding of blood there is no forgiveness of sins" (Hebrews 9:22) — but if the problem is not guilt requiring blood-payment, why is blood necessary? Why is Christ specifically described as a "propitiation" — the averter of divine wrath (Romans 3:25; 1 John 2:2; 1 John 4:10) — if the problem is not divine wrath requiring propitiation? Why does Paul</w:t>
      </w:r>
      <w:r>
        <w:t xml:space="preserve"> describe Christ as having "redeemed us from the curse of the law by becoming a curse for us" (Galatians 3:13) — if there is no law-curse on humanity requiring redemption? The Reformed doctrine of original guilt, by identifying the primary problem as legal condemnation, generates a soteriological architecture in which these Pauline blood-propitiation-curse categories are logically necessary and coherent. The Orthodox </w:t>
      </w:r>
      <w:r>
        <w:lastRenderedPageBreak/>
        <w:t>doctrine, by minimizing the legal dimension, is forced to interpret these categories as sec</w:t>
      </w:r>
      <w:r>
        <w:t>ondary metaphors for ontological healing — a reading that does justice neither to Paul's legal vocabulary nor to the logic of his arguments.</w:t>
      </w:r>
    </w:p>
    <w:p w14:paraId="5C71F93C" w14:textId="77777777" w:rsidR="000E133F" w:rsidRDefault="00EC5ECA">
      <w:pPr>
        <w:spacing w:before="60" w:after="140" w:line="360" w:lineRule="auto"/>
      </w:pPr>
      <w:r>
        <w:rPr>
          <w:b/>
          <w:bCs/>
        </w:rPr>
        <w:t>Fourth: The Romans 6:23 argument.</w:t>
      </w:r>
      <w:r>
        <w:t xml:space="preserve"> Paul states with crystalline directness: "For the wages of sin is death" (Romans 6:23). The word "wages" (opsōnion) is a military and commercial term for remuneration earned by labor or service rendered. Death is presented as the earned, appropriate, legally deserved consequence of sin — not as a natural biological fact that happens to accompany sin, but as the juridically appropriate payment for sin's work. This means that death's presence in human experience is, on Paul's account, the evidence of sin's p</w:t>
      </w:r>
      <w:r>
        <w:t>resence as its legal ground. Death → sin as wages → work that earned those wages.</w:t>
      </w:r>
    </w:p>
    <w:p w14:paraId="1B7364EA" w14:textId="77777777" w:rsidR="000E133F" w:rsidRDefault="00EC5ECA">
      <w:pPr>
        <w:spacing w:before="60" w:after="140" w:line="360" w:lineRule="auto"/>
      </w:pPr>
      <w:r>
        <w:t>The Eastern reading of Romans 5:12 — that death caused sin by providing the environment in which sin flourishes — inverts this Pauline causal sequence. If death is the wages of sin, then sin must precede death as the work precedes the payment; death cannot precede sin as the Eastern reading requires. The Reformed reading preserves the Pauline logic intact: Adam sinned (the work) → death entered as the penalty (the wages) → all humanity shares in Adam's transgression through federal representation → all huma</w:t>
      </w:r>
      <w:r>
        <w:t>nity therefore shares in the death-penalty that was Adam's legally deserved consequence. This is internally consistent with the full Pauline argument in Romans 1–8.</w:t>
      </w:r>
    </w:p>
    <w:p w14:paraId="34F330FC" w14:textId="77777777" w:rsidR="000E133F" w:rsidRDefault="00EC5ECA">
      <w:pPr>
        <w:spacing w:before="60" w:after="140" w:line="360" w:lineRule="auto"/>
      </w:pPr>
      <w:r>
        <w:t>The practical and pastoral implications of the Reformed anthropology must be clearly stated. The doctrine of total depravity is not pessimistic about human beings for its own sake. It is the honest diagnosis that makes the grace of God fully comprehensible. If a sinner could take the first step toward God by his own unaided free will, then the grace that follows his initiative is not sovereign, unmotivated love but a response to human desert. But if the sinner is dead — not merely sick, not merely weak, but</w:t>
      </w:r>
      <w:r>
        <w:t xml:space="preserve"> dead — then the grace that quickens him is resurrection-grace: utterly gratuitous, entirely sovereign, completely irresistible by the dead human will but not coercive in any morally problematic sense, because the Spirit who raises the dead simultaneously renews the will so that the regenerated person desires what God wills. This is the foundation of </w:t>
      </w:r>
      <w:r>
        <w:lastRenderedPageBreak/>
        <w:t>doxology: "But God, being rich in mercy, because of the great love with which he loved us, even when we were dead in our trespasses, made us alive together wit</w:t>
      </w:r>
      <w:r>
        <w:t>h Christ — by grace you have been saved" (Ephesians 2:4–5). The "even when we were dead" is the anthropological premise; "by grace you have been saved" is the soteriological consequence; and the whole produces the only adequate ground for gratitude, humility, and worship.</w:t>
      </w:r>
    </w:p>
    <w:p w14:paraId="70AB146D" w14:textId="77777777" w:rsidR="000E133F" w:rsidRDefault="00EC5ECA">
      <w:pPr>
        <w:spacing w:before="60" w:after="140" w:line="360" w:lineRule="auto"/>
      </w:pPr>
      <w:r>
        <w:t xml:space="preserve">The deep structural logic connecting anthropology and soteriology can be stated as a formal chain: </w:t>
      </w:r>
      <w:r>
        <w:rPr>
          <w:b/>
          <w:bCs/>
        </w:rPr>
        <w:t>Inherited guilt (federal imputation of Adam's sin) → condemnation requiring satisfaction → Christ bearing that condemnation in our stead (penal substitution) → forensic justification through imputation of Christ's righteousness → settled assurance of acceptance grounded in a completed transaction.</w:t>
      </w:r>
      <w:r>
        <w:t xml:space="preserve"> Every link in this chain is necessary; remove any link and the chain fails. The Orthodox denial of inherited guilt removes the first link, and — consistently followed out — requires the removal of every subsequent</w:t>
      </w:r>
      <w:r>
        <w:t xml:space="preserve"> link. It is this structural logic that makes the Reformed insistence on the full Augustinian doctrine of original sin not a piece of theological conservatism but an evangelical necessity: without it, the gospel itself — the good news that the Righteous One has borne the condemnation of the unrighteous and that His righteousness is now theirs by divine declaration — dissolves into a story about God healing nature, which, while not without its own truth, fails to answer the question with which Paul opens his</w:t>
      </w:r>
      <w:r>
        <w:t xml:space="preserve"> greatest epistle: "How can sinful human beings stand righteous before the holy Judge of all the earth?"</w:t>
      </w:r>
    </w:p>
    <w:p w14:paraId="6E3B947A" w14:textId="77777777" w:rsidR="000E133F" w:rsidRDefault="00EC5ECA">
      <w:pPr>
        <w:spacing w:before="60" w:after="140" w:line="360" w:lineRule="auto"/>
      </w:pPr>
      <w:r>
        <w:t>The answer — the answer the Reformation recovered, the answer the 2LBC confesses, the answer Paul demonstrates in Romans 3–5 — is this: "Therefore, since we have been justified by faith, we have peace with God through our Lord Jesus Christ" (Romans 5:1). Not we have been healed. Not we are being progressively deified. We have been justified — past tense, completed act, definitive transaction. And therefore — logically consequent upon that completed act — we have peace with God. The peace is as secure as the</w:t>
      </w:r>
      <w:r>
        <w:t xml:space="preserve"> justification, and the justification is as secure as the righteousness of Christ that grounds it. This is the gospel.</w:t>
      </w:r>
    </w:p>
    <w:p w14:paraId="7EBC0853" w14:textId="77777777" w:rsidR="000E133F" w:rsidRDefault="00EC5ECA">
      <w:pPr>
        <w:spacing w:before="60" w:after="140" w:line="360" w:lineRule="auto"/>
      </w:pPr>
      <w:r>
        <w:rPr>
          <w:i/>
          <w:iCs/>
        </w:rPr>
        <w:lastRenderedPageBreak/>
        <w:t>End of Chapters 11–13.</w:t>
      </w:r>
    </w:p>
    <w:p w14:paraId="0E9849AC" w14:textId="77777777" w:rsidR="000E133F" w:rsidRDefault="00EC5ECA">
      <w:pPr>
        <w:pStyle w:val="Heading2"/>
      </w:pPr>
      <w:bookmarkStart w:id="149" w:name="_Toc232765376"/>
      <w:r>
        <w:t>BIBLIOGRAPHIC REFERENCES</w:t>
      </w:r>
      <w:bookmarkEnd w:id="149"/>
    </w:p>
    <w:p w14:paraId="034F0628" w14:textId="77777777" w:rsidR="000E133F" w:rsidRDefault="00EC5ECA">
      <w:pPr>
        <w:spacing w:before="60" w:after="140" w:line="360" w:lineRule="auto"/>
      </w:pPr>
      <w:r>
        <w:rPr>
          <w:b/>
          <w:bCs/>
        </w:rPr>
        <w:t>Primary Confessional Sources:</w:t>
      </w:r>
    </w:p>
    <w:p w14:paraId="09ABE8A1" w14:textId="77777777" w:rsidR="000E133F" w:rsidRDefault="00EC5ECA">
      <w:pPr>
        <w:spacing w:before="60" w:after="140" w:line="360" w:lineRule="auto"/>
      </w:pPr>
      <w:r>
        <w:t>- The Second London Baptist Confession of Faith (1689), Chapters 1, 6, 11, 13, 22. Available at: https://www.the1689confession.com</w:t>
      </w:r>
    </w:p>
    <w:p w14:paraId="23080F88" w14:textId="77777777" w:rsidR="000E133F" w:rsidRDefault="00EC5ECA">
      <w:pPr>
        <w:spacing w:before="60" w:after="140" w:line="360" w:lineRule="auto"/>
      </w:pPr>
      <w:r>
        <w:t>- The Westminster Confession of Faith (1647), Chapters 1, 6, 11. Available at: https://www.ccel.org/ccel/a/anonymous/westminster3.xml</w:t>
      </w:r>
    </w:p>
    <w:p w14:paraId="074890DE" w14:textId="77777777" w:rsidR="000E133F" w:rsidRDefault="00EC5ECA">
      <w:pPr>
        <w:spacing w:before="60" w:after="140" w:line="360" w:lineRule="auto"/>
      </w:pPr>
      <w:r>
        <w:t>- The Westminster Larger Catechism (1647), Q. 108–109.</w:t>
      </w:r>
    </w:p>
    <w:p w14:paraId="05EA4F49" w14:textId="77777777" w:rsidR="000E133F" w:rsidRDefault="00EC5ECA">
      <w:pPr>
        <w:spacing w:before="60" w:after="140" w:line="360" w:lineRule="auto"/>
      </w:pPr>
      <w:r>
        <w:t>- The Heidelberg Catechism (1563), Q. 96–98.</w:t>
      </w:r>
    </w:p>
    <w:p w14:paraId="08F048F3" w14:textId="77777777" w:rsidR="000E133F" w:rsidRDefault="00EC5ECA">
      <w:pPr>
        <w:spacing w:before="60" w:after="140" w:line="360" w:lineRule="auto"/>
      </w:pPr>
      <w:r>
        <w:t>- The Belgic Confession (1561), Article 11.</w:t>
      </w:r>
    </w:p>
    <w:p w14:paraId="052B4E90" w14:textId="77777777" w:rsidR="000E133F" w:rsidRDefault="00EC5ECA">
      <w:pPr>
        <w:spacing w:before="60" w:after="140" w:line="360" w:lineRule="auto"/>
      </w:pPr>
      <w:r>
        <w:rPr>
          <w:b/>
          <w:bCs/>
        </w:rPr>
        <w:t>Reformed Systematic Theology:</w:t>
      </w:r>
    </w:p>
    <w:p w14:paraId="69718F96" w14:textId="77777777" w:rsidR="000E133F" w:rsidRDefault="00EC5ECA">
      <w:pPr>
        <w:spacing w:before="60" w:after="140" w:line="360" w:lineRule="auto"/>
      </w:pPr>
      <w:r>
        <w:t xml:space="preserve">- John Calvin. </w:t>
      </w:r>
      <w:r>
        <w:rPr>
          <w:i/>
          <w:iCs/>
        </w:rPr>
        <w:t>Institutes of the Christian Religion</w:t>
      </w:r>
      <w:r>
        <w:t xml:space="preserve"> (1559). Books I.7–8 (Scripture); III.11–14 (Justification). Available at: https://www.ccel.org/ccel/calvin/institutes.html</w:t>
      </w:r>
    </w:p>
    <w:p w14:paraId="449E6890" w14:textId="77777777" w:rsidR="000E133F" w:rsidRDefault="00EC5ECA">
      <w:pPr>
        <w:spacing w:before="60" w:after="140" w:line="360" w:lineRule="auto"/>
      </w:pPr>
      <w:r>
        <w:t xml:space="preserve">- Francis Turretin. </w:t>
      </w:r>
      <w:r>
        <w:rPr>
          <w:i/>
          <w:iCs/>
        </w:rPr>
        <w:t>Institutes of Elenctic Theology</w:t>
      </w:r>
      <w:r>
        <w:t xml:space="preserve"> (1679–1685). Topic 2, Q. 6 (Autopistia); Topic 16 (Justification). Available at: https://www.reformedclassicalist.com/home/turretin-on-justification</w:t>
      </w:r>
    </w:p>
    <w:p w14:paraId="0C1E303C" w14:textId="77777777" w:rsidR="000E133F" w:rsidRDefault="00EC5ECA">
      <w:pPr>
        <w:spacing w:before="60" w:after="140" w:line="360" w:lineRule="auto"/>
      </w:pPr>
      <w:r>
        <w:t xml:space="preserve">- John Owen. </w:t>
      </w:r>
      <w:r>
        <w:rPr>
          <w:i/>
          <w:iCs/>
        </w:rPr>
        <w:t>The Divine Original of the Scripture</w:t>
      </w:r>
      <w:r>
        <w:t xml:space="preserve"> (1659).</w:t>
      </w:r>
    </w:p>
    <w:p w14:paraId="7D2D320E" w14:textId="77777777" w:rsidR="000E133F" w:rsidRDefault="00EC5ECA">
      <w:pPr>
        <w:spacing w:before="60" w:after="140" w:line="360" w:lineRule="auto"/>
      </w:pPr>
      <w:r>
        <w:t xml:space="preserve">- John Owen. </w:t>
      </w:r>
      <w:r>
        <w:rPr>
          <w:i/>
          <w:iCs/>
        </w:rPr>
        <w:t>The Doctrine of Justification by Faith</w:t>
      </w:r>
      <w:r>
        <w:t xml:space="preserve"> (1677).</w:t>
      </w:r>
    </w:p>
    <w:p w14:paraId="49E62F22" w14:textId="77777777" w:rsidR="000E133F" w:rsidRDefault="00EC5ECA">
      <w:pPr>
        <w:spacing w:before="60" w:after="140" w:line="360" w:lineRule="auto"/>
      </w:pPr>
      <w:r>
        <w:t xml:space="preserve">- Louis Berkhof. </w:t>
      </w:r>
      <w:r>
        <w:rPr>
          <w:i/>
          <w:iCs/>
        </w:rPr>
        <w:t>Systematic Theology</w:t>
      </w:r>
      <w:r>
        <w:t xml:space="preserve"> (1932).</w:t>
      </w:r>
    </w:p>
    <w:p w14:paraId="1EAB027F" w14:textId="77777777" w:rsidR="000E133F" w:rsidRDefault="00EC5ECA">
      <w:pPr>
        <w:spacing w:before="60" w:after="140" w:line="360" w:lineRule="auto"/>
      </w:pPr>
      <w:r>
        <w:rPr>
          <w:b/>
          <w:bCs/>
        </w:rPr>
        <w:t>Specialized Studies:</w:t>
      </w:r>
    </w:p>
    <w:p w14:paraId="218B7F21" w14:textId="77777777" w:rsidR="000E133F" w:rsidRDefault="00EC5ECA">
      <w:pPr>
        <w:spacing w:before="60" w:after="140" w:line="360" w:lineRule="auto"/>
      </w:pPr>
      <w:r>
        <w:t xml:space="preserve">- William Webster and David King. </w:t>
      </w:r>
      <w:r>
        <w:rPr>
          <w:i/>
          <w:iCs/>
        </w:rPr>
        <w:t>Holy Scripture: The Ground and Pillar of Our Faith</w:t>
      </w:r>
      <w:r>
        <w:t xml:space="preserve"> (3 vols., 2001). Available at: https://www.scribd.com/document/871031355/Holy-Scripture-the-Ground-and-Pillar-of-Our-Faith</w:t>
      </w:r>
    </w:p>
    <w:p w14:paraId="7F98E947" w14:textId="77777777" w:rsidR="000E133F" w:rsidRDefault="00EC5ECA">
      <w:pPr>
        <w:spacing w:before="60" w:after="140" w:line="360" w:lineRule="auto"/>
      </w:pPr>
      <w:r>
        <w:lastRenderedPageBreak/>
        <w:t xml:space="preserve">- Matthew Barrett. </w:t>
      </w:r>
      <w:r>
        <w:rPr>
          <w:i/>
          <w:iCs/>
        </w:rPr>
        <w:t>God's Word Alone: The Authority of Scripture</w:t>
      </w:r>
      <w:r>
        <w:t xml:space="preserve"> (2016). Available at: https://media.thegospelcoalition.org/wp-content/uploads/2017/07/14210911/2-b2-Barrett-Gods-Word-Alone-Summary-1.pdf</w:t>
      </w:r>
    </w:p>
    <w:p w14:paraId="283A5642" w14:textId="77777777" w:rsidR="000E133F" w:rsidRDefault="00EC5ECA">
      <w:pPr>
        <w:spacing w:before="60" w:after="140" w:line="360" w:lineRule="auto"/>
      </w:pPr>
      <w:r>
        <w:t xml:space="preserve">- Roger Beckwith. </w:t>
      </w:r>
      <w:r>
        <w:rPr>
          <w:i/>
          <w:iCs/>
        </w:rPr>
        <w:t>The Old Testament Canon of the New Testament Church</w:t>
      </w:r>
      <w:r>
        <w:t xml:space="preserve"> (1985).</w:t>
      </w:r>
    </w:p>
    <w:p w14:paraId="610BF96B" w14:textId="77777777" w:rsidR="000E133F" w:rsidRDefault="00EC5ECA">
      <w:pPr>
        <w:spacing w:before="60" w:after="140" w:line="360" w:lineRule="auto"/>
      </w:pPr>
      <w:r>
        <w:t xml:space="preserve">- John Murray. </w:t>
      </w:r>
      <w:r>
        <w:rPr>
          <w:i/>
          <w:iCs/>
        </w:rPr>
        <w:t>The Imputation of Adam's Sin</w:t>
      </w:r>
      <w:r>
        <w:t xml:space="preserve"> (1959).</w:t>
      </w:r>
    </w:p>
    <w:p w14:paraId="236C56BD" w14:textId="77777777" w:rsidR="000E133F" w:rsidRDefault="00EC5ECA">
      <w:pPr>
        <w:spacing w:before="60" w:after="140" w:line="360" w:lineRule="auto"/>
      </w:pPr>
      <w:r>
        <w:t xml:space="preserve">- Douglas Moo. </w:t>
      </w:r>
      <w:r>
        <w:rPr>
          <w:i/>
          <w:iCs/>
        </w:rPr>
        <w:t>The Epistle to the Romans</w:t>
      </w:r>
      <w:r>
        <w:t>, NICNT (1996).</w:t>
      </w:r>
    </w:p>
    <w:p w14:paraId="0E485479" w14:textId="77777777" w:rsidR="000E133F" w:rsidRDefault="00EC5ECA">
      <w:pPr>
        <w:spacing w:before="60" w:after="140" w:line="360" w:lineRule="auto"/>
      </w:pPr>
      <w:r>
        <w:t xml:space="preserve">- Thomas Schreiner. </w:t>
      </w:r>
      <w:r>
        <w:rPr>
          <w:i/>
          <w:iCs/>
        </w:rPr>
        <w:t>Romans</w:t>
      </w:r>
      <w:r>
        <w:t>, BECNT (1998).</w:t>
      </w:r>
    </w:p>
    <w:p w14:paraId="07DD6833" w14:textId="77777777" w:rsidR="000E133F" w:rsidRDefault="00EC5ECA">
      <w:pPr>
        <w:spacing w:before="60" w:after="140" w:line="360" w:lineRule="auto"/>
      </w:pPr>
      <w:r>
        <w:t xml:space="preserve">- Thomas Schreiner. </w:t>
      </w:r>
      <w:r>
        <w:rPr>
          <w:i/>
          <w:iCs/>
        </w:rPr>
        <w:t>1, 2 Peter, Jude</w:t>
      </w:r>
      <w:r>
        <w:t>, NAC (2003).</w:t>
      </w:r>
    </w:p>
    <w:p w14:paraId="53F30F85" w14:textId="77777777" w:rsidR="000E133F" w:rsidRDefault="00EC5ECA">
      <w:pPr>
        <w:spacing w:before="60" w:after="140" w:line="360" w:lineRule="auto"/>
      </w:pPr>
      <w:r>
        <w:t xml:space="preserve">- Alister McGrath. </w:t>
      </w:r>
      <w:r>
        <w:rPr>
          <w:i/>
          <w:iCs/>
        </w:rPr>
        <w:t>Iustitia Dei: A History of the Christian Doctrine of Justification</w:t>
      </w:r>
      <w:r>
        <w:t xml:space="preserve"> (1986; 4th ed. 2020).</w:t>
      </w:r>
    </w:p>
    <w:p w14:paraId="2EA7347D" w14:textId="77777777" w:rsidR="000E133F" w:rsidRDefault="00EC5ECA">
      <w:pPr>
        <w:spacing w:before="60" w:after="140" w:line="360" w:lineRule="auto"/>
      </w:pPr>
      <w:r>
        <w:t xml:space="preserve">- Michael Horton. </w:t>
      </w:r>
      <w:r>
        <w:rPr>
          <w:i/>
          <w:iCs/>
        </w:rPr>
        <w:t>The Christian Faith: A Systematic Theology for Pilgrims on the Way</w:t>
      </w:r>
      <w:r>
        <w:t xml:space="preserve"> (2011).</w:t>
      </w:r>
    </w:p>
    <w:p w14:paraId="5F956AB6" w14:textId="77777777" w:rsidR="000E133F" w:rsidRDefault="00EC5ECA">
      <w:pPr>
        <w:spacing w:before="60" w:after="140" w:line="360" w:lineRule="auto"/>
      </w:pPr>
      <w:r>
        <w:t xml:space="preserve">- Guy Waters. </w:t>
      </w:r>
      <w:r>
        <w:rPr>
          <w:i/>
          <w:iCs/>
        </w:rPr>
        <w:t>Justification and the New Perspectives on Paul</w:t>
      </w:r>
      <w:r>
        <w:t xml:space="preserve"> (2004).</w:t>
      </w:r>
    </w:p>
    <w:p w14:paraId="022BB704" w14:textId="77777777" w:rsidR="000E133F" w:rsidRDefault="00EC5ECA">
      <w:pPr>
        <w:spacing w:before="60" w:after="140" w:line="360" w:lineRule="auto"/>
      </w:pPr>
      <w:r>
        <w:t xml:space="preserve">- Robert Letham. </w:t>
      </w:r>
      <w:r>
        <w:rPr>
          <w:i/>
          <w:iCs/>
        </w:rPr>
        <w:t>Through Western Eyes: Eastern Orthodoxy — A Reformed Perspective</w:t>
      </w:r>
      <w:r>
        <w:t xml:space="preserve"> (2004).</w:t>
      </w:r>
    </w:p>
    <w:p w14:paraId="6218C155" w14:textId="77777777" w:rsidR="000E133F" w:rsidRDefault="00EC5ECA">
      <w:pPr>
        <w:spacing w:before="60" w:after="140" w:line="360" w:lineRule="auto"/>
      </w:pPr>
      <w:r>
        <w:rPr>
          <w:b/>
          <w:bCs/>
        </w:rPr>
        <w:t>Eastern Orthodox Sources (for understanding the position):</w:t>
      </w:r>
    </w:p>
    <w:p w14:paraId="6ABDD283" w14:textId="77777777" w:rsidR="000E133F" w:rsidRDefault="00EC5ECA">
      <w:pPr>
        <w:spacing w:before="60" w:after="140" w:line="360" w:lineRule="auto"/>
      </w:pPr>
      <w:r>
        <w:t xml:space="preserve">- Vladimir Lossky. </w:t>
      </w:r>
      <w:r>
        <w:rPr>
          <w:i/>
          <w:iCs/>
        </w:rPr>
        <w:t>The Mystical Theology of the Eastern Church</w:t>
      </w:r>
      <w:r>
        <w:t xml:space="preserve"> (1957).</w:t>
      </w:r>
    </w:p>
    <w:p w14:paraId="0F41ED5E" w14:textId="77777777" w:rsidR="000E133F" w:rsidRDefault="00EC5ECA">
      <w:pPr>
        <w:spacing w:before="60" w:after="140" w:line="360" w:lineRule="auto"/>
      </w:pPr>
      <w:r>
        <w:t xml:space="preserve">- John Meyendorff. </w:t>
      </w:r>
      <w:r>
        <w:rPr>
          <w:i/>
          <w:iCs/>
        </w:rPr>
        <w:t>Byzantine Theology</w:t>
      </w:r>
      <w:r>
        <w:t xml:space="preserve"> (1974).</w:t>
      </w:r>
    </w:p>
    <w:p w14:paraId="6F3BF9B3" w14:textId="77777777" w:rsidR="000E133F" w:rsidRDefault="00EC5ECA">
      <w:pPr>
        <w:spacing w:before="60" w:after="140" w:line="360" w:lineRule="auto"/>
      </w:pPr>
      <w:r>
        <w:t xml:space="preserve">- Kallistos Ware. </w:t>
      </w:r>
      <w:r>
        <w:rPr>
          <w:i/>
          <w:iCs/>
        </w:rPr>
        <w:t>The Orthodox Way</w:t>
      </w:r>
      <w:r>
        <w:t xml:space="preserve"> (1979).</w:t>
      </w:r>
    </w:p>
    <w:p w14:paraId="6AE73DF6" w14:textId="77777777" w:rsidR="000E133F" w:rsidRDefault="00EC5ECA">
      <w:pPr>
        <w:spacing w:before="60" w:after="140" w:line="360" w:lineRule="auto"/>
      </w:pPr>
      <w:r>
        <w:t xml:space="preserve">- Gregory Palamas. </w:t>
      </w:r>
      <w:r>
        <w:rPr>
          <w:i/>
          <w:iCs/>
        </w:rPr>
        <w:t>The Triads</w:t>
      </w:r>
      <w:r>
        <w:t xml:space="preserve"> (c. 1338).</w:t>
      </w:r>
    </w:p>
    <w:p w14:paraId="444102F9" w14:textId="77777777" w:rsidR="000E133F" w:rsidRDefault="00EC5ECA">
      <w:pPr>
        <w:spacing w:before="60" w:after="140" w:line="360" w:lineRule="auto"/>
      </w:pPr>
      <w:r>
        <w:t>- The Confession of Dositheus (Jerusalem Synod, 1672).</w:t>
      </w:r>
    </w:p>
    <w:p w14:paraId="0D1BE6FF" w14:textId="77777777" w:rsidR="000E133F" w:rsidRDefault="00EC5ECA">
      <w:pPr>
        <w:spacing w:before="60" w:after="140" w:line="360" w:lineRule="auto"/>
      </w:pPr>
      <w:r>
        <w:rPr>
          <w:b/>
          <w:bCs/>
        </w:rPr>
        <w:t>Patristic Sources:</w:t>
      </w:r>
    </w:p>
    <w:p w14:paraId="027984A1" w14:textId="77777777" w:rsidR="000E133F" w:rsidRDefault="00EC5ECA">
      <w:pPr>
        <w:spacing w:before="60" w:after="140" w:line="360" w:lineRule="auto"/>
      </w:pPr>
      <w:r>
        <w:t xml:space="preserve">- Irenaeus of Lyon. </w:t>
      </w:r>
      <w:r>
        <w:rPr>
          <w:i/>
          <w:iCs/>
        </w:rPr>
        <w:t>Adversus Haereses</w:t>
      </w:r>
      <w:r>
        <w:t xml:space="preserve"> II.28.2; III.3.</w:t>
      </w:r>
    </w:p>
    <w:p w14:paraId="0AE1CC9D" w14:textId="77777777" w:rsidR="000E133F" w:rsidRDefault="00EC5ECA">
      <w:pPr>
        <w:spacing w:before="60" w:after="140" w:line="360" w:lineRule="auto"/>
      </w:pPr>
      <w:r>
        <w:t xml:space="preserve">- Athanasius of Alexandria. </w:t>
      </w:r>
      <w:r>
        <w:rPr>
          <w:i/>
          <w:iCs/>
        </w:rPr>
        <w:t>De Incarnatione</w:t>
      </w:r>
      <w:r>
        <w:t xml:space="preserve"> (c. 318); </w:t>
      </w:r>
      <w:r>
        <w:rPr>
          <w:i/>
          <w:iCs/>
        </w:rPr>
        <w:t>De Decretis</w:t>
      </w:r>
      <w:r>
        <w:t xml:space="preserve"> (c. 350).</w:t>
      </w:r>
    </w:p>
    <w:p w14:paraId="13735864" w14:textId="77777777" w:rsidR="000E133F" w:rsidRDefault="00EC5ECA">
      <w:pPr>
        <w:spacing w:before="60" w:after="140" w:line="360" w:lineRule="auto"/>
      </w:pPr>
      <w:r>
        <w:t xml:space="preserve">- Basil of Caesarea. </w:t>
      </w:r>
      <w:r>
        <w:rPr>
          <w:i/>
          <w:iCs/>
        </w:rPr>
        <w:t>On the Holy Spirit</w:t>
      </w:r>
      <w:r>
        <w:t xml:space="preserve"> 7.16.</w:t>
      </w:r>
    </w:p>
    <w:p w14:paraId="4B12A506" w14:textId="77777777" w:rsidR="000E133F" w:rsidRDefault="00EC5ECA">
      <w:pPr>
        <w:spacing w:before="60" w:after="140" w:line="360" w:lineRule="auto"/>
      </w:pPr>
      <w:r>
        <w:lastRenderedPageBreak/>
        <w:t xml:space="preserve">- Cyril of Jerusalem. </w:t>
      </w:r>
      <w:r>
        <w:rPr>
          <w:i/>
          <w:iCs/>
        </w:rPr>
        <w:t>Catechetical Lectures</w:t>
      </w:r>
      <w:r>
        <w:t xml:space="preserve"> 4.17.</w:t>
      </w:r>
    </w:p>
    <w:p w14:paraId="2551A452" w14:textId="77777777" w:rsidR="000E133F" w:rsidRDefault="00EC5ECA">
      <w:pPr>
        <w:spacing w:before="60" w:after="140" w:line="360" w:lineRule="auto"/>
      </w:pPr>
      <w:r>
        <w:t xml:space="preserve">- John Chrysostom. </w:t>
      </w:r>
      <w:r>
        <w:rPr>
          <w:i/>
          <w:iCs/>
        </w:rPr>
        <w:t>Homilies on Matthew</w:t>
      </w:r>
      <w:r>
        <w:t xml:space="preserve"> 1.1; </w:t>
      </w:r>
      <w:r>
        <w:rPr>
          <w:i/>
          <w:iCs/>
        </w:rPr>
        <w:t>Homilies on Romans</w:t>
      </w:r>
      <w:r>
        <w:t>.</w:t>
      </w:r>
    </w:p>
    <w:p w14:paraId="4819A45F" w14:textId="77777777" w:rsidR="000E133F" w:rsidRDefault="00EC5ECA">
      <w:pPr>
        <w:spacing w:before="60" w:after="140" w:line="360" w:lineRule="auto"/>
      </w:pPr>
      <w:r>
        <w:t xml:space="preserve">- Augustine of Hippo. </w:t>
      </w:r>
      <w:r>
        <w:rPr>
          <w:i/>
          <w:iCs/>
        </w:rPr>
        <w:t>De Peccato Originali</w:t>
      </w:r>
      <w:r>
        <w:t xml:space="preserve">; </w:t>
      </w:r>
      <w:r>
        <w:rPr>
          <w:i/>
          <w:iCs/>
        </w:rPr>
        <w:t>De Natura et Gratia</w:t>
      </w:r>
      <w:r>
        <w:t xml:space="preserve">; </w:t>
      </w:r>
      <w:r>
        <w:rPr>
          <w:i/>
          <w:iCs/>
        </w:rPr>
        <w:t>Contra Iulianum</w:t>
      </w:r>
      <w:r>
        <w:t>.</w:t>
      </w:r>
    </w:p>
    <w:p w14:paraId="1AC3AE66" w14:textId="77777777" w:rsidR="000E133F" w:rsidRDefault="00EC5ECA">
      <w:pPr>
        <w:spacing w:before="60" w:after="140" w:line="360" w:lineRule="auto"/>
      </w:pPr>
      <w:r>
        <w:t>- Council of Orange (529 AD), Canons 3, 7.</w:t>
      </w:r>
    </w:p>
    <w:p w14:paraId="60064962" w14:textId="77777777" w:rsidR="000E133F" w:rsidRDefault="00EC5ECA">
      <w:pPr>
        <w:spacing w:before="60" w:after="140" w:line="360" w:lineRule="auto"/>
      </w:pPr>
      <w:r>
        <w:t xml:space="preserve">- Council of Nicaea II (787 AD), </w:t>
      </w:r>
      <w:r>
        <w:rPr>
          <w:i/>
          <w:iCs/>
        </w:rPr>
        <w:t>Definition on Sacred Images</w:t>
      </w:r>
      <w:r>
        <w:t>.</w:t>
      </w:r>
    </w:p>
    <w:p w14:paraId="6C3A15A2" w14:textId="77777777" w:rsidR="000E133F" w:rsidRDefault="00EC5ECA">
      <w:pPr>
        <w:spacing w:before="60" w:after="140" w:line="360" w:lineRule="auto"/>
      </w:pPr>
      <w:r>
        <w:rPr>
          <w:b/>
          <w:bCs/>
        </w:rPr>
        <w:t>Luther:</w:t>
      </w:r>
    </w:p>
    <w:p w14:paraId="0B5CCA50" w14:textId="77777777" w:rsidR="000E133F" w:rsidRDefault="00EC5ECA">
      <w:pPr>
        <w:spacing w:before="60" w:after="140" w:line="360" w:lineRule="auto"/>
      </w:pPr>
      <w:r>
        <w:t xml:space="preserve">- Martin Luther. </w:t>
      </w:r>
      <w:r>
        <w:rPr>
          <w:i/>
          <w:iCs/>
        </w:rPr>
        <w:t>Preface to the Latin Writings</w:t>
      </w:r>
      <w:r>
        <w:t xml:space="preserve"> (1545).</w:t>
      </w:r>
    </w:p>
    <w:p w14:paraId="01CA0641" w14:textId="77777777" w:rsidR="000E133F" w:rsidRDefault="00EC5ECA">
      <w:pPr>
        <w:spacing w:before="60" w:after="140" w:line="360" w:lineRule="auto"/>
      </w:pPr>
      <w:r>
        <w:t xml:space="preserve">- Martin Luther. </w:t>
      </w:r>
      <w:r>
        <w:rPr>
          <w:i/>
          <w:iCs/>
        </w:rPr>
        <w:t>The Freedom of a Christian</w:t>
      </w:r>
      <w:r>
        <w:t xml:space="preserve"> (1520).</w:t>
      </w:r>
    </w:p>
    <w:p w14:paraId="3E5E9F04" w14:textId="77777777" w:rsidR="000E133F" w:rsidRDefault="00EC5ECA">
      <w:pPr>
        <w:spacing w:before="60" w:after="140" w:line="360" w:lineRule="auto"/>
      </w:pPr>
      <w:r>
        <w:rPr>
          <w:b/>
          <w:bCs/>
        </w:rPr>
        <w:t>Online Resources:</w:t>
      </w:r>
    </w:p>
    <w:p w14:paraId="4F072729" w14:textId="77777777" w:rsidR="000E133F" w:rsidRDefault="00EC5ECA">
      <w:pPr>
        <w:spacing w:before="60" w:after="140" w:line="360" w:lineRule="auto"/>
      </w:pPr>
      <w:r>
        <w:t>- Turretin on Justification: https://reformation21.org/francis-turretin-on-justificat-php/</w:t>
      </w:r>
    </w:p>
    <w:p w14:paraId="60761E0B" w14:textId="77777777" w:rsidR="000E133F" w:rsidRDefault="00EC5ECA">
      <w:pPr>
        <w:spacing w:before="60" w:after="140" w:line="360" w:lineRule="auto"/>
      </w:pPr>
      <w:r>
        <w:t>- Reformed Orthodoxy on Imputation: https://reference-global.com/download/article/10.1515/perc-2016-0016.pdf</w:t>
      </w:r>
    </w:p>
    <w:p w14:paraId="2E6B7725" w14:textId="77777777" w:rsidR="000E133F" w:rsidRDefault="00EC5ECA">
      <w:pPr>
        <w:spacing w:before="60" w:after="140" w:line="360" w:lineRule="auto"/>
      </w:pPr>
      <w:r>
        <w:t>- Romans 5:12 and eph ho: https://east2west.org/sp_faq/original-sin/</w:t>
      </w:r>
    </w:p>
    <w:p w14:paraId="6BC6968A" w14:textId="77777777" w:rsidR="000E133F" w:rsidRDefault="00EC5ECA">
      <w:pPr>
        <w:spacing w:before="60" w:after="140" w:line="360" w:lineRule="auto"/>
      </w:pPr>
      <w:r>
        <w:t>- WCF 1.3 and the Apocrypha: https://confessionalbibliology.com/2025/02/24/westminster-confession-of-faith-chapter-1-part-8/</w:t>
      </w:r>
    </w:p>
    <w:p w14:paraId="3C8A0CA4" w14:textId="77777777" w:rsidR="000E133F" w:rsidRDefault="00EC5ECA">
      <w:pPr>
        <w:spacing w:before="60" w:after="140" w:line="360" w:lineRule="auto"/>
      </w:pPr>
      <w:r>
        <w:t>- John Meyendorff on Original Sin: https://sites.google.com/site/thetaboriclight/articles/article-03-fr-meyendorff-on-the-original-sin</w:t>
      </w:r>
    </w:p>
    <w:p w14:paraId="1713C79F" w14:textId="77777777" w:rsidR="000E133F" w:rsidRDefault="00EC5ECA">
      <w:pPr>
        <w:pStyle w:val="Heading1"/>
        <w:pageBreakBefore/>
      </w:pPr>
      <w:bookmarkStart w:id="150" w:name="_Toc232765377"/>
      <w:r>
        <w:lastRenderedPageBreak/>
        <w:t>PART TWO, CHAPTERS 14–17</w:t>
      </w:r>
      <w:bookmarkEnd w:id="150"/>
    </w:p>
    <w:p w14:paraId="6CDDE2A5" w14:textId="77777777" w:rsidR="000E133F" w:rsidRDefault="00EC5ECA">
      <w:pPr>
        <w:pStyle w:val="Heading2"/>
      </w:pPr>
      <w:bookmarkStart w:id="151" w:name="_Toc232765378"/>
      <w:r>
        <w:t>CHAPTER 14: PENAL SUBSTITUTION VS. CHRISTUS VICTOR — THE ATONEMENT</w:t>
      </w:r>
      <w:bookmarkEnd w:id="151"/>
    </w:p>
    <w:p w14:paraId="174CC383" w14:textId="77777777" w:rsidR="000E133F" w:rsidRDefault="00EC5ECA">
      <w:pPr>
        <w:pStyle w:val="Heading3"/>
      </w:pPr>
      <w:bookmarkStart w:id="152" w:name="_Toc232765379"/>
      <w:r>
        <w:t>14.1 Why the Atonement Question Is Decisive</w:t>
      </w:r>
      <w:bookmarkEnd w:id="152"/>
    </w:p>
    <w:p w14:paraId="76F53DE5" w14:textId="77777777" w:rsidR="000E133F" w:rsidRDefault="00EC5ECA">
      <w:pPr>
        <w:spacing w:before="60" w:after="140" w:line="360" w:lineRule="auto"/>
      </w:pPr>
      <w:r>
        <w:t>The question of the atonement is not a peripheral matter of theological preference. It is the pivot upon which entire systems of Christian theology turn, and the dispute between Eastern Orthodoxy and the Reformed tradition at this point is correspondingly deep and far-reaching. Every theory of atonement presupposes an anthropology, and every anthropology issues in a corresponding theory of atonement. They travel together, and they cannot be separated without distorting both. This is the indispensable method</w:t>
      </w:r>
      <w:r>
        <w:t>ological starting point for the present chapter's argument.</w:t>
      </w:r>
    </w:p>
    <w:p w14:paraId="39547B12" w14:textId="77777777" w:rsidR="000E133F" w:rsidRDefault="00EC5ECA">
      <w:pPr>
        <w:spacing w:before="60" w:after="140" w:line="360" w:lineRule="auto"/>
      </w:pPr>
      <w:r>
        <w:t xml:space="preserve">Consider the structure of the problem from each side. Eastern Orthodoxy, as argued in the preceding chapters, teaches that the primary inheritance from Adam is not guilt but mortality, corruption, and the tendency toward death. The human problem is existential and ontological before it is forensic or juridical. Men and women are not born under a divine sentence of condemnation derived from Adamic headship in the strict federal sense; they are born into a fallen condition of weakened nature, shadowed by the </w:t>
      </w:r>
      <w:r>
        <w:t>mortality that death introduced, and therefore prone to the sinful choices that confirm and deepen their alienation from God. Given this anthropological diagnosis, it follows with internal consistency that the central remedy must address mortality, corruption, and the captivity of human nature. Christus Victor, which presents Christ as the conqueror who enters the domain of death and destroys it from within, is exactly suited to this diagnosis. Add to it the recapitulation model of Irenaeus, in which Christ</w:t>
      </w:r>
      <w:r>
        <w:t xml:space="preserve"> re-runs the race of humanity and where Adam failed now succeeds, and the Orthodox soteriological complex comes into view. Add further the participatory model of theosis, in which humanity is drawn into the divine life, and one has the Orthodox vision of salvation: restored nature, conquered death, progressive deification.</w:t>
      </w:r>
    </w:p>
    <w:p w14:paraId="79022532" w14:textId="77777777" w:rsidR="000E133F" w:rsidRDefault="00EC5ECA">
      <w:pPr>
        <w:spacing w:before="60" w:after="140" w:line="360" w:lineRule="auto"/>
      </w:pPr>
      <w:r>
        <w:t xml:space="preserve">The Reformed tradition, by contrast, diagnoses the human problem in fully Augustinian and federal terms. Adam sinned as covenant head. His transgression is credited to his </w:t>
      </w:r>
      <w:r>
        <w:lastRenderedPageBreak/>
        <w:t xml:space="preserve">posterity (Romans 5:12–19). All humanity stands under divine condemnation not merely because individuals sin but because the first man's disobedience constituted the race sinners in a juridical sense. Death reigns because guilt reigns. Human nature is not merely wounded; it is morally corrupted and covenantally condemned. Total depravity means that the whole of human nature in every faculty, including intellect, will, and affection, is tainted by sin and alienated from God. No aspect of the human person is </w:t>
      </w:r>
      <w:r>
        <w:t>exempt from this ruination. Man does not merely need healing; he needs justification. The guilty need not merely restoration but atonement—a word that at its core means the satisfying of the righteous demands of the one offended.</w:t>
      </w:r>
    </w:p>
    <w:p w14:paraId="6259F030" w14:textId="77777777" w:rsidR="000E133F" w:rsidRDefault="00EC5ECA">
      <w:pPr>
        <w:spacing w:before="60" w:after="140" w:line="360" w:lineRule="auto"/>
      </w:pPr>
      <w:r>
        <w:t>Therefore the Reformed tradition insists that the cross, to be the genuine center of salvation, must deal with guilt in a forensic and penal sense. It must actually address the divine wrath that the Scripture so extensively describes. It must satisfy the justice of God rather than merely demonstrating His love or defeating the demonic enemy in a cosmic drama. If the fundamental problem is moral condemnation, the fundamental remedy must be substitutionary satisfaction.</w:t>
      </w:r>
    </w:p>
    <w:p w14:paraId="2F60598D" w14:textId="77777777" w:rsidR="000E133F" w:rsidRDefault="00EC5ECA">
      <w:pPr>
        <w:spacing w:before="60" w:after="140" w:line="360" w:lineRule="auto"/>
      </w:pPr>
      <w:r>
        <w:t xml:space="preserve">This is the logical chain the present chapter traces and defends. The denial of inherited guilt in the Orthodox anthropology leads directly to the de-centering of penal substitution in Orthodox atonement theology. The affirmation of inherited guilt in the Reformed anthropology requires penal substitution as the architectonic center of the atonement. The disagreement about the atonement, therefore, is not isolated; it is the surface expression of deep disagreements about sin, guilt, law, divine justice, and </w:t>
      </w:r>
      <w:r>
        <w:t>human nature.</w:t>
      </w:r>
    </w:p>
    <w:p w14:paraId="1E583038" w14:textId="77777777" w:rsidR="000E133F" w:rsidRDefault="00EC5ECA">
      <w:pPr>
        <w:spacing w:before="60" w:after="140" w:line="360" w:lineRule="auto"/>
      </w:pPr>
      <w:r>
        <w:t>Furthermore, this chapter argues that the question of which anthropology is correct is answered definitively by Scripture in the texts already examined in prior chapters, particularly Romans 5. If Romans 5:12–19 teaches federal imputation of Adam's guilt—if "by one man's disobedience the many were made sinners" is juridical language about imputed condemnation rather than merely inherited tendency—then the Orthodox diagnosis is biblically inadequate, and with it the Orthodox limitation of penal substitution.</w:t>
      </w:r>
      <w:r>
        <w:t xml:space="preserve"> The Reformed case is that Scripture presents both the diagnosis and the </w:t>
      </w:r>
      <w:r>
        <w:lastRenderedPageBreak/>
        <w:t>remedy in forensic and penal categories, and that these categories cannot be eliminated without doing violence to the text.</w:t>
      </w:r>
    </w:p>
    <w:p w14:paraId="383E9E73" w14:textId="77777777" w:rsidR="000E133F" w:rsidRDefault="00EC5ECA">
      <w:pPr>
        <w:spacing w:before="60" w:after="140" w:line="360" w:lineRule="auto"/>
      </w:pPr>
      <w:r>
        <w:t>The stakes, then, are simply these: if penal substitution is the biblical doctrine of the atonement, then the Reformed gospel stands, the Orthodox soteriology is fundamentally deficient at its center, and the elaborated system of theosis, sacramental mediation, and synergistic ascent lacks the very foundation it requires. If Christus Victor alone is adequate without the penal center, then the Reformed understanding of sin, guilt, justice, and justification is overthought and overwrought. This is not a choic</w:t>
      </w:r>
      <w:r>
        <w:t>e between minor theological emphases. It is the difference between a gospel that addresses the deepest human need—condemned sinners requiring a righteous verdict from God—and one that addresses a different need, however real, without reaching the root of the matter.</w:t>
      </w:r>
    </w:p>
    <w:p w14:paraId="55516DE7" w14:textId="77777777" w:rsidR="000E133F" w:rsidRDefault="00EC5ECA">
      <w:pPr>
        <w:pStyle w:val="Heading3"/>
      </w:pPr>
      <w:bookmarkStart w:id="153" w:name="_Toc232765380"/>
      <w:r>
        <w:t>14.2 The Biblical Case for Penal Substitutionary Atonement</w:t>
      </w:r>
      <w:bookmarkEnd w:id="153"/>
    </w:p>
    <w:p w14:paraId="2FF225BD" w14:textId="77777777" w:rsidR="000E133F" w:rsidRDefault="00EC5ECA">
      <w:pPr>
        <w:spacing w:before="60" w:after="140" w:line="360" w:lineRule="auto"/>
      </w:pPr>
      <w:r>
        <w:t>The foundational Old Testament text is Isaiah 53. So central is this chapter to the biblical theology of the atonement that it has been called the gospel in the Old Testament, and with good reason. The New Testament cites it more frequently than almost any other Old Testament chapter, and it does so always in direct connection with the meaning of Christ's death. The chapter must be read in full before being exegeted in detail, because the cumulative argument is far more powerful than any single verse can co</w:t>
      </w:r>
      <w:r>
        <w:t>nvey.</w:t>
      </w:r>
    </w:p>
    <w:p w14:paraId="779E8FEF" w14:textId="77777777" w:rsidR="000E133F" w:rsidRDefault="00EC5ECA">
      <w:pPr>
        <w:spacing w:before="60" w:after="140" w:line="360" w:lineRule="auto"/>
      </w:pPr>
      <w:r>
        <w:t>The full text of Isaiah 53, from the English Standard Version, reads as follows:</w:t>
      </w:r>
    </w:p>
    <w:p w14:paraId="1904C095" w14:textId="77777777" w:rsidR="000E133F" w:rsidRDefault="00EC5ECA">
      <w:pPr>
        <w:spacing w:before="60" w:after="140" w:line="360" w:lineRule="auto"/>
      </w:pPr>
      <w:r>
        <w:t>"Who has believed what he has heard from us? And to whom has the arm of the LORD been revealed? For he grew up before him like a young plant, and like a root out of dry ground; he had no form or majesty that we should look at him, and no beauty that we should desire him. He was despised and rejected by men, a man of sorrows and acquainted with grief; and as one from whom men hide their faces he was despised, and we esteemed him not. Surely he has borne our griefs and carried our sorrows; yet we esteemed him</w:t>
      </w:r>
      <w:r>
        <w:t xml:space="preserve"> stricken, smitten by God, and afflicted. But he was pierced for our transgressions; he was crushed for our iniquities; upon him was the chastisement that brought us peace, and with his wounds we are healed. All we like sheep have gone </w:t>
      </w:r>
      <w:r>
        <w:lastRenderedPageBreak/>
        <w:t>astray; we have turned—every one—to his own way; and the LORD has laid on him the iniquity of us all. He was oppressed, and he was afflicted, yet he opened not his mouth; like a lamb that is led to the slaughter, and like a sheep that before its shearers is silent, so he open</w:t>
      </w:r>
      <w:r>
        <w:t>ed not his mouth. By oppression and judgment he was taken away; and as for his generation, who considered that he was cut off out of the land of the living, stricken for the transgression of my people? And they made his grave with the wicked and with a rich man in his death, although he had done no violence, and there was no deceit in his mouth. Yet it was the will of the LORD to crush him; he has put him to grief; when his soul makes an offering for guilt, he shall see his offspring; he shall prolong his d</w:t>
      </w:r>
      <w:r>
        <w:t>ays; the will of the LORD shall prosper in his hand. Out of the anguish of his soul he shall see and be satisfied; by his knowledge shall the righteous one, my servant, make many to be accounted righteous, and he shall bear their iniquities. Therefore I will divide him a portion with the many, and he shall divide the spoil with the strong, because he poured out his soul to death and was numbered with the transgressors; yet he bore the sin of many, and makes intercession for the transgressors."</w:t>
      </w:r>
    </w:p>
    <w:p w14:paraId="665CD83D" w14:textId="77777777" w:rsidR="000E133F" w:rsidRDefault="00EC5ECA">
      <w:pPr>
        <w:spacing w:before="60" w:after="140" w:line="360" w:lineRule="auto"/>
      </w:pPr>
      <w:r>
        <w:t xml:space="preserve">Verse 4 begins the interpretive heart of the passage with a striking corrective: "Surely he has borne our griefs and carried our sorrows; yet we esteemed him stricken, smitten by God, and afflicted." The natural human interpretation of the Servant's sufferings is that they are divine punishment for personal sin. The prophetic text overturns that reading but in a remarkable way. The Servant is indeed smitten by God, but not for His own sins. He bears "our griefs" and "our sorrows." The verb </w:t>
      </w:r>
      <w:r>
        <w:rPr>
          <w:i/>
          <w:iCs/>
        </w:rPr>
        <w:t>nasa</w:t>
      </w:r>
      <w:r>
        <w:t xml:space="preserve"> (to bear, carry, lift) appears throughout the Levitical system in connection with the bearing of sin and its consequences. It carries overtones of assumption, of taking something upon oneself that belongs to another. When the Septuagint translates the verse and speaks of the Servant bearing "our sins" (</w:t>
      </w:r>
      <w:r>
        <w:rPr>
          <w:i/>
          <w:iCs/>
        </w:rPr>
        <w:t>tas hamartias hēmōn</w:t>
      </w:r>
      <w:r>
        <w:t xml:space="preserve">), it reads the passage in accordance with its natural Hebrew semantic field—not as a paraphrase but as a theologically faithful rendering of the juridical freight of </w:t>
      </w:r>
      <w:r>
        <w:rPr>
          <w:i/>
          <w:iCs/>
        </w:rPr>
        <w:t>nasa</w:t>
      </w:r>
      <w:r>
        <w:t>.</w:t>
      </w:r>
    </w:p>
    <w:p w14:paraId="12E07A46" w14:textId="77777777" w:rsidR="000E133F" w:rsidRDefault="00EC5ECA">
      <w:pPr>
        <w:spacing w:before="60" w:after="140" w:line="360" w:lineRule="auto"/>
      </w:pPr>
      <w:r>
        <w:t xml:space="preserve">The New Testament confirms this exegetical trajectory beyond all reasonable doubt. In 1 Peter 2:24, the apostle writes, "He himself bore our sins in his body on the tree, that we might die to sin and live to righteousness. By his wounds you have been healed." Peter is directly citing Isaiah 53. And he leaves no ambiguity: Christ bore sins, and He bore them </w:t>
      </w:r>
      <w:r>
        <w:lastRenderedPageBreak/>
        <w:t>in His body on the cross. This is not therapeutic participation in human suffering in general. This is the specific bearing of the moral liability of sinners in a vicarious and substitutionary way.</w:t>
      </w:r>
    </w:p>
    <w:p w14:paraId="48BF884D" w14:textId="77777777" w:rsidR="000E133F" w:rsidRDefault="00EC5ECA">
      <w:pPr>
        <w:spacing w:before="60" w:after="140" w:line="360" w:lineRule="auto"/>
      </w:pPr>
      <w:r>
        <w:t xml:space="preserve">Verse 5 makes the substitutionary logic explicit in a way that cannot be explained away: "But he was pierced for our transgressions; he was crushed for our iniquities; upon him was the chastisement that brought us peace, and with his wounds we are healed." The prepositional phrases are decisive. The Servant is not pierced alongside transgressors or on account of transgressions in some general moral sense. The preposition </w:t>
      </w:r>
      <w:r>
        <w:rPr>
          <w:i/>
          <w:iCs/>
        </w:rPr>
        <w:t>al</w:t>
      </w:r>
      <w:r>
        <w:t xml:space="preserve"> followed by the first person plural possessive indicates that our transgressions are the direct cause and reason for his piercing. The relationship is strictly and specifically substitutionary.</w:t>
      </w:r>
    </w:p>
    <w:p w14:paraId="76DCC6A3" w14:textId="77777777" w:rsidR="000E133F" w:rsidRDefault="00EC5ECA">
      <w:pPr>
        <w:spacing w:before="60" w:after="140" w:line="360" w:lineRule="auto"/>
      </w:pPr>
      <w:r>
        <w:t xml:space="preserve">The nouns themselves deserve attention. </w:t>
      </w:r>
      <w:r>
        <w:rPr>
          <w:i/>
          <w:iCs/>
        </w:rPr>
        <w:t>Pesha</w:t>
      </w:r>
      <w:r>
        <w:t xml:space="preserve"> denotes willful transgression, deliberate rebellion against divine authority. </w:t>
      </w:r>
      <w:r>
        <w:rPr>
          <w:i/>
          <w:iCs/>
        </w:rPr>
        <w:t>Avon</w:t>
      </w:r>
      <w:r>
        <w:t xml:space="preserve"> denotes iniquity, the guilt-laden nature of crooked moral conduct. These are not vague impurities. They are morally charged terms for covenant violation. Their use here establishes that the Servant suffers not for natural deficiency or inherited weakness but for specific moral failure—and not His own failure but that of the many.</w:t>
      </w:r>
    </w:p>
    <w:p w14:paraId="0EBD6529" w14:textId="77777777" w:rsidR="000E133F" w:rsidRDefault="00EC5ECA">
      <w:pPr>
        <w:spacing w:before="60" w:after="140" w:line="360" w:lineRule="auto"/>
      </w:pPr>
      <w:r>
        <w:t xml:space="preserve">The word </w:t>
      </w:r>
      <w:r>
        <w:rPr>
          <w:i/>
          <w:iCs/>
        </w:rPr>
        <w:t>mûsār</w:t>
      </w:r>
      <w:r>
        <w:t xml:space="preserve"> in the following clause, rendered "chastisement," is also revealing. This word can mean instruction or discipline, but in the context of judicial punishment it carries the meaning of corrective penalty imposed by authority. And the consequence of this chastisement is peace. The peace of the many is secured because the punishment falls on the Servant. This is not incidental language. It is the precise logic of substitutionary atonement: the punishment owed to one party is transferred to another, and the fir</w:t>
      </w:r>
      <w:r>
        <w:t>st party thereby obtains the benefit that the punishment was meant to restore.</w:t>
      </w:r>
    </w:p>
    <w:p w14:paraId="12DE98CF" w14:textId="77777777" w:rsidR="000E133F" w:rsidRDefault="00EC5ECA">
      <w:pPr>
        <w:spacing w:before="60" w:after="140" w:line="360" w:lineRule="auto"/>
      </w:pPr>
      <w:r>
        <w:t>Verse 6 provides perhaps the most sweeping statement: "All we like sheep have gone astray; we have turned—every one—to his own way; and the LORD has laid on him the iniquity of us all." The universality of human sin is noted first. Every individual has turned to his own way. No one is exempt from the apostasy of self-directed life. Then comes the divine action. The verb often rendered "laid on him" (</w:t>
      </w:r>
      <w:r>
        <w:rPr>
          <w:i/>
          <w:iCs/>
        </w:rPr>
        <w:t>hiphgiya</w:t>
      </w:r>
      <w:r>
        <w:t xml:space="preserve">) derives from a root meaning to cause to meet, to strike upon, to make fall upon. God Himself causes </w:t>
      </w:r>
      <w:r>
        <w:lastRenderedPageBreak/>
        <w:t>the iniquity of all to fall upon the one Servant. This is not a passive convergence. It is a divinely active imputation. God lays on the Servant what belongs to the many. The doctrine of imputed sin is not a late scholastic invention. It is present here in the eighth-century text of Isaiah, describing the substitutionary mechanics of the Servant's bearing of human sin.</w:t>
      </w:r>
    </w:p>
    <w:p w14:paraId="0098F88C" w14:textId="77777777" w:rsidR="000E133F" w:rsidRDefault="00EC5ECA">
      <w:pPr>
        <w:spacing w:before="60" w:after="140" w:line="360" w:lineRule="auto"/>
      </w:pPr>
      <w:r>
        <w:t xml:space="preserve">Verse 7 speaks to the voluntariness of the Servant: "He was oppressed, and he was afflicted, yet he opened not his mouth; like a lamb that is led to the slaughter, and like a sheep that before its shearers is silent, so he opened not his mouth." The silence of the Servant is not passive resignation or the collapse of one overwhelmed. It is the silence of the willing sacrifice. The lamb imagery is unmistakably sacrificial. Within the context of Levitical worship, the lamb offered for sin is led to slaughter </w:t>
      </w:r>
      <w:r>
        <w:t>not by coercion but in the orderly ritual of sacrifice. The Servant assumes the role of the sacrificial victim not because He has no other option but because this is His appointed purpose.</w:t>
      </w:r>
    </w:p>
    <w:p w14:paraId="0783C0F2" w14:textId="77777777" w:rsidR="000E133F" w:rsidRDefault="00EC5ECA">
      <w:pPr>
        <w:spacing w:before="60" w:after="140" w:line="360" w:lineRule="auto"/>
      </w:pPr>
      <w:r>
        <w:t>Verse 8 returns to judicial categories: "By oppression and judgment he was taken away; and as for his generation, who considered that he was cut off out of the land of the living, stricken for the transgression of my people?" The word "judgment" (</w:t>
      </w:r>
      <w:r>
        <w:rPr>
          <w:i/>
          <w:iCs/>
        </w:rPr>
        <w:t>mishpat</w:t>
      </w:r>
      <w:r>
        <w:t>) is standard Hebrew legal vocabulary. The Servant undergoes formal legal process and is cut off from the living. The phrase "for the transgression of my people" again establishes the substitutionary relationship. He is not cut off because of His own transgression but because of the transgression of the people for whom He stands.</w:t>
      </w:r>
    </w:p>
    <w:p w14:paraId="648DAC3A" w14:textId="77777777" w:rsidR="000E133F" w:rsidRDefault="00EC5ECA">
      <w:pPr>
        <w:spacing w:before="60" w:after="140" w:line="360" w:lineRule="auto"/>
      </w:pPr>
      <w:r>
        <w:t>Verse 9 emphasizes His innocence: "although he had done no violence, and there was no deceit in his mouth." This innocence is theologically indispensable. A suffering person who has his own guilt can at best be a martyr or an example. Only a completely innocent person can bear another's guilt in a meaningful substitutionary sense. If the Servant had His own moral liability, His death would be the just penalty for His own sin and could not simultaneously be the penalty for others' sins. Isaiah therefore care</w:t>
      </w:r>
      <w:r>
        <w:t xml:space="preserve">fully establishes that the Servant is wholly without guilt. This is the same affirmation that New Testament texts make about Christ. Hebrews 7:26 describes the Son of God as "holy, innocent, unstained, separated from sinners." Second Corinthians 5:21 introduces the great exchange with the premise, "him who knew no sin." First Peter 1:19 speaks of "a </w:t>
      </w:r>
      <w:r>
        <w:lastRenderedPageBreak/>
        <w:t>lamb without blemish or spot." The innocence is not incidental but essential to the substitution.</w:t>
      </w:r>
    </w:p>
    <w:p w14:paraId="2A1507C6" w14:textId="77777777" w:rsidR="000E133F" w:rsidRDefault="00EC5ECA">
      <w:pPr>
        <w:spacing w:before="60" w:after="140" w:line="360" w:lineRule="auto"/>
      </w:pPr>
      <w:r>
        <w:t>Verse 10 rises to its climax: "Yet it was the will of the LORD to crush him; he has put him to grief; when his soul makes an offering for guilt, he shall see his offspring; he shall prolong his days; the will of the LORD shall prosper in his hand." The interpretive pressure of this verse is enormous. The crushing of the Servant is explicitly attributed to the divine will—not the will of His enemies alone, nor mere historical contingency, but the purposive will of God. This is not theology that evacuates the</w:t>
      </w:r>
      <w:r>
        <w:t xml:space="preserve"> Father's role in the atonement. It is theology that insists the Father's will is the ultimate explanation of the cross.</w:t>
      </w:r>
    </w:p>
    <w:p w14:paraId="03D7F8DF" w14:textId="77777777" w:rsidR="000E133F" w:rsidRDefault="00EC5ECA">
      <w:pPr>
        <w:spacing w:before="60" w:after="140" w:line="360" w:lineRule="auto"/>
      </w:pPr>
      <w:r>
        <w:t xml:space="preserve">The word </w:t>
      </w:r>
      <w:r>
        <w:rPr>
          <w:i/>
          <w:iCs/>
        </w:rPr>
        <w:t>asham</w:t>
      </w:r>
      <w:r>
        <w:t xml:space="preserve"> translated "offering for guilt" is the key technical term. In Leviticus 5–7, the </w:t>
      </w:r>
      <w:r>
        <w:rPr>
          <w:i/>
          <w:iCs/>
        </w:rPr>
        <w:t>asham</w:t>
      </w:r>
      <w:r>
        <w:t xml:space="preserve"> or guilt offering is the specific sacrifice for sins of a particular kind, involving the repayment of what has been wrongfully withheld or taken. It is not a generic sacrificial term. It is the precise designation of an offering made to address liability and guilt. By describing the Servant's soul as the </w:t>
      </w:r>
      <w:r>
        <w:rPr>
          <w:i/>
          <w:iCs/>
        </w:rPr>
        <w:t>asham</w:t>
      </w:r>
      <w:r>
        <w:t>, Isaiah is doing nothing less than categorizing the Servant's death as a guilt offering, a sacrifice that d</w:t>
      </w:r>
      <w:r>
        <w:t>eals with the objective liability of the sinner before God. One cannot acknowledge this term in Isaiah 53:10 and then maintain that the chapter lacks forensic, penal content. The guilt offering category is inherently forensic. Liability is incurred, and the offering satisfies it.</w:t>
      </w:r>
    </w:p>
    <w:p w14:paraId="0F73307F" w14:textId="77777777" w:rsidR="000E133F" w:rsidRDefault="00EC5ECA">
      <w:pPr>
        <w:spacing w:before="60" w:after="140" w:line="360" w:lineRule="auto"/>
      </w:pPr>
      <w:r>
        <w:t>The rest of verse 10 promises vindication: "he shall see his offspring; he shall prolong his days." These are not the words of defeat. They predict resurrection and fruitfulness following the substitutionary death. The sacrifice is accepted, the offering satisfies, and therefore the Servant lives and sees the fruit of His labor. The New Testament's resurrection narratives are the direct fulfillment of this promise. The Father raises the Son because the offering was fully satisfactory.</w:t>
      </w:r>
    </w:p>
    <w:p w14:paraId="5118356D" w14:textId="77777777" w:rsidR="000E133F" w:rsidRDefault="00EC5ECA">
      <w:pPr>
        <w:spacing w:before="60" w:after="140" w:line="360" w:lineRule="auto"/>
      </w:pPr>
      <w:r>
        <w:t xml:space="preserve">Verse 11 provides the explicit language of forensic justification: "Out of the anguish of his soul he shall see and be satisfied; by his knowledge shall the righteous one, my servant, make many to be accounted righteous, and he shall bear their iniquities." The verb </w:t>
      </w:r>
      <w:r>
        <w:rPr>
          <w:i/>
          <w:iCs/>
        </w:rPr>
        <w:t>yasdiq</w:t>
      </w:r>
      <w:r>
        <w:t xml:space="preserve"> is causative: to declare righteous, to cause to be accounted righteous. This is judicial, declarative language. The Servant does not morally improve the many by </w:t>
      </w:r>
      <w:r>
        <w:lastRenderedPageBreak/>
        <w:t>contact or participation; He causes a verdict to be rendered in their favor. And the ground of this favorable verdict is stated immediately: "he shall bear their iniquities." The causal connection is explicit. Many are justified because the Servant bears their iniquities. This is the structure of imputed righteousness and imputed sin in a sin</w:t>
      </w:r>
      <w:r>
        <w:t>gle verse. The guilt of the many is assigned to Him; the righteousness that is His by virtue of His innocence and obedient offering is the ground upon which the many are justified.</w:t>
      </w:r>
    </w:p>
    <w:p w14:paraId="28C686C4" w14:textId="77777777" w:rsidR="000E133F" w:rsidRDefault="00EC5ECA">
      <w:pPr>
        <w:spacing w:before="60" w:after="140" w:line="360" w:lineRule="auto"/>
      </w:pPr>
      <w:r>
        <w:t>Verse 12 closes the chapter: "Therefore I will divide him a portion with the many, and he shall divide the spoil with the strong, because he poured out his soul to death and was numbered with the transgressors; yet he bore the sin of many, and makes intercession for the transgressors." The Servant receives vindication and reward because He poured out His life and bore sin. Being "numbered with transgressors" describes His judicial association with the guilty in the act of His death. This language is applied</w:t>
      </w:r>
      <w:r>
        <w:t xml:space="preserve"> to Christ in Luke 22:37. And the ongoing intercession confirms what Hebrews develops at length: the Servant-Priest does not merely die for transgressors but continues to plead for them. The work of the cross and the work of intercession are one sustained priestly action.</w:t>
      </w:r>
    </w:p>
    <w:p w14:paraId="632CE3D2" w14:textId="77777777" w:rsidR="000E133F" w:rsidRDefault="00EC5ECA">
      <w:pPr>
        <w:spacing w:before="60" w:after="140" w:line="360" w:lineRule="auto"/>
      </w:pPr>
      <w:r>
        <w:t>Isaiah 53, read with attention to its own vocabulary and structure, presents a doctrine of penal substitutionary atonement with remarkable completeness. The Servant is innocent, the many are guilty, God actively transfers their iniquity to the Servant, the Servant undergoes judicial death under the divine will, His death is categorized as a guilt offering, the many are justified on that basis, and the Servant is vindicated. This is penal substitution, not merely in a proleptic sense awaiting New Testament c</w:t>
      </w:r>
      <w:r>
        <w:t>ompletion, but as a fully articulated theological vision in the Old Testament canon. The New Testament does not invent this model and retroject it onto Isaiah. The New Testament reads Isaiah as it demands to be read.</w:t>
      </w:r>
    </w:p>
    <w:p w14:paraId="4C2CC83B" w14:textId="77777777" w:rsidR="000E133F" w:rsidRDefault="00EC5ECA">
      <w:pPr>
        <w:spacing w:before="60" w:after="140" w:line="360" w:lineRule="auto"/>
      </w:pPr>
      <w:r>
        <w:t>The central Pauline text is Romans 3:25–26: "whom God put forward as a propitiation by his blood, to be received by faith. This was to show God's righteousness, because in his divine forbearance he had passed over former sins. It was to show his righteousness at the present time, so that he might be just and the justifier of the one who has faith in Jesus." The argument requires careful attention because it answers a specific theological problem that Paul has constructed across the first three chapters of t</w:t>
      </w:r>
      <w:r>
        <w:t>he letter.</w:t>
      </w:r>
    </w:p>
    <w:p w14:paraId="6D0A4A36" w14:textId="77777777" w:rsidR="000E133F" w:rsidRDefault="00EC5ECA">
      <w:pPr>
        <w:spacing w:before="60" w:after="140" w:line="360" w:lineRule="auto"/>
      </w:pPr>
      <w:r>
        <w:lastRenderedPageBreak/>
        <w:t>Romans 1:18 opens the argument with a declaration that the wrath of God is being revealed from heaven against all ungodliness and unrighteousness of men. The next three chapters establish that Jews and Gentiles alike stand condemned. All are under sin. All are silenced before God. No one is justified by works of the law. The world is accountable to God. Into this situation of universal condemnation Paul introduces the gospel: God's righteousness has been manifested apart from the law through faith in Christ</w:t>
      </w:r>
      <w:r>
        <w:t>.</w:t>
      </w:r>
    </w:p>
    <w:p w14:paraId="3ECDDE19" w14:textId="77777777" w:rsidR="000E133F" w:rsidRDefault="00EC5ECA">
      <w:pPr>
        <w:spacing w:before="60" w:after="140" w:line="360" w:lineRule="auto"/>
      </w:pPr>
      <w:r>
        <w:t xml:space="preserve">But a problem immediately presses: if God is righteous and just, how can He justify the ungodly? How can He pass over former sins without violating His own justice? Paul's answer is that God set forth Christ as a </w:t>
      </w:r>
      <w:r>
        <w:rPr>
          <w:i/>
          <w:iCs/>
        </w:rPr>
        <w:t>hilastērion</w:t>
      </w:r>
      <w:r>
        <w:t xml:space="preserve">. The term is translated "propitiation" in most Reformed translations and "expiation" in some others, notably following C. H. Dodd, who argued that the word simply means the removal of sin's defilement without necessarily involving the appeasement of divine wrath. Leon Morris's response, developed at length in </w:t>
      </w:r>
      <w:r>
        <w:rPr>
          <w:i/>
          <w:iCs/>
        </w:rPr>
        <w:t>The Apostolic Preaching of the Cross</w:t>
      </w:r>
      <w:r>
        <w:t xml:space="preserve"> (1955), is decisive on both lexical and contextual grounds. Examining the </w:t>
      </w:r>
      <w:r>
        <w:rPr>
          <w:i/>
          <w:iCs/>
        </w:rPr>
        <w:t>hilas-</w:t>
      </w:r>
      <w:r>
        <w:t xml:space="preserve"> word group across the entire range of Greek literature, biblical and ex</w:t>
      </w:r>
      <w:r>
        <w:t>tra-biblical, Morris demonstrates that the consistent usage involves the appeasement of an offended person, not merely the removal of an impersonal defilement. In many passages the word group explicitly describes averting the wrath of an offended deity or person.</w:t>
      </w:r>
    </w:p>
    <w:p w14:paraId="7ACE2EE2" w14:textId="77777777" w:rsidR="000E133F" w:rsidRDefault="00EC5ECA">
      <w:pPr>
        <w:spacing w:before="60" w:after="140" w:line="360" w:lineRule="auto"/>
      </w:pPr>
      <w:r>
        <w:t xml:space="preserve">The contextual argument reinforces the lexical case. Paul has just spent three chapters establishing the universality of divine wrath. The gospel message, on Dodd's reading, would not address that wrath; it would simply cleanse away sin while leaving the problem of divine righteous anger unaddressed. But Paul's whole argument requires that the cross deal specifically with the wrath of God against sin. That is why he introduces the concept of </w:t>
      </w:r>
      <w:r>
        <w:rPr>
          <w:i/>
          <w:iCs/>
        </w:rPr>
        <w:t>hilastērion</w:t>
      </w:r>
      <w:r>
        <w:t xml:space="preserve"> as the answer to the problem of divine righteousness. God can be simultaneously just and the justifier of sinners because at the cross the divine wrath against sin was actually propitiated—that is, actually satisfied, actually deflected from the sinner onto the substitute—through the blood of Christ.</w:t>
      </w:r>
    </w:p>
    <w:p w14:paraId="52E99115" w14:textId="77777777" w:rsidR="000E133F" w:rsidRDefault="00EC5ECA">
      <w:pPr>
        <w:spacing w:before="60" w:after="140" w:line="360" w:lineRule="auto"/>
      </w:pPr>
      <w:r>
        <w:t>The phrase "to show his righteousness" (</w:t>
      </w:r>
      <w:r>
        <w:rPr>
          <w:i/>
          <w:iCs/>
        </w:rPr>
        <w:t>eis endeixin tēs dikaiosunēs autou</w:t>
      </w:r>
      <w:r>
        <w:t xml:space="preserve">) is theologically dense. Douglas Moo in his commentary on Romans argues that this phrase </w:t>
      </w:r>
      <w:r>
        <w:lastRenderedPageBreak/>
        <w:t>signals that the cross is the public demonstration of the divine justice that demanded satisfaction for sin. God had exercised forbearance toward sin in the old covenant era, passing over sins provisionally. But this forbearance raised a question: does God take sin seriously? Is He truly just? The cross answers that question definitively. At Calvary, the full divine judgment against si</w:t>
      </w:r>
      <w:r>
        <w:t>n is executed—upon the sin-bearer, who stands in the place of sinners. Therefore God is shown to be just: He does not waive penalty. And He is shown to be the justifier of believers: because the penalty has been fully borne by Christ, their justification is grounded in satisfying justice, not in overriding it.</w:t>
      </w:r>
    </w:p>
    <w:p w14:paraId="656FAB91" w14:textId="77777777" w:rsidR="000E133F" w:rsidRDefault="00EC5ECA">
      <w:pPr>
        <w:spacing w:before="60" w:after="140" w:line="360" w:lineRule="auto"/>
      </w:pPr>
      <w:r>
        <w:t>John Murray's observation about the phrase "just and the justifier" is indispensable. The two terms are not in tension, as though Paul were describing an improbable combination that could only be achieved by some divine sleight of hand. They are the positive outcome of propitiation. Because the penalty has been actually paid at the cross, God can declare sinners righteous without compromising His own righteousness. The justification is righteous because it is grounded in satisfaction. This is why PSA and fo</w:t>
      </w:r>
      <w:r>
        <w:t>rensic justification are inseparable. Remove propitiation and justification becomes arbitrary grace that merely ignores moral debt rather than dealing with it.</w:t>
      </w:r>
    </w:p>
    <w:p w14:paraId="0815CAD2" w14:textId="77777777" w:rsidR="000E133F" w:rsidRDefault="00EC5ECA">
      <w:pPr>
        <w:spacing w:before="60" w:after="140" w:line="360" w:lineRule="auto"/>
      </w:pPr>
      <w:r>
        <w:t>Second Corinthians 5:21 presents the atonement from a different but complementary angle: "For our sake he made him to be sin who knew no sin, so that in him we might become the righteousness of God." This verse has sometimes been read as saying that Christ became merely a sin offering, a sacrifice for sin, rather than sin in any representational or imputation-based sense. That reading has some merit because the word used here sometimes functions as a shorthand for sin offering in the Septuagint. But the par</w:t>
      </w:r>
      <w:r>
        <w:t>allel structure of the verse strongly supports the imputation reading. If we "become the righteousness of God" in a forensic sense—receiving a status of righteousness not inherently our own—then by parallel logic Christ "becomes sin" in a forensic sense: receiving a status of sinfulness not inherently His own. The exchange is symmetrical. Each party receives something that belongs to the other by imputation, not by ontological transfer.</w:t>
      </w:r>
    </w:p>
    <w:p w14:paraId="47129868" w14:textId="77777777" w:rsidR="000E133F" w:rsidRDefault="00EC5ECA">
      <w:pPr>
        <w:spacing w:before="60" w:after="140" w:line="360" w:lineRule="auto"/>
      </w:pPr>
      <w:r>
        <w:t xml:space="preserve">This reading also coheres with the larger context of 2 Corinthians 5:14–21. Paul has been arguing that the love of Christ controls the apostles' ministry because they have </w:t>
      </w:r>
      <w:r>
        <w:lastRenderedPageBreak/>
        <w:t>concluded that one died for all. The word "for" (</w:t>
      </w:r>
      <w:r>
        <w:rPr>
          <w:i/>
          <w:iCs/>
        </w:rPr>
        <w:t>hyper</w:t>
      </w:r>
      <w:r>
        <w:t>) throughout this passage carries the substitutionary force that its Greek usage in contexts of sacrifice and legal exchange demands. Christ died as the substitute for the many. The reconciliation achieved is described in verse 19 as God "not counting their trespasses against them"—which is precisely forensic non-imputation. And the ground of this non-imputation is the imputation of those trespasses to Christ. The great exchange is therefore not a periph</w:t>
      </w:r>
      <w:r>
        <w:t>eral corollary to the atonement in Paul's mind; it is the very heart of his proclamation.</w:t>
      </w:r>
    </w:p>
    <w:p w14:paraId="2F6D9783" w14:textId="77777777" w:rsidR="000E133F" w:rsidRDefault="00EC5ECA">
      <w:pPr>
        <w:spacing w:before="60" w:after="140" w:line="360" w:lineRule="auto"/>
      </w:pPr>
      <w:r>
        <w:t xml:space="preserve">Galatians 3:10–13 adds the covenantal curse structure that grounds everything in the law's specific demands: "For all who rely on works of the law are under a curse; for it is written, 'Cursed be everyone who does not abide by all things written in the Book of the Law, and do them.' Now it is evident that no one is justified before God by the law, for 'The righteous shall live by faith.' But the law is not of faith, rather 'The one who does them shall live by them.' Christ redeemed us from the curse of the </w:t>
      </w:r>
      <w:r>
        <w:t>law by becoming a curse for us—for it is written, 'Cursed is everyone who is hanged on a tree.'"</w:t>
      </w:r>
    </w:p>
    <w:p w14:paraId="1A5A4C3E" w14:textId="77777777" w:rsidR="000E133F" w:rsidRDefault="00EC5ECA">
      <w:pPr>
        <w:spacing w:before="60" w:after="140" w:line="360" w:lineRule="auto"/>
      </w:pPr>
      <w:r>
        <w:t>Several features of this argument are important. First, the "curse" from which Christ redeems is not a vague spiritual negativity or cosmic malevolence. It is the specific covenantal sanction of Deuteronomy 27:26, where God pronounces judgment on all who fail to abide by all things written in the law. The curse is therefore divine wrath expressed through the covenant legal structure against covenant violators. It is juridical and Godward, not merely experiential or demonic.</w:t>
      </w:r>
    </w:p>
    <w:p w14:paraId="152B9D39" w14:textId="77777777" w:rsidR="000E133F" w:rsidRDefault="00EC5ECA">
      <w:pPr>
        <w:spacing w:before="60" w:after="140" w:line="360" w:lineRule="auto"/>
      </w:pPr>
      <w:r>
        <w:t xml:space="preserve">Second, Christ redeems by "becoming a curse for us." The preposition </w:t>
      </w:r>
      <w:r>
        <w:rPr>
          <w:i/>
          <w:iCs/>
        </w:rPr>
        <w:t>hyper</w:t>
      </w:r>
      <w:r>
        <w:t xml:space="preserve"> again bears substitutionary force. He does not merely enter the cursed condition in solidarity with cursed humanity. He becomes the curse-bearer in the place of those for whom He acts. The citation from Deuteronomy 21:23 shows that crucifixion was understood as the sign of divine cursing. Christ dying by crucifixion is not an unfortunate historical accident; it is the God-ordained execution of the covenantal curse upon the curse-bearer. He hangs on the tree so that we do not bear the hanging.</w:t>
      </w:r>
    </w:p>
    <w:p w14:paraId="453B5E1C" w14:textId="77777777" w:rsidR="000E133F" w:rsidRDefault="00EC5ECA">
      <w:pPr>
        <w:spacing w:before="60" w:after="140" w:line="360" w:lineRule="auto"/>
      </w:pPr>
      <w:r>
        <w:t xml:space="preserve">Third, the purpose of this curse-bearing is redemption: "Christ redeemed us from the curse of the law." Redemption from a curse is not merely experiential liberation. It is the </w:t>
      </w:r>
      <w:r>
        <w:lastRenderedPageBreak/>
        <w:t>lifting of a legal sanction. Because Christ bore it, those for whom He bore it are released from it. Verse 14 explains the positive outcome: "so that in Christ Jesus the blessing of Abraham might come to the Gentiles, so that we might receive the promised Spirit through faith." The Spirit's gift is the blessing consequent upon the removal of the curse. Again the sequence is revealing: substitutionary curse-bearing → curse removed from the beneficiaries → blessing and Spirit received.</w:t>
      </w:r>
    </w:p>
    <w:p w14:paraId="1196402D" w14:textId="77777777" w:rsidR="000E133F" w:rsidRDefault="00EC5ECA">
      <w:pPr>
        <w:spacing w:before="60" w:after="140" w:line="360" w:lineRule="auto"/>
      </w:pPr>
      <w:r>
        <w:t>The argument of Hebrews 9–10 is systematic and sustained. The epistle positions Christ's priestly work as the final and definitive fulfillment of everything the Levitical sacrificial system anticipated. The sacrificial system is therefore the interpretive key. Hebrews does not regard Levitical sacrifice as merely a cultural backdrop; it treats it as divinely ordained typology that discloses the structure of genuine atonement. The daily and annual offerings, the Day of Atonement, the blood brought before God</w:t>
      </w:r>
      <w:r>
        <w:t>, the guilt offering and the sin offering—all of these point forward to the one perfect sacrifice of Christ.</w:t>
      </w:r>
    </w:p>
    <w:p w14:paraId="4C28B652" w14:textId="77777777" w:rsidR="000E133F" w:rsidRDefault="00EC5ECA">
      <w:pPr>
        <w:spacing w:before="60" w:after="140" w:line="360" w:lineRule="auto"/>
      </w:pPr>
      <w:r>
        <w:t>Hebrews 9:12 establishes the quality and finality of Christ's entrance into the true sanctuary: "he entered once for all into the holy places, not by means of the blood of goats and calves but by means of his own blood, thus securing an eternal redemption." The contrast between animal blood and Christ's own blood is not merely one of value but of ontological weight. Animal blood was offered annually because it could not truly remove sin. Christ's blood is His own—the blood of the eternal Son incarnate—and t</w:t>
      </w:r>
      <w:r>
        <w:t>herefore of infinite efficacy. The redemption secured is not provisional but eternal. It does not need to be renewed or supplemented.</w:t>
      </w:r>
    </w:p>
    <w:p w14:paraId="50E73590" w14:textId="77777777" w:rsidR="000E133F" w:rsidRDefault="00EC5ECA">
      <w:pPr>
        <w:spacing w:before="60" w:after="140" w:line="360" w:lineRule="auto"/>
      </w:pPr>
      <w:r>
        <w:t>Hebrews 9:22 provides the hermeneutical key to the whole sacrificial system: "Indeed, under the law almost everything is purified with blood, and without the shedding of blood there is no forgiveness of sins." This is not a statement about religious aesthetics. It is a statement about the metaphysics of forgiveness. Forgiveness of sins requires blood. Blood is the life given in death under judicial condemnation. The sacrificial system communicates that sin cannot simply be overlooked; it must be atoned for.</w:t>
      </w:r>
      <w:r>
        <w:t xml:space="preserve"> Death must be borne. The wages of sin is death, and that death must be suffered either by the sinner or by a substitute.</w:t>
      </w:r>
    </w:p>
    <w:p w14:paraId="50FEC3FB" w14:textId="77777777" w:rsidR="000E133F" w:rsidRDefault="00EC5ECA">
      <w:pPr>
        <w:spacing w:before="60" w:after="140" w:line="360" w:lineRule="auto"/>
      </w:pPr>
      <w:r>
        <w:lastRenderedPageBreak/>
        <w:t>Hebrews 9:26 states, "he has appeared once for all at the end of the ages to put away sin by the sacrifice of himself." Sin is "put away"—an active, decisive action. And it is put away specifically by sacrifice. This language is not compatible with any view that regards the cross as merely an example, a drama, or a conquest that proceeds without genuine sacrificial atonement for guilt.</w:t>
      </w:r>
    </w:p>
    <w:p w14:paraId="58B158E3" w14:textId="77777777" w:rsidR="000E133F" w:rsidRDefault="00EC5ECA">
      <w:pPr>
        <w:spacing w:before="60" w:after="140" w:line="360" w:lineRule="auto"/>
      </w:pPr>
      <w:r>
        <w:t>Hebrews 9:28 directly echoes Isaiah 53: "Christ, having been offered once to bear the sins of many, will appear a second time, not to deal with sin but to save those who are eagerly waiting for him." The language of bearing sins is inherited from the Servant Song. It is substitutionary sin-bearing language. The second coming is distinguished from the first precisely because the first was the occasion of sin-bearing and the second will not be. This passage assumes that the sin-bearing function of the first a</w:t>
      </w:r>
      <w:r>
        <w:t>dvent was fully accomplished: Christ does not return to deal with sin again because He dealt with it completely the first time.</w:t>
      </w:r>
    </w:p>
    <w:p w14:paraId="26ABDB1A" w14:textId="77777777" w:rsidR="000E133F" w:rsidRDefault="00EC5ECA">
      <w:pPr>
        <w:spacing w:before="60" w:after="140" w:line="360" w:lineRule="auto"/>
      </w:pPr>
      <w:r>
        <w:t xml:space="preserve">Hebrews 10:12–14 provides the magnificent summary: "But when Christ had offered for all time a single sacrifice for sins, he sat down at the right hand of God, waiting from that time until his enemies should be made a footstool for his feet. For by a single offering he has perfected for all time those who are being sanctified." The sitting is the posture of completed work. Levitical priests did not sit because their work was never finished; each day required new offerings. Christ sits because the sacrifice </w:t>
      </w:r>
      <w:r>
        <w:t>is complete, its efficacy eternal, and its effects permanent. Those for whom He offered are "perfected for all time" with respect to their covenantal standing before God. Hebrews 10:18 then draws the explicit conclusion: "Where there is forgiveness of these, there is no longer any offering for sin."</w:t>
      </w:r>
    </w:p>
    <w:p w14:paraId="2A0137BC" w14:textId="77777777" w:rsidR="000E133F" w:rsidRDefault="00EC5ECA">
      <w:pPr>
        <w:spacing w:before="60" w:after="140" w:line="360" w:lineRule="auto"/>
      </w:pPr>
      <w:r>
        <w:t>This statement is the direct and definitive refutation of every doctrine that treats the Eucharist as a propitiatory sacrifice. Where genuine forgiveness exists—and it does exist through Christ's sacrifice—no further offering for sin is necessary or legitimate. The once-for-all sacrifice does not merely suffice in some theoretical sense while remaining open to liturgical continuation or re-presentation. It forecloses the category of ongoing sacrificial offering for sin because forgiveness has been fully obt</w:t>
      </w:r>
      <w:r>
        <w:t>ained.</w:t>
      </w:r>
    </w:p>
    <w:p w14:paraId="0BC3DF1F" w14:textId="77777777" w:rsidR="000E133F" w:rsidRDefault="00EC5ECA">
      <w:pPr>
        <w:pStyle w:val="Heading3"/>
      </w:pPr>
      <w:bookmarkStart w:id="154" w:name="_Toc232765381"/>
      <w:r>
        <w:lastRenderedPageBreak/>
        <w:t>14.3 John Owen's Doctrine of Definite Atonement and the Pactum Salutis</w:t>
      </w:r>
      <w:bookmarkEnd w:id="154"/>
    </w:p>
    <w:p w14:paraId="74536819" w14:textId="77777777" w:rsidR="000E133F" w:rsidRDefault="00EC5ECA">
      <w:pPr>
        <w:spacing w:before="60" w:after="140" w:line="360" w:lineRule="auto"/>
      </w:pPr>
      <w:r>
        <w:t xml:space="preserve">The significance of John Owen's </w:t>
      </w:r>
      <w:r>
        <w:rPr>
          <w:i/>
          <w:iCs/>
        </w:rPr>
        <w:t>The Death of Death in the Death of Christ</w:t>
      </w:r>
      <w:r>
        <w:t xml:space="preserve"> (1648) for the present argument lies not only in his defense of particular redemption but in the theological framework he deploys to sustain it. That framework is the pactum salutis, the eternal covenant of redemption, and it has direct implications for how one understands the nature and design of the atonement.</w:t>
      </w:r>
    </w:p>
    <w:p w14:paraId="3ECD7DFE" w14:textId="77777777" w:rsidR="000E133F" w:rsidRDefault="00EC5ECA">
      <w:pPr>
        <w:spacing w:before="60" w:after="140" w:line="360" w:lineRule="auto"/>
      </w:pPr>
      <w:r>
        <w:t>Owen's opening moves are fundamental. He insists that in order to understand what Christ accomplished at the cross, one must understand the purpose for which He came. That purpose is grounded in an eternal intra-Trinitarian agreement in which the Father appointed the Son to redeem a specific people, gave those people to the Son as His inheritance, and the Son agreed to take their place, fulfill the law in their name, and bear the penalty due to them. The Spirit is the executor of the purchased benefits, bri</w:t>
      </w:r>
      <w:r>
        <w:t>nging the elect to faith, uniting them to Christ, and progressively conforming them to His image. The entire economy of salvation is therefore governed by prior eternal purpose, not by contingent human response.</w:t>
      </w:r>
    </w:p>
    <w:p w14:paraId="6C675D4D" w14:textId="77777777" w:rsidR="000E133F" w:rsidRDefault="00EC5ECA">
      <w:pPr>
        <w:spacing w:before="60" w:after="140" w:line="360" w:lineRule="auto"/>
      </w:pPr>
      <w:r>
        <w:t xml:space="preserve">This is the framework within which Owen reads all the biblical texts about the atonement's design. When Jesus says in John 6:39, "This is the will of him who sent me, that I should lose nothing of all that he has given me, but raise it up on the last day," Owen hears an expression of the pactum's terms: the Father gave a people to the Son, and the Son is accountable for their preservation. When Jesus says in John 17:9, "I am praying for them. I am not praying for the world but for those whom you have given </w:t>
      </w:r>
      <w:r>
        <w:t>me," Owen sees the Servant's intercession limited precisely by the scope of His redemptive covenant. The Son prays for those He died for. The cross and the intercession are coextensive.</w:t>
      </w:r>
    </w:p>
    <w:p w14:paraId="54733F9E" w14:textId="77777777" w:rsidR="000E133F" w:rsidRDefault="00EC5ECA">
      <w:pPr>
        <w:spacing w:before="60" w:after="140" w:line="360" w:lineRule="auto"/>
      </w:pPr>
      <w:r>
        <w:t xml:space="preserve">The famous trilemma, which Owen formulates in Book I of </w:t>
      </w:r>
      <w:r>
        <w:rPr>
          <w:i/>
          <w:iCs/>
        </w:rPr>
        <w:t>The Death of Death</w:t>
      </w:r>
      <w:r>
        <w:t xml:space="preserve">, runs as follows. Divine justice can demand payment of a debt only once. If Christ paid the penalty for the sins of all individuals without exception, all will be saved—but manifestly not all are saved. If Christ paid only for some sins of all individuals, then no one is saved, because unpaid sins remain. Therefore Christ paid for all the sins of those specifically given to Him, and those persons will infallibly be saved. The force of the </w:t>
      </w:r>
      <w:r>
        <w:lastRenderedPageBreak/>
        <w:t>argument rests entirely on the genuine, penal, sub</w:t>
      </w:r>
      <w:r>
        <w:t>stitutionary character of the payment. If the atonement is not truly substitutionary, if it is merely a provision or a potential satisfaction, the trilemma loses its teeth. But if Christ genuinely bears the guilt and penalty due to those for whom He stands, then the penal logic demands their salvation as its necessary consequence.</w:t>
      </w:r>
    </w:p>
    <w:p w14:paraId="645C78EC" w14:textId="77777777" w:rsidR="000E133F" w:rsidRDefault="00EC5ECA">
      <w:pPr>
        <w:spacing w:before="60" w:after="140" w:line="360" w:lineRule="auto"/>
      </w:pPr>
      <w:r>
        <w:t>This is why Owen's argument is inseparable from the broader defense of PSA. A universal but non-penal atonement—one that makes salvation possible for all without actually securing anyone's redemption—is conceptually coherent, though Owen and Reformed theology would argue it is biblically untenable. But a genuinely penal substitutionary atonement must be particular if it is not to entail universalism. Owen presses this point against Arminian theology, but it applies with equal force against any theology that</w:t>
      </w:r>
      <w:r>
        <w:t xml:space="preserve"> combines penal substitution with universal design without landing in universal salvation.</w:t>
      </w:r>
    </w:p>
    <w:p w14:paraId="4A97DE7C" w14:textId="77777777" w:rsidR="000E133F" w:rsidRDefault="00EC5ECA">
      <w:pPr>
        <w:spacing w:before="60" w:after="140" w:line="360" w:lineRule="auto"/>
      </w:pPr>
      <w:r>
        <w:t>The pactum salutis also explains the Trinitarian unity of the atonement in a way that directly refutes the objection that PSA divides the Father and Son. Under Owen's framework, the Father and Son do not stand in adversarial relation at the cross. They are covenanted together from eternity for the same purpose. The Father loves the Son and wills His glorification. The Son loves the Father and freely fulfills the covenant obligation. The Father loves the elect and wills their redemption; the Son loves the el</w:t>
      </w:r>
      <w:r>
        <w:t>ect and lays down His life for them. The wrath that falls upon the Son is not personal hostility from Father to Son. It is the judicial consequence that the sin imputed to the Son, under the terms of the covenant, requires. The triune God jointly wills the satisfaction of divine justice through the Son's willing self-offering.</w:t>
      </w:r>
    </w:p>
    <w:p w14:paraId="3F3F1257" w14:textId="77777777" w:rsidR="000E133F" w:rsidRDefault="00EC5ECA">
      <w:pPr>
        <w:spacing w:before="60" w:after="140" w:line="360" w:lineRule="auto"/>
      </w:pPr>
      <w:r>
        <w:t>This is why Hebrews 9:14 says that Christ offered Himself through the eternal Spirit. The entire Trinity is present and active in the atonement. The Father provides and sends; the Son offers Himself willingly; the Spirit sustains the Son and applies the benefits. There is no division. There is the unified purpose of one God working salvation through the designated roles of the three persons in the economy of redemption.</w:t>
      </w:r>
    </w:p>
    <w:p w14:paraId="71AF5E88" w14:textId="77777777" w:rsidR="000E133F" w:rsidRDefault="00EC5ECA">
      <w:pPr>
        <w:pStyle w:val="Heading3"/>
      </w:pPr>
      <w:bookmarkStart w:id="155" w:name="_Toc232765382"/>
      <w:r>
        <w:t>14.4 The Orthodox Critique of PSA and the Reformed Response</w:t>
      </w:r>
      <w:bookmarkEnd w:id="155"/>
    </w:p>
    <w:p w14:paraId="6FCA79D2" w14:textId="77777777" w:rsidR="000E133F" w:rsidRDefault="00EC5ECA">
      <w:pPr>
        <w:spacing w:before="60" w:after="140" w:line="360" w:lineRule="auto"/>
      </w:pPr>
      <w:r>
        <w:lastRenderedPageBreak/>
        <w:t>Eastern Orthodoxy raises several objections to PSA that deserve careful engagement. The objections are not always philosophically trivial, even if they are ultimately unconvincing, and they must be met with the precision they deserve.</w:t>
      </w:r>
    </w:p>
    <w:p w14:paraId="45B05537" w14:textId="77777777" w:rsidR="000E133F" w:rsidRDefault="00EC5ECA">
      <w:pPr>
        <w:spacing w:before="60" w:after="140" w:line="360" w:lineRule="auto"/>
      </w:pPr>
      <w:r>
        <w:t>The first objection is that PSA introduces division into the Trinity by making the Father the angry punisher of the Son and the Son the victim of divine wrath. This objection, as the preceding section has already addressed, rests on a misrepresentation. The Reformed doctrine does not teach that the Father is hostile to the Son as Son. The distinction is between Christ as the eternal Son in the inner life of the Trinity, and Christ as the mediator who voluntarily assumes the role of federal head and sin-bear</w:t>
      </w:r>
      <w:r>
        <w:t>er for His people. As mediator and covenant surety, He stands in the place of sinners and therefore bears the judicial consequence of sin. This is not hostility between Father and Son; it is the unified purpose of the triune God being executed through the differentiated roles of the persons in the economy of redemption.</w:t>
      </w:r>
    </w:p>
    <w:p w14:paraId="18C1F66D" w14:textId="77777777" w:rsidR="000E133F" w:rsidRDefault="00EC5ECA">
      <w:pPr>
        <w:spacing w:before="60" w:after="140" w:line="360" w:lineRule="auto"/>
      </w:pPr>
      <w:r>
        <w:t>Furthermore, the texts themselves both affirm divine wrath at the cross and divine love. Romans 5:8 says, "But God shows his love for us in that while we were still sinners, Christ died for us." John 3:16 says, "For God so loved the world that he gave his only Son." These texts do not present the cross as an act of Trinitarian conflict. They present it as the supreme expression of divine love, precisely through the mechanism of propitiation. The Father's love gives the Son. The Son's love gives Himself. Bot</w:t>
      </w:r>
      <w:r>
        <w:t>h Father and Son are subjects of the love that drives the atonement. The wrath that the Son bears is not the wrath of the Father against the Son personally, but the wrath of God against sin as judicially assigned to the sin-bearer in the execution of redemption.</w:t>
      </w:r>
    </w:p>
    <w:p w14:paraId="64176619" w14:textId="77777777" w:rsidR="000E133F" w:rsidRDefault="00EC5ECA">
      <w:pPr>
        <w:spacing w:before="60" w:after="140" w:line="360" w:lineRule="auto"/>
      </w:pPr>
      <w:r>
        <w:t xml:space="preserve">The second objection is historical: PSA is said to be a late Western medieval development, dependent on Anselm's feudal categories, and therefore alien to the patristic tradition and ultimately to the biblical text. This objection has a superficial plausibility because it is true that the full articulation of PSA appears most clearly in the Reformation. But several responses are necessary. First, Anselm's </w:t>
      </w:r>
      <w:r>
        <w:rPr>
          <w:i/>
          <w:iCs/>
        </w:rPr>
        <w:t>Cur Deus Homo</w:t>
      </w:r>
      <w:r>
        <w:t xml:space="preserve"> is not the source of PSA. The Reformers worked from Scripture, not from medieval scholasticism, and they explicitly criticized Anselm's honor-satisfaction framework while retaining the biblical categories of penalty, justice, and substitution. Calvin </w:t>
      </w:r>
      <w:r>
        <w:lastRenderedPageBreak/>
        <w:t>specifically argues that the issue is not divine honor in a feudal sense but divine justice, the requirements of the moral law, and the penal sanctions attached to it. He is closer to Paul than to Anselm.</w:t>
      </w:r>
    </w:p>
    <w:p w14:paraId="70B4B741" w14:textId="77777777" w:rsidR="000E133F" w:rsidRDefault="00EC5ECA">
      <w:pPr>
        <w:spacing w:before="60" w:after="140" w:line="360" w:lineRule="auto"/>
      </w:pPr>
      <w:r>
        <w:t>Second, while the technical vocabulary of PSA was sharpened in the Reformation, the underlying ideas are traceable much earlier. Athanasius speaks of Christ paying the debt of death owed by men. Augustine speaks of Christ bearing punishment and becoming a curse for us. Chrysostom comments on 2 Corinthians 5:21 in terms of Christ being treated as sin in the place of sinners. Anselm himself, whatever his limitations, correctly perceived that sin creates an objective liability before God that must be satisfied</w:t>
      </w:r>
      <w:r>
        <w:t xml:space="preserve"> rather than merely overlooked. The Reformation refined this tradition in the light of Paul's more precise vocabulary, but it did not invent the substitutionary structure.</w:t>
      </w:r>
    </w:p>
    <w:p w14:paraId="5FE72136" w14:textId="77777777" w:rsidR="000E133F" w:rsidRDefault="00EC5ECA">
      <w:pPr>
        <w:spacing w:before="60" w:after="140" w:line="360" w:lineRule="auto"/>
      </w:pPr>
      <w:r>
        <w:t>Third, the claim that legal and forensic categories are alien to Scripture is simply false, as demonstrated by the extensive exegesis above. Paul's epistles are saturated with the language of law, guilt, condemnation, justification, and wrath. To regard these as cultural accidents rather than as the substance of the gospel is not to recover ancient Christianity but to impose a modern anti-juridical preference upon the biblical text.</w:t>
      </w:r>
    </w:p>
    <w:p w14:paraId="40F20456" w14:textId="77777777" w:rsidR="000E133F" w:rsidRDefault="00EC5ECA">
      <w:pPr>
        <w:spacing w:before="60" w:after="140" w:line="360" w:lineRule="auto"/>
      </w:pPr>
      <w:r>
        <w:t>The third objection is that Christus Victor, not PSA, is the true primary model, and that the church's ancient tradition focuses on victory, life, and healing rather than on legal penalty. The Reformed response here is not to deny but to integrate. Christus Victor is thoroughly biblical. Hebrews 2:14–15 says, "that through death he might destroy the one who has the power of death, that is, the devil, and deliver all those who through fear of death were subject to lifelong slavery." Christ does destroy the d</w:t>
      </w:r>
      <w:r>
        <w:t>evil. He does liberate the enslaved. But the question is how He accomplishes this.</w:t>
      </w:r>
    </w:p>
    <w:p w14:paraId="1F9D2A6A" w14:textId="77777777" w:rsidR="000E133F" w:rsidRDefault="00EC5ECA">
      <w:pPr>
        <w:spacing w:before="60" w:after="140" w:line="360" w:lineRule="auto"/>
      </w:pPr>
      <w:r>
        <w:t>First Corinthians 15:56–57 provides the key: "The sting of death is sin, and the power of sin is the law. But thanks be to God, who gives us the victory through our Lord Jesus Christ." Death stings because sin gives it claim. Sin holds power because the law pronounces judgment against it. Therefore Christ overcomes death and sin by dealing with the law's claim. He does not simply overpower death as a superior force. He satisfies the justice that backs the law, removes the condemnation that makes death a jud</w:t>
      </w:r>
      <w:r>
        <w:t>icial threat, and thereby disarms death's ultimate sting.</w:t>
      </w:r>
    </w:p>
    <w:p w14:paraId="6B70EFCF" w14:textId="77777777" w:rsidR="000E133F" w:rsidRDefault="00EC5ECA">
      <w:pPr>
        <w:spacing w:before="60" w:after="140" w:line="360" w:lineRule="auto"/>
      </w:pPr>
      <w:r>
        <w:lastRenderedPageBreak/>
        <w:t>Colossians 2:13–15 makes the connection most explicit: "And you, who were dead in your trespasses and the uncircumcision of your flesh, God made alive together with him, having forgiven us all our trespasses, by canceling the record of debt that stood against us with its legal demands. This he set aside, nailing it to the cross. He disarmed the rulers and authorities and put them to open shame, by triumphing over them in him." The sequence is decisive. The Christus Victor triumph—disarming rulers, putting t</w:t>
      </w:r>
      <w:r>
        <w:t>hem to shame—follows directly from the cancellation of the legal record of debt. The cross triumphs because it satisfies. Christus Victor without the cancellation of debt is triumph without ground. It is conquest without the victory condition being met. PSA is therefore not an alternative to Christus Victor but its foundation.</w:t>
      </w:r>
    </w:p>
    <w:p w14:paraId="66ACC717" w14:textId="77777777" w:rsidR="000E133F" w:rsidRDefault="00EC5ECA">
      <w:pPr>
        <w:spacing w:before="60" w:after="140" w:line="360" w:lineRule="auto"/>
      </w:pPr>
      <w:r>
        <w:t>The recapitulation model deserves the same integrating treatment. Irenaeus is correct that Christ recapitulates the history of humanity. He obeys where Adam disobeyed. He is tempted as Adam was and does not fall. He redeems at every stage what Adam lost at every stage. But the recapitulation model is not in tension with PSA; it requires it. The recapitulation that matters most is not merely Adam's moral reversal in the garden but the reversal of the covenant situation that Adam's failure created. Adam's dis</w:t>
      </w:r>
      <w:r>
        <w:t>obedience brought condemnation and curse. Christ's obedience brings justification and blessing. That is the heart of Paul's Adam-Christ typology in Romans 5. The legal reversal is not the enemy of recapitulation. It is its most important dimension.</w:t>
      </w:r>
    </w:p>
    <w:p w14:paraId="0D5EB6F8" w14:textId="77777777" w:rsidR="000E133F" w:rsidRDefault="00EC5ECA">
      <w:pPr>
        <w:spacing w:before="60" w:after="140" w:line="360" w:lineRule="auto"/>
      </w:pPr>
      <w:r>
        <w:t>The Reformed synthesis therefore affirms every genuine biblical insight about the atonement: victory, recapitulation, healing, reconciliation, example, ransom, adoption, and revelation. None of these are denied. But each is understood in its proper relation to the architectonic center of penal substitutionary atonement. Christ wins the victory by satisfying the law. He recapitulates history by bearing its curse. He heals by removing the wound of guilt. He reconciles by propitiating the offended God. He reve</w:t>
      </w:r>
      <w:r>
        <w:t>als by showing the depths of divine love in providing at infinite cost the satisfaction that sinners could never provide themselves. The atonement is many-dimensional. But its center is penal, substitutionary, and propitiatory. To relocate that center is to misread the cross.</w:t>
      </w:r>
    </w:p>
    <w:p w14:paraId="059DF401" w14:textId="77777777" w:rsidR="000E133F" w:rsidRDefault="00EC5ECA">
      <w:pPr>
        <w:pStyle w:val="Heading2"/>
      </w:pPr>
      <w:bookmarkStart w:id="156" w:name="_Toc232765383"/>
      <w:r>
        <w:lastRenderedPageBreak/>
        <w:t>CHAPTER 15: REFORMED ECCLESIOLOGY VS. ORTHODOX CONCILIARISM</w:t>
      </w:r>
      <w:bookmarkEnd w:id="156"/>
    </w:p>
    <w:p w14:paraId="17A68EC7" w14:textId="77777777" w:rsidR="000E133F" w:rsidRDefault="00EC5ECA">
      <w:pPr>
        <w:pStyle w:val="Heading3"/>
      </w:pPr>
      <w:bookmarkStart w:id="157" w:name="_Toc232765384"/>
      <w:r>
        <w:t>15.1 The Marks of the True Church: 2LBC Chapter 26</w:t>
      </w:r>
      <w:bookmarkEnd w:id="157"/>
    </w:p>
    <w:p w14:paraId="6BC0158C" w14:textId="77777777" w:rsidR="000E133F" w:rsidRDefault="00EC5ECA">
      <w:pPr>
        <w:spacing w:before="60" w:after="140" w:line="360" w:lineRule="auto"/>
      </w:pPr>
      <w:r>
        <w:t>Every doctrine of the church rests on a prior understanding of what constitutes the church's essence. In Eastern Orthodoxy, that essence is located in the visible sacramental structure: the eucharistic assembly gathered around the bishop who stands in apostolic succession, administering the mysteries within the conciliar life of the one holy catholic and apostolic Church. In the Reformed tradition, the church's essence is located in the activity of Christ through His appointed means. These two approaches ar</w:t>
      </w:r>
      <w:r>
        <w:t>e not merely stylistically different; they reflect fundamentally different Christologies, pneumatologies, and understandings of how the grace of God reaches sinners.</w:t>
      </w:r>
    </w:p>
    <w:p w14:paraId="430790F9" w14:textId="77777777" w:rsidR="000E133F" w:rsidRDefault="00EC5ECA">
      <w:pPr>
        <w:spacing w:before="60" w:after="140" w:line="360" w:lineRule="auto"/>
      </w:pPr>
      <w:r>
        <w:t>The Second London Baptist Confession of 1689 defines the church in chapter 26 with four interconnected paragraphs that together constitute the Baptist and Reformed ecclesiological vision. The full text is as follows. Paragraph 1: "The catholic or universal church, which (with respect to the internal work of the Spirit and truth of grace) may be called invisible, consists of the whole number of the elect, that have been, are, or shall be gathered into one, under Christ the head thereof; and is the spouse, th</w:t>
      </w:r>
      <w:r>
        <w:t>e body, the fulness of him that filleth all in all." Paragraph 2: "All persons throughout the world, professing the faith of the gospel, and obedience unto God by Christ according unto it, not destroying their own profession by any errors everting the foundation, or unholiness of conversation, are and may be called visible saints; and of such ought all particular congregations to be constituted." Paragraph 3: "The purest churches under heaven are subject to mixture and error; and some have so degenerated as</w:t>
      </w:r>
      <w:r>
        <w:t xml:space="preserve"> to become no churches of Christ, but synagogues of Satan; nevertheless Christ always hath had, and ever shall have a kingdom in this world, to the end thereof, of such as believe in him, and make profession of his name." Paragraph 4: "The Lord Jesus Christ is the head of the church, in whom, by the appointment of the Father, all power for the calling, institution, order, or government of the church, is invested in a supreme and sovereign manner."</w:t>
      </w:r>
    </w:p>
    <w:p w14:paraId="145176B4" w14:textId="77777777" w:rsidR="000E133F" w:rsidRDefault="00EC5ECA">
      <w:pPr>
        <w:spacing w:before="60" w:after="140" w:line="360" w:lineRule="auto"/>
      </w:pPr>
      <w:r>
        <w:t xml:space="preserve">The distinction between the invisible and visible church in paragraph 1 is not an evasion of ecclesial reality but a submission to the biblical data. Second Timothy 2:19 declares, </w:t>
      </w:r>
      <w:r>
        <w:lastRenderedPageBreak/>
        <w:t>"The Lord knows those who are his." The sovereign knowledge of God is the only exhaustive and infallible account of the church's membership. No human or institutional register can replicate this knowledge. Therefore the church in its most proper, elect-constituted sense is accessible to God and not fully accessible to men. Matthew 13 presents the kingdom as a field containing wheat and tares that cannot be definitively separated until the final harvest. The church visible will always contain a mixture of ge</w:t>
      </w:r>
      <w:r>
        <w:t>nuine and false profession.</w:t>
      </w:r>
    </w:p>
    <w:p w14:paraId="14438D7E" w14:textId="77777777" w:rsidR="000E133F" w:rsidRDefault="00EC5ECA">
      <w:pPr>
        <w:spacing w:before="60" w:after="140" w:line="360" w:lineRule="auto"/>
      </w:pPr>
      <w:r>
        <w:t>This distinction has critical implications for the dispute with Orthodoxy. It means that no visible institution, however ancient, well-ordered, liturgically rich, or historically continuous, can identify itself straightforwardly with the true church in its innermost reality. The church triumphant and the church as God knows it always exceed any earthly institutional form. Orthodox ecclesiology, by locating the true church in the visible eucharistic assembly governed by bishops in apostolic succession, impli</w:t>
      </w:r>
      <w:r>
        <w:t>citly claims an institutional identity with the one, holy, catholic, and apostolic church that the invisible-visible distinction disallows.</w:t>
      </w:r>
    </w:p>
    <w:p w14:paraId="7E97D3CA" w14:textId="77777777" w:rsidR="000E133F" w:rsidRDefault="00EC5ECA">
      <w:pPr>
        <w:spacing w:before="60" w:after="140" w:line="360" w:lineRule="auto"/>
      </w:pPr>
      <w:r>
        <w:t xml:space="preserve">Paragraph 3 of the 2LBC makes the corrective explicit: the purest churches are subject to mixture and error. Even the most faithful congregations contain members who are not truly regenerate, and even the best church councils and governing bodies can err in their judgments. Some churches, by sufficiently departing from the foundational gospel, have become not churches of Christ at all but synagogues of Satan. This is language drawn from Revelation 2–3, where Christ addresses actual historical churches with </w:t>
      </w:r>
      <w:r>
        <w:t>sharp rebuke and the warning of candlestick removal. The history of ecclesiastical corruption is not a Protestant polemical invention. It is a New Testament category.</w:t>
      </w:r>
    </w:p>
    <w:p w14:paraId="21A4F55B" w14:textId="77777777" w:rsidR="000E133F" w:rsidRDefault="00EC5ECA">
      <w:pPr>
        <w:spacing w:before="60" w:after="140" w:line="360" w:lineRule="auto"/>
      </w:pPr>
      <w:r>
        <w:t>The practical consequence is that apostasy is possible within formally continuous institutions. A church that maintains episcopal succession, liturgical continuity, and conciliar structure may nonetheless be a degenerated church from a biblical standpoint, if it abandons the gospel of justification by faith, adds human mediators to the mediation of Christ, multiplies human traditions as if they were divine obligations, or departs from the sole authority of Scripture. The Reformed tradition does not say this</w:t>
      </w:r>
      <w:r>
        <w:t xml:space="preserve"> of Orthodoxy in the most extreme sense—it does not conclude that Orthodoxy has become </w:t>
      </w:r>
      <w:r>
        <w:lastRenderedPageBreak/>
        <w:t>a synagogue of Satan—but it does insist that institutional continuity cannot substitute for doctrinal faithfulness.</w:t>
      </w:r>
    </w:p>
    <w:p w14:paraId="50655908" w14:textId="77777777" w:rsidR="000E133F" w:rsidRDefault="00EC5ECA">
      <w:pPr>
        <w:spacing w:before="60" w:after="140" w:line="360" w:lineRule="auto"/>
      </w:pPr>
      <w:r>
        <w:t>The marks of the true church in the Reformed tradition—pure preaching of the Word, right administration of the ordinances, and exercise of church discipline—are derived from the nature of Christ's means of constituting and sustaining His people. The Word is the instrument by which the Spirit creates faith, because faith comes from hearing and hearing through the Word of Christ. The ordinances are the visible signs and seals by which the covenant is marked and confirmed. Discipline is the pastoral care by wh</w:t>
      </w:r>
      <w:r>
        <w:t>ich the integrity of the visible body is maintained. Where these three operate faithfully, the church exists, even amid imperfection and even without a long historical pedigree.</w:t>
      </w:r>
    </w:p>
    <w:p w14:paraId="5B1571DB" w14:textId="77777777" w:rsidR="000E133F" w:rsidRDefault="00EC5ECA">
      <w:pPr>
        <w:spacing w:before="60" w:after="140" w:line="360" w:lineRule="auto"/>
      </w:pPr>
      <w:r>
        <w:t xml:space="preserve">Calvin articulates the principle with characteristic clarity in </w:t>
      </w:r>
      <w:r>
        <w:rPr>
          <w:i/>
          <w:iCs/>
        </w:rPr>
        <w:t>Institutes</w:t>
      </w:r>
      <w:r>
        <w:t xml:space="preserve"> IV.1.9: "Wherever we see the Word of God purely preached and heard, and the sacraments administered according to Christ's institution, there, it is not to be doubted, a church of God exists." This is a generous but principled standard. It does not demand perfection. It does demand that the gospel be present. The Word preached and received, and the ordinances rightly celebrated—these are where Christ acts to gather His people. The church is constituted by Christ's presence in His means, not by the</w:t>
      </w:r>
      <w:r>
        <w:t xml:space="preserve"> prior existence of an institutional structure into which Christ then descends.</w:t>
      </w:r>
    </w:p>
    <w:p w14:paraId="60BDB240" w14:textId="77777777" w:rsidR="000E133F" w:rsidRDefault="00EC5ECA">
      <w:pPr>
        <w:spacing w:before="60" w:after="140" w:line="360" w:lineRule="auto"/>
      </w:pPr>
      <w:r>
        <w:t>This is the deepest structural difference from Orthodoxy. For Orthodoxy, the church pre-exists and authorizes the Gospel; the historical church determines the canon, interprets Scripture, and mediates Christ's presence through valid sacraments. For the Reformed tradition, the Gospel pre-exists and creates the church; the Word calls the church into being, and the church's validity is derivative from the Word's activity within it. One ecclesiology is institutional and hierarchical first, then evangelical; the</w:t>
      </w:r>
      <w:r>
        <w:t xml:space="preserve"> other is evangelical first, then institutional and ordered. The difference is irreducible and fundamental.</w:t>
      </w:r>
    </w:p>
    <w:p w14:paraId="686C3D54" w14:textId="77777777" w:rsidR="000E133F" w:rsidRDefault="00EC5ECA">
      <w:pPr>
        <w:pStyle w:val="Heading3"/>
      </w:pPr>
      <w:bookmarkStart w:id="158" w:name="_Toc232765385"/>
      <w:r>
        <w:t>15.2 WCF 31.3 and the Fallibility of Councils</w:t>
      </w:r>
      <w:bookmarkEnd w:id="158"/>
    </w:p>
    <w:p w14:paraId="1B79B7EE" w14:textId="77777777" w:rsidR="000E133F" w:rsidRDefault="00EC5ECA">
      <w:pPr>
        <w:spacing w:before="60" w:after="140" w:line="360" w:lineRule="auto"/>
      </w:pPr>
      <w:r>
        <w:t xml:space="preserve">Westminster Confession of Faith 31.3 provides the classic Protestant statement on conciliar authority: "All synods or councils since the apostles' times, whether general or particular, may err; and many have erred: therefore they are not to be made the rule of </w:t>
      </w:r>
      <w:r>
        <w:lastRenderedPageBreak/>
        <w:t>faith, or practice; but to be used as a help in both." This statement reflects the historical experience of the Reformation, which demonstrated that ecclesiastical councils had both served truth and departed from it, and which insisted that the infallible rule of faith must be sought elsewhere than in the deliberations of assembled bishops.</w:t>
      </w:r>
    </w:p>
    <w:p w14:paraId="2791D4F8" w14:textId="77777777" w:rsidR="000E133F" w:rsidRDefault="00EC5ECA">
      <w:pPr>
        <w:spacing w:before="60" w:after="140" w:line="360" w:lineRule="auto"/>
      </w:pPr>
      <w:r>
        <w:t>The Reformed doctrine does not dismiss councils as worthless. It treats them as helps, not as rules. The distinction is important. A helpful resource that summarizes scriptural teaching, clarifies theological vocabulary, resolves disputed interpretations, and defends the faith against heresy is not thereby infallible. Councils have done all of these things, often with great benefit to the church. But they have also erred, sometimes fundamentally. And because they have erred, their pronouncements must be hel</w:t>
      </w:r>
      <w:r>
        <w:t>d up to the standard of Scripture rather than standing over it.</w:t>
      </w:r>
    </w:p>
    <w:p w14:paraId="20A3E7B7" w14:textId="77777777" w:rsidR="000E133F" w:rsidRDefault="00EC5ECA">
      <w:pPr>
        <w:spacing w:before="60" w:after="140" w:line="360" w:lineRule="auto"/>
      </w:pPr>
      <w:r>
        <w:t xml:space="preserve">The historical record is extensive and frequently embarrassing to those who would invest councils with permanent infallibility. The Council of Sirmium in 351 and its associated gatherings produced creedal formulations that either denied or severely qualified the Nicene </w:t>
      </w:r>
      <w:r>
        <w:rPr>
          <w:i/>
          <w:iCs/>
        </w:rPr>
        <w:t>homoousios</w:t>
      </w:r>
      <w:r>
        <w:t>, capitulating to Arian pressure. The Council of Ephesus in 449—the so-called Robber Council—was presided over by Dioscorus and produced through procedural manipulation and violence the vindication of Eutyches and the condemnation of Flavian. It met in valid form, with episcopal representation, and issued pronouncements subsequently condemned by Chalcedon in 451. If a council's validity depended only on its form, the Robber Council would need to be accepted. The Orthodox rightly reject it, but the</w:t>
      </w:r>
      <w:r>
        <w:t>ir criterion of rejection—non-reception by the broader church—requires analysis.</w:t>
      </w:r>
    </w:p>
    <w:p w14:paraId="4AFD251B" w14:textId="77777777" w:rsidR="000E133F" w:rsidRDefault="00EC5ECA">
      <w:pPr>
        <w:spacing w:before="60" w:after="140" w:line="360" w:lineRule="auto"/>
      </w:pPr>
      <w:r>
        <w:t>The Council of Hieria in 754 is the most instructive case in the present dispute. This council met at Hieria in the presence of approximately 330 bishops and was patronized by the emperor. It condemned the veneration of icons as idolatry, anathematized those who made or venerated icons, and presented itself as the seventh ecumenical council. It was subsequently condemned by the Second Council of Nicaea in 787. The Orthodox accept Nicaea II and reject Hieria. But on what grounds? The Orthodox answer is recep</w:t>
      </w:r>
      <w:r>
        <w:t>tion: Nicaea II was received by the whole church; Hieria was not.</w:t>
      </w:r>
    </w:p>
    <w:p w14:paraId="6C855D8A" w14:textId="77777777" w:rsidR="000E133F" w:rsidRDefault="00EC5ECA">
      <w:pPr>
        <w:spacing w:before="60" w:after="140" w:line="360" w:lineRule="auto"/>
      </w:pPr>
      <w:r>
        <w:lastRenderedPageBreak/>
        <w:t xml:space="preserve">Keith Mathison, in </w:t>
      </w:r>
      <w:r>
        <w:rPr>
          <w:i/>
          <w:iCs/>
        </w:rPr>
        <w:t>The Shape of Sola Scriptura</w:t>
      </w:r>
      <w:r>
        <w:t>, presses the question that this answer generates. Reception by whom? If "the church" is defined as those who received the council that the church recognizes, the reasoning is circular. One must already know which body is the true church and which standard defines genuine reception in order to apply the criterion. The criterion of reception therefore cannot serve as an independent validation of conciliar authority; it is itself dependent on a prior standard that must be found else</w:t>
      </w:r>
      <w:r>
        <w:t>where.</w:t>
      </w:r>
    </w:p>
    <w:p w14:paraId="53626414" w14:textId="77777777" w:rsidR="000E133F" w:rsidRDefault="00EC5ECA">
      <w:pPr>
        <w:spacing w:before="60" w:after="140" w:line="360" w:lineRule="auto"/>
      </w:pPr>
      <w:r>
        <w:t>The Reformed answer is that the prior standard is Scripture. Nicaea I (325) is received not merely because it was received widely but because its doctrinal content—the eternal generation of the Son and the full deity of Christ—is scriptural. Constantinople I (381) is received not merely for institutional reasons but because its defense of the full deity of the Spirit aligns with biblical testimony. Chalcedon (451) is received because its definition of the two natures and one person of Christ articulates wha</w:t>
      </w:r>
      <w:r>
        <w:t>t the biblical texts about the incarnation require. One may argue about the precision of the conciliar formulations, but the principle of reception by fidelity to Scripture is operative. Councils that teach what Scripture teaches deserve respect and reception. Councils that contradict or exceed Scripture deserve critique and, where necessary, rejection.</w:t>
      </w:r>
    </w:p>
    <w:p w14:paraId="00A6314E" w14:textId="77777777" w:rsidR="000E133F" w:rsidRDefault="00EC5ECA">
      <w:pPr>
        <w:spacing w:before="60" w:after="140" w:line="360" w:lineRule="auto"/>
      </w:pPr>
      <w:r>
        <w:t>This is the Reformed position on the ancient councils. They are received where their teaching is biblical and rejected where it is not. Nicaea II, for example, which mandated the veneration of icons, departed from Scripture's teaching in the second commandment and therefore cannot be binding on the church. It may be the most widely received and liturgically embedded of the ancient councils for Orthodoxy, but the Reformed tradition, following WCF 31.3, is bound to Scripture rather than to even the most vener</w:t>
      </w:r>
      <w:r>
        <w:t>able conciliar declarations.</w:t>
      </w:r>
    </w:p>
    <w:p w14:paraId="02BE2F3E" w14:textId="77777777" w:rsidR="000E133F" w:rsidRDefault="00EC5ECA">
      <w:pPr>
        <w:spacing w:before="60" w:after="140" w:line="360" w:lineRule="auto"/>
      </w:pPr>
      <w:r>
        <w:t>The implications for the Orthodox claim of conciliar infallibility are severe. If the criterion of genuine reception is circular, and if the history of councils demonstrates that formally valid councils have both erred and contradicted one another, and if even the Orthodox themselves distinguish true from false councils by criteria that require an independent standard—then the infallibility of any set of councils is not established. The only infallible standard is Scripture, in which case councils are exact</w:t>
      </w:r>
      <w:r>
        <w:t xml:space="preserve">ly what the </w:t>
      </w:r>
      <w:r>
        <w:lastRenderedPageBreak/>
        <w:t>Westminster Confession says they are: potentially helpful, necessarily fallible, and always subordinate.</w:t>
      </w:r>
    </w:p>
    <w:p w14:paraId="55270FF3" w14:textId="77777777" w:rsidR="000E133F" w:rsidRDefault="00EC5ECA">
      <w:pPr>
        <w:pStyle w:val="Heading3"/>
      </w:pPr>
      <w:bookmarkStart w:id="159" w:name="_Toc232765386"/>
      <w:r>
        <w:t>15.3 Apostolic Succession: A Reformed Critique</w:t>
      </w:r>
      <w:bookmarkEnd w:id="159"/>
    </w:p>
    <w:p w14:paraId="569BCBFB" w14:textId="77777777" w:rsidR="000E133F" w:rsidRDefault="00EC5ECA">
      <w:pPr>
        <w:spacing w:before="60" w:after="140" w:line="360" w:lineRule="auto"/>
      </w:pPr>
      <w:r>
        <w:t>The Orthodox doctrine of apostolic succession functions as both a historical claim and a theological principle. Historically, it claims an unbroken line of episcopal ordination from the apostles through every subsequent generation of bishops, such that the present episcopate stands in continuous tactile succession from the first apostolic appointments. Theologically, it claims that this succession is the carrier of ecclesial identity and sacramental validity: where there is no valid bishop in apostolic succ</w:t>
      </w:r>
      <w:r>
        <w:t>ession, there is no valid church and no valid sacraments. The Reformed critique challenges both the historical claim and the theological principle.</w:t>
      </w:r>
    </w:p>
    <w:p w14:paraId="31ED4097" w14:textId="77777777" w:rsidR="000E133F" w:rsidRDefault="00EC5ECA">
      <w:pPr>
        <w:spacing w:before="60" w:after="140" w:line="360" w:lineRule="auto"/>
      </w:pPr>
      <w:r>
        <w:t>The conceptual critique must come first, because the historical question takes its significance from the theological one. The apostles were not simply the first bishops in a continuing line. They were a unique and foundational office constituted by their personal commission from the risen Christ, their eyewitness status with respect to His resurrection, and their Spirit-empowered role in laying the once-for-all foundation of the church through the authoritative proclamation and inscripturation of the gospel</w:t>
      </w:r>
      <w:r>
        <w:t>. Acts 1:21–22 establishes the criterion for apostolic qualification: one who had accompanied the disciples throughout Jesus's ministry and witnessed His resurrection. This criterion is unrepeatable by definition. No subsequent candidate can qualify, because no one can be made an eyewitness of the resurrection in the foundational sense these verses require.</w:t>
      </w:r>
    </w:p>
    <w:p w14:paraId="75D3A39D" w14:textId="77777777" w:rsidR="000E133F" w:rsidRDefault="00EC5ECA">
      <w:pPr>
        <w:spacing w:before="60" w:after="140" w:line="360" w:lineRule="auto"/>
      </w:pPr>
      <w:r>
        <w:t>Ephesians 2:20 confirms the foundational and therefore non-repeating character of the apostolic office: "built on the foundation of the apostles and prophets, Christ Jesus himself being the cornerstone." Foundations are laid once. The church does not require ongoing re-laying of its foundation. What continues after the apostolic age is not the apostolic office in its foundational sense but the apostolic teaching, preserved in Scripture, entrusted to qualified teachers, and proclaimed by faithful ministers.</w:t>
      </w:r>
    </w:p>
    <w:p w14:paraId="5338B82B" w14:textId="77777777" w:rsidR="000E133F" w:rsidRDefault="00EC5ECA">
      <w:pPr>
        <w:spacing w:before="60" w:after="140" w:line="360" w:lineRule="auto"/>
      </w:pPr>
      <w:r>
        <w:t xml:space="preserve">This is precisely what 2 Timothy 2:2 establishes: "what you have heard from me in the presence of many witnesses entrust to faithful men, who will be able to teach others </w:t>
      </w:r>
      <w:r>
        <w:lastRenderedPageBreak/>
        <w:t>also." The chain described here is a chain of doctrinal transmission, not of sacramental ontology. Paul does not say, "Lay hands on others so that the apostolic authority resident in your hands is transmitted to theirs." He says, "Entrust what you have heard from me to those who can teach it to others." The vehicle of apostolic continuity is the teaching, not the touch.</w:t>
      </w:r>
    </w:p>
    <w:p w14:paraId="41FE2675" w14:textId="77777777" w:rsidR="000E133F" w:rsidRDefault="00EC5ECA">
      <w:pPr>
        <w:spacing w:before="60" w:after="140" w:line="360" w:lineRule="auto"/>
      </w:pPr>
      <w:r>
        <w:t xml:space="preserve">When Irenaeus appeals to apostolic succession in </w:t>
      </w:r>
      <w:r>
        <w:rPr>
          <w:i/>
          <w:iCs/>
        </w:rPr>
        <w:t>Adversus Haereses</w:t>
      </w:r>
      <w:r>
        <w:t xml:space="preserve"> III.3, he is making a polemical argument against Gnostic novelty. The Gnostics claimed to possess secret traditions from the apostles passed down through private channels. Irenaeus's counter-argument is public and historical: the great churches founded by apostles have transmitted the apostolic faith openly, and the succession of their bishops testifies to the continuous public preservation of that faith. The force of Irenaeus's argument is therefore doctrinal: the bishops of Rome, Smyrna,</w:t>
      </w:r>
      <w:r>
        <w:t xml:space="preserve"> and Ephesus are significant as witnesses to what the apostolic churches taught, not as conduits of a quasi-physical apostolic authority independent of doctrine.</w:t>
      </w:r>
    </w:p>
    <w:p w14:paraId="4E16325E" w14:textId="77777777" w:rsidR="000E133F" w:rsidRDefault="00EC5ECA">
      <w:pPr>
        <w:spacing w:before="60" w:after="140" w:line="360" w:lineRule="auto"/>
      </w:pPr>
      <w:r>
        <w:t xml:space="preserve">Michael Horton, in </w:t>
      </w:r>
      <w:r>
        <w:rPr>
          <w:i/>
          <w:iCs/>
        </w:rPr>
        <w:t>The Christian Faith</w:t>
      </w:r>
      <w:r>
        <w:t>, draws the necessary distinction with precision. The office of apostle is closed. Its characteristic features—immediate commission by Christ, eyewitness of the resurrection, foundational revelatory authority—are unrepeatable. The continuing offices of elder, overseer, and deacon are genuinely scriptural and properly constituted through congregational recognition and orderly appointment, but they do not inherit the apostolic function. A bishop today may be called a successor to the apostl</w:t>
      </w:r>
      <w:r>
        <w:t>es in the sense that he succeeds to similar pastoral and teaching responsibilities within the church. He is not a successor in the sense that the apostolic revelatory and foundational role continues in him.</w:t>
      </w:r>
    </w:p>
    <w:p w14:paraId="44970E26" w14:textId="77777777" w:rsidR="000E133F" w:rsidRDefault="00EC5ECA">
      <w:pPr>
        <w:spacing w:before="60" w:after="140" w:line="360" w:lineRule="auto"/>
      </w:pPr>
      <w:r>
        <w:t>The practical historical difficulty reinforces the theological critique. Reliable documentation of continuous episcopal lineages is fragmentary for many sees. Schisms have occurred at which each side claimed the valid succession and denied it to the other. Mutual depositions, rival consecrations, and the complex politics of ecclesiastical history make the claim of unbroken tactile succession historically problematic even before the theological critique is applied. The Orthodox churches themselves have at va</w:t>
      </w:r>
      <w:r>
        <w:t xml:space="preserve">rious points </w:t>
      </w:r>
      <w:r>
        <w:lastRenderedPageBreak/>
        <w:t>been in schism with one another, raising the question of which line of succession remains unbroken in the relevant sense.</w:t>
      </w:r>
    </w:p>
    <w:p w14:paraId="7206A503" w14:textId="77777777" w:rsidR="000E133F" w:rsidRDefault="00EC5ECA">
      <w:pPr>
        <w:spacing w:before="60" w:after="140" w:line="360" w:lineRule="auto"/>
      </w:pPr>
      <w:r>
        <w:t>Furthermore, if sacramental validity depends on episcopal succession, then the entire Reformed tradition, the entire Baptist tradition, and every other Protestant body is by definition outside the church, celebrating invalid sacraments and having no genuine communion with Christ through His ordained means. But if the Word of God is faithfully preached in a Baptist congregation, if sinners are genuinely converted, if believers are genuinely nourished in faith, if Christ truly acts by His Spirit in the gather</w:t>
      </w:r>
      <w:r>
        <w:t>ing of His people around His Word—how can these be denied ecclesial reality? The fruit, which is the presence of Christ through His means, is more convincing evidence of genuine church than any institutional genealogy.</w:t>
      </w:r>
    </w:p>
    <w:p w14:paraId="03F562CC" w14:textId="77777777" w:rsidR="000E133F" w:rsidRDefault="00EC5ECA">
      <w:pPr>
        <w:spacing w:before="60" w:after="140" w:line="360" w:lineRule="auto"/>
      </w:pPr>
      <w:r>
        <w:t xml:space="preserve">The Reformed answer is that the apostolicity of the church consists in fidelity to apostolic doctrine. The marks of the true church—pure preaching of the Word, right administration of the ordinances, and exercise of discipline—are precisely the marks of apostolic faithfulness. A congregation with ancient episcopal lineage that has abandoned the apostolic gospel is not thereby saved from being no true church. A congregation without traceable episcopal lineage that faithfully preaches the apostolic gospel is </w:t>
      </w:r>
      <w:r>
        <w:t>not thereby disqualified from being a genuine expression of Christ's church. Apostolicity is doctrinal before it is genealogical.</w:t>
      </w:r>
    </w:p>
    <w:p w14:paraId="77DBE594" w14:textId="77777777" w:rsidR="000E133F" w:rsidRDefault="00EC5ECA">
      <w:pPr>
        <w:pStyle w:val="Heading3"/>
      </w:pPr>
      <w:bookmarkStart w:id="160" w:name="_Toc232765387"/>
      <w:r>
        <w:t>15.4 The Priesthood of All Believers and the Invisible Church</w:t>
      </w:r>
      <w:bookmarkEnd w:id="160"/>
    </w:p>
    <w:p w14:paraId="4A0344D1" w14:textId="77777777" w:rsidR="000E133F" w:rsidRDefault="00EC5ECA">
      <w:pPr>
        <w:spacing w:before="60" w:after="140" w:line="360" w:lineRule="auto"/>
      </w:pPr>
      <w:r>
        <w:t>The Reformation's recovery of the priesthood of all believers was not the abolition of ministry but the abolition of a sacerdotal mediating class standing between Christ and believers in the economy of grace. The New Testament reserves the specific language of sacrificial priesthood for two objects: the whole church and Christ alone. First Peter 2:9 addresses the entire body of believers: "But you are a chosen race, a royal priesthood, a holy nation, a people for his own possession, that you may proclaim th</w:t>
      </w:r>
      <w:r>
        <w:t>e excellencies of him who called you out of darkness into his marvelous light." The royal priesthood is corporate, covenantal, and universal among believers. It is not restricted to the ordained ministry.</w:t>
      </w:r>
    </w:p>
    <w:p w14:paraId="7A73EF0C" w14:textId="77777777" w:rsidR="000E133F" w:rsidRDefault="00EC5ECA">
      <w:pPr>
        <w:spacing w:before="60" w:after="140" w:line="360" w:lineRule="auto"/>
      </w:pPr>
      <w:r>
        <w:lastRenderedPageBreak/>
        <w:t>Revelation 1:6 confirms this: Christ "has made us a kingdom, priests to his God and Father." Revelation 5:10 adds: "you have made them a kingdom and priests to our God, and they shall reign on the earth." These texts explicitly extend priestly status to all those redeemed by Christ. The priesthood of believers is not metaphorical. It is the New Testament's genuine description of the redemptive status that all who belong to Christ by faith now enjoy.</w:t>
      </w:r>
    </w:p>
    <w:p w14:paraId="4CA6997E" w14:textId="77777777" w:rsidR="000E133F" w:rsidRDefault="00EC5ECA">
      <w:pPr>
        <w:spacing w:before="60" w:after="140" w:line="360" w:lineRule="auto"/>
      </w:pPr>
      <w:r>
        <w:t>This priestly status does not mean every believer performs liturgical functions or leads corporate worship. It means that every believer has direct and unmediated access to God through Christ the great High Priest. Hebrews 4:16 is the practical expression of this access: "Let us then with confidence draw near to the throne of grace, that we may receive mercy and find grace to help in time of need." The "us" is not restricted to an ordained elite. It encompasses the whole community of believers. And the conf</w:t>
      </w:r>
      <w:r>
        <w:t>idence (</w:t>
      </w:r>
      <w:r>
        <w:rPr>
          <w:i/>
          <w:iCs/>
        </w:rPr>
        <w:t>parrēsia</w:t>
      </w:r>
      <w:r>
        <w:t>) with which they are to approach is not qualified by the need for a human mediating priest. It is grounded in the sufficiency of Christ's own sympathetic and effective high priesthood.</w:t>
      </w:r>
    </w:p>
    <w:p w14:paraId="2E5B539C" w14:textId="77777777" w:rsidR="000E133F" w:rsidRDefault="00EC5ECA">
      <w:pPr>
        <w:spacing w:before="60" w:after="140" w:line="360" w:lineRule="auto"/>
      </w:pPr>
      <w:r>
        <w:t>Hebrews 10:19–22 elaborates this access in terms that are explicitly connected to Christ's sacrificial work: "Therefore, brothers, since we have confidence to enter the holy places by the blood of Jesus, by the new and living way that he opened for us through the curtain, that is, through his flesh, and since we have a great priest over the house of God, let us draw near with a true heart in full assurance of faith." The veil is torn. The way is open. The great priest is over the house of God. Believers may</w:t>
      </w:r>
      <w:r>
        <w:t xml:space="preserve"> therefore draw near—all believers, in the full assurance of faith, on the basis of Christ's blood alone.</w:t>
      </w:r>
    </w:p>
    <w:p w14:paraId="00A3638A" w14:textId="77777777" w:rsidR="000E133F" w:rsidRDefault="00EC5ECA">
      <w:pPr>
        <w:spacing w:before="60" w:after="140" w:line="360" w:lineRule="auto"/>
      </w:pPr>
      <w:r>
        <w:t>This teaching forecloses the need for any human priesthood in the redemptive-mediatorial sense. Ministers serve, preach, teach, and administer the ordinances. They are undershepherds of the Great Shepherd. But they do not stand between Christ and the individual believer as necessary mediators of access. Every believer, through faith in Christ, enjoys priestly access to the Father through the one mediator who "always lives to make intercession for them."</w:t>
      </w:r>
    </w:p>
    <w:p w14:paraId="172E4CC6" w14:textId="77777777" w:rsidR="000E133F" w:rsidRDefault="00EC5ECA">
      <w:pPr>
        <w:spacing w:before="60" w:after="140" w:line="360" w:lineRule="auto"/>
      </w:pPr>
      <w:r>
        <w:t xml:space="preserve">The invisible-visible distinction undergirds this point by preventing the visible institution from overclaiming. If the true church in its fullest sense consists of the elect </w:t>
      </w:r>
      <w:r>
        <w:lastRenderedPageBreak/>
        <w:t>known only to God, then no institution can exhaustively identify itself with the church or claim to be the exclusive location of Christ's saving presence. Christ's presence through His Word and Spirit is not contained within institutional boundaries. The Spirit blows where He wills. The Word accomplishes what God purposes wherever it goes. The visible church is the gathering in which this ordinarily happens, and it must be cherished and ordered accordingly. But no particular visible form, however ancient an</w:t>
      </w:r>
      <w:r>
        <w:t>d orderly, exhausts the reality of the church as God knows it.</w:t>
      </w:r>
    </w:p>
    <w:p w14:paraId="6643FEC7" w14:textId="77777777" w:rsidR="000E133F" w:rsidRDefault="00EC5ECA">
      <w:pPr>
        <w:pStyle w:val="Heading2"/>
      </w:pPr>
      <w:bookmarkStart w:id="161" w:name="_Toc232765388"/>
      <w:r>
        <w:t>CHAPTER 16: TWO ORDINANCES VS. SEVEN MYSTERIES</w:t>
      </w:r>
      <w:bookmarkEnd w:id="161"/>
    </w:p>
    <w:p w14:paraId="5991FC22" w14:textId="77777777" w:rsidR="000E133F" w:rsidRDefault="00EC5ECA">
      <w:pPr>
        <w:pStyle w:val="Heading3"/>
      </w:pPr>
      <w:bookmarkStart w:id="162" w:name="_Toc232765389"/>
      <w:r>
        <w:t>16.1 The Baptist Theology of Ordinances: 2LBC Chapters 28–30</w:t>
      </w:r>
      <w:bookmarkEnd w:id="162"/>
    </w:p>
    <w:p w14:paraId="508292CC" w14:textId="77777777" w:rsidR="000E133F" w:rsidRDefault="00EC5ECA">
      <w:pPr>
        <w:spacing w:before="60" w:after="140" w:line="360" w:lineRule="auto"/>
      </w:pPr>
      <w:r>
        <w:t>The distinction between the Reformed and Baptist doctrine of ordinances and the Orthodox doctrine of the seven holy mysteries reflects a fundamental disagreement not only about the number of divinely instituted rites but about the nature of sacramental authority, the structure of the new covenant, and the sufficiency of Christ's legislation. For Eastern Orthodoxy, the seven mysteries are the constitutive means through which the divine life is communicated to the faithful, administered within the visible chu</w:t>
      </w:r>
      <w:r>
        <w:t>rch by validly ordained clergy, and grounded in the continuous tradition of the apostolic community. For the Baptist tradition, as expressed in the Second London Baptist Confession, the only ordinances binding on the new covenant church are those explicitly instituted by Christ for continuing use, and these are two: baptism and the Lord's Supper.</w:t>
      </w:r>
    </w:p>
    <w:p w14:paraId="3C466BE9" w14:textId="77777777" w:rsidR="000E133F" w:rsidRDefault="00EC5ECA">
      <w:pPr>
        <w:spacing w:before="60" w:after="140" w:line="360" w:lineRule="auto"/>
      </w:pPr>
      <w:r>
        <w:t>Chapter 28.1 of the 2LBC reads: "Baptism and the Lord's supper are ordinances of positive and sovereign institution, appointed by the Lord Jesus, the only lawgiver, to be continued in his church to the end of the world." The language of "positive and sovereign institution" is crucial. An ordinance is not derived from natural order, ecclesiastical custom, or the accumulated wisdom of tradition. It is directly mandated by Christ. He is designated "the only lawgiver" for the church. This phrase draws on the Re</w:t>
      </w:r>
      <w:r>
        <w:t>formation principle that Christ alone is head of the church and that the church's legislation derives from His authoritative word. The church does not create ordinances; it receives them.</w:t>
      </w:r>
    </w:p>
    <w:p w14:paraId="74A68E47" w14:textId="77777777" w:rsidR="000E133F" w:rsidRDefault="00EC5ECA">
      <w:pPr>
        <w:spacing w:before="60" w:after="140" w:line="360" w:lineRule="auto"/>
      </w:pPr>
      <w:r>
        <w:lastRenderedPageBreak/>
        <w:t xml:space="preserve">Chapter 29.1 addresses baptism: "Baptism is an ordinance of the New Testament, ordained by Jesus Christ, to be unto the party baptized, a sign of his fellowship with him, in his death and resurrection; of his being engrafted into him; of remission of sins; and of giving up into God, through Jesus Christ, to live and walk in newness of life." Chapter 30.1 addresses the Supper with equal fullness: the Lord's Supper is a memorial and a means of "spiritual nourishment and growth" through faith, and a "bond and </w:t>
      </w:r>
      <w:r>
        <w:t>pledge of communion" between believers and Christ and one another.</w:t>
      </w:r>
    </w:p>
    <w:p w14:paraId="34AD2252" w14:textId="77777777" w:rsidR="000E133F" w:rsidRDefault="00EC5ECA">
      <w:pPr>
        <w:spacing w:before="60" w:after="140" w:line="360" w:lineRule="auto"/>
      </w:pPr>
      <w:r>
        <w:t>These ordinances are spiritually significant. The Baptist tradition has sometimes been misrepresented as mere memorialism—a position that treats the ordinances as bare external ceremonies with no significance beyond their function as acts of human remembrance. That is a caricature of the confessional position. The 2LBC insists that the ordinances function as signs, seals, and means of grace. They do not create grace ex opere operato, but they are genuine means through which the Spirit works alongside the Wo</w:t>
      </w:r>
      <w:r>
        <w:t>rd to strengthen faith and confirm the promises of the covenant to believing participants.</w:t>
      </w:r>
    </w:p>
    <w:p w14:paraId="710A663F" w14:textId="77777777" w:rsidR="000E133F" w:rsidRDefault="00EC5ECA">
      <w:pPr>
        <w:spacing w:before="60" w:after="140" w:line="360" w:lineRule="auto"/>
      </w:pPr>
      <w:r>
        <w:t>The dominical institution of baptism is found in Matthew 28:19–20: "Go therefore and make disciples of all nations, baptizing them in the name of the Father and of the Son and of the Holy Spirit, teaching them to observe all that I have commanded you. And behold, I am with you always, to the end of the age." Here the risen Christ, the one to whom all authority in heaven and on earth has been given, directly institutes baptism as an ordinance of discipleship-making extending to the end of the age. The domini</w:t>
      </w:r>
      <w:r>
        <w:t>cal institution of the Supper appears in the words of institution, handed on by Paul in 1 Corinthians 11:23–26 with the explicit claim that he received this tradition "from the Lord": "For I received from the Lord what I also delivered to you, that the Lord Jesus on the night when he was betrayed took bread, and when he had given thanks, he broke it, and said, 'This is my body, which is for you. Do this in remembrance of me.'" The explicit command—"Do this in remembrance of me"—establishes the Supper as a p</w:t>
      </w:r>
      <w:r>
        <w:t>erpetual ordinance for the church until the Lord's return.</w:t>
      </w:r>
    </w:p>
    <w:p w14:paraId="37018383" w14:textId="77777777" w:rsidR="000E133F" w:rsidRDefault="00EC5ECA">
      <w:pPr>
        <w:spacing w:before="60" w:after="140" w:line="360" w:lineRule="auto"/>
      </w:pPr>
      <w:r>
        <w:t xml:space="preserve">No comparable dominical institution exists for the five additional Orthodox mysteries. Marriage exists as a creation ordinance. Ordination is a churchly act of recognition. </w:t>
      </w:r>
      <w:r>
        <w:lastRenderedPageBreak/>
        <w:t>Anointing for healing is a pastoral practice. Confession is a spiritual discipline. Chrismation is an elaboration of post-baptismal practice in the patristic and early medieval church. None of these can trace to a direct, explicit institution by Christ commanding the church to practice them as standing sacramental ordinances. Their elevation to the status of holy mysteries is a post-apostolic development that cannot be verified by appeal to Christ's own legislative authority.</w:t>
      </w:r>
    </w:p>
    <w:p w14:paraId="501EFF8C" w14:textId="77777777" w:rsidR="000E133F" w:rsidRDefault="00EC5ECA">
      <w:pPr>
        <w:spacing w:before="60" w:after="140" w:line="360" w:lineRule="auto"/>
      </w:pPr>
      <w:r>
        <w:t>The principle at stake is the sole Lordship of Christ over the church. If Christ is the only lawgiver, then only Christ can establish binding ordinances. The church may wisely structure its life, establish beneficial practices, and order its ministry, but it may not bind consciences with obligations beyond Christ's commands. The elevation of marriage, ordination, anointing, confession, and chrismation to the sacramental status of holy mysteries binds the consciences of the faithful with obligations that exc</w:t>
      </w:r>
      <w:r>
        <w:t>eed Christ's explicit legislation. It is a form of adding to His commands, which the principle of Christ's legislative sufficiency does not permit.</w:t>
      </w:r>
    </w:p>
    <w:p w14:paraId="503E7839" w14:textId="77777777" w:rsidR="000E133F" w:rsidRDefault="00EC5ECA">
      <w:pPr>
        <w:pStyle w:val="Heading3"/>
      </w:pPr>
      <w:bookmarkStart w:id="163" w:name="_Toc232765390"/>
      <w:r>
        <w:t>16.2 Critique of Baptismal Regeneration</w:t>
      </w:r>
      <w:bookmarkEnd w:id="163"/>
    </w:p>
    <w:p w14:paraId="0796FECC" w14:textId="77777777" w:rsidR="000E133F" w:rsidRDefault="00EC5ECA">
      <w:pPr>
        <w:spacing w:before="60" w:after="140" w:line="360" w:lineRule="auto"/>
      </w:pPr>
      <w:r>
        <w:t>The claim that baptism itself regenerates stands as one of the most consequential points of difference between Orthodox and Reformed baptismal theology. If baptism truly regenerates—if the new birth occurs in and through the act of baptismal immersion—then the entire structure of Christian initiation changes dramatically. Faith becomes the fruit of baptism rather than its presupposition, sacramental form becomes a condition of regeneration, and the church's role as baptizer takes on quasi-creative spiritual</w:t>
      </w:r>
      <w:r>
        <w:t xml:space="preserve"> significance. The Reformed and Baptist critique of this doctrine proceeds on multiple fronts.</w:t>
      </w:r>
    </w:p>
    <w:p w14:paraId="46B994A7" w14:textId="77777777" w:rsidR="000E133F" w:rsidRDefault="00EC5ECA">
      <w:pPr>
        <w:spacing w:before="60" w:after="140" w:line="360" w:lineRule="auto"/>
      </w:pPr>
      <w:r>
        <w:t>The exegetical case begins with John 3:5. When Jesus tells Nicodemus, "Truly, truly, I say to you, unless one is born of water and the Spirit, he cannot enter the kingdom of God," the sacramental reading assumes that "water" refers to baptism. But several considerations challenge this assumption. First, the conversation occurs before Christian baptism has been instituted in anything like its full post-resurrection form. Jesus is addressing a teacher of Israel and expects him to understand what He is saying,</w:t>
      </w:r>
      <w:r>
        <w:t xml:space="preserve"> which suggests the background lies in the Old Testament rather than in a not-yet-</w:t>
      </w:r>
      <w:r>
        <w:lastRenderedPageBreak/>
        <w:t>revealed Christian rite. Second, the rebuke in verse 10—"Are you the teacher of Israel and yet you do not understand these things?"—implies that what Jesus says should be comprehensible from the Hebrew scriptures.</w:t>
      </w:r>
    </w:p>
    <w:p w14:paraId="58889B84" w14:textId="77777777" w:rsidR="000E133F" w:rsidRDefault="00EC5ECA">
      <w:pPr>
        <w:spacing w:before="60" w:after="140" w:line="360" w:lineRule="auto"/>
      </w:pPr>
      <w:r>
        <w:t>The most illuminating Old Testament background is Ezekiel 36:25–27: "I will sprinkle clean water on you, and you shall be clean from all your uncleannesses, and from all your idols I will cleanse you. And I will give you a new heart, and a new spirit I will put within you. And I will remove the heart of stone from your flesh and give you a heart of flesh. And I will put my Spirit within you, and cause you to walk in my statutes and be careful to obey my rules." Here the conjunction of water and Spirit in th</w:t>
      </w:r>
      <w:r>
        <w:t>e context of eschatological new creation is precise. The water is the image of divine cleansing; the Spirit is the source of renewal. Neither the water nor the Spirit is baptismal in the Johannine or Christian sacramental sense; both are prophetic images of the new covenant transformation that the Spirit accomplishes in regeneration.</w:t>
      </w:r>
    </w:p>
    <w:p w14:paraId="0BC2F06C" w14:textId="77777777" w:rsidR="000E133F" w:rsidRDefault="00EC5ECA">
      <w:pPr>
        <w:spacing w:before="60" w:after="140" w:line="360" w:lineRule="auto"/>
      </w:pPr>
      <w:r>
        <w:t>Jesus's words in John 3:5, on this reading, are the announcement that the new covenant promise of Ezekiel is now being fulfilled. To be born of water and Spirit is to receive the eschatological cleansing and renewing that the Spirit effects. Baptism may later serve as the ordinance that signifies this rebirth, but it does not cause it.</w:t>
      </w:r>
    </w:p>
    <w:p w14:paraId="508E0E10" w14:textId="77777777" w:rsidR="000E133F" w:rsidRDefault="00EC5ECA">
      <w:pPr>
        <w:spacing w:before="60" w:after="140" w:line="360" w:lineRule="auto"/>
      </w:pPr>
      <w:r>
        <w:t>Another Reformed exegetical possibility understands "water" in light of verse 6: "That which is born of the flesh is flesh, and that which is born of the Spirit is spirit." Verse 6 draws the contrast between fleshly birth and spiritual birth. In this reading, "water" in verse 5 refers to natural birth—the water of the womb—and "Spirit" refers to the divine new birth. The verse would then read: unless one has had natural birth and spiritual birth, he cannot enter the kingdom. This reading is contextually pos</w:t>
      </w:r>
      <w:r>
        <w:t>sible, though the Ezekiel background is more exegetically persuasive.</w:t>
      </w:r>
    </w:p>
    <w:p w14:paraId="74BE69CE" w14:textId="77777777" w:rsidR="000E133F" w:rsidRDefault="00EC5ECA">
      <w:pPr>
        <w:spacing w:before="60" w:after="140" w:line="360" w:lineRule="auto"/>
      </w:pPr>
      <w:r>
        <w:t>Ephesians 5:26, where Paul describes Christ "having cleansed her by the washing of water with the word," suggests a further dimension: water is associated with the Word rather than with the sacramental rite in isolation. The cleansing is inseparable from the word. Whether the reference here is to baptism or to the broader purifying work of the gospel proclamation, the passage at least supports the Reformed tendency to connect water-cleansing imagery with the Word rather than with a bare sacramental act.</w:t>
      </w:r>
    </w:p>
    <w:p w14:paraId="47EDF68D" w14:textId="77777777" w:rsidR="000E133F" w:rsidRDefault="00EC5ECA">
      <w:pPr>
        <w:spacing w:before="60" w:after="140" w:line="360" w:lineRule="auto"/>
      </w:pPr>
      <w:r>
        <w:lastRenderedPageBreak/>
        <w:t>Titus 3:5 provides the second major proof text: "he saved us…by the washing of regeneration and renewing of the Holy Spirit." The phrase "washing of regeneration" (</w:t>
      </w:r>
      <w:r>
        <w:rPr>
          <w:i/>
          <w:iCs/>
        </w:rPr>
        <w:t>loutrou palingenesias</w:t>
      </w:r>
      <w:r>
        <w:t>) is grammatically susceptible to multiple readings. If the genitive is objective, it means the washing that produces or accomplishes regeneration, which supports the sacramental reading. If the genitive is epexegetical, it means the washing that consists in regeneration, which supports the Reformed reading. If it is appositional, the washing and the regeneration are identified, both being the Spirit's work signified by baptism.</w:t>
      </w:r>
    </w:p>
    <w:p w14:paraId="0F185CA9" w14:textId="77777777" w:rsidR="000E133F" w:rsidRDefault="00EC5ECA">
      <w:pPr>
        <w:spacing w:before="60" w:after="140" w:line="360" w:lineRule="auto"/>
      </w:pPr>
      <w:r>
        <w:t>The context points away from a straightforwardly sacramental causality. Paul's emphasis throughout the passage is on divine mercy and the Spirit's work. Verse 4 speaks of "when the goodness and loving kindness of God our Savior appeared." Verse 5 explicitly excludes "works done by us in righteousness." The passive "he saved us" points to divine action unmediated by human performance. The Spirit is "poured out" richly, suggesting sovereign abundance rather than ritual limitation. In this context, attributing</w:t>
      </w:r>
      <w:r>
        <w:t xml:space="preserve"> regeneration to the mechanical action of water baptism sits uneasily. The more natural reading is that Paul is describing the Spirit's regenerating and renewing work, which baptism signifies and seals but does not originate.</w:t>
      </w:r>
    </w:p>
    <w:p w14:paraId="34A78647" w14:textId="77777777" w:rsidR="000E133F" w:rsidRDefault="00EC5ECA">
      <w:pPr>
        <w:spacing w:before="60" w:after="140" w:line="360" w:lineRule="auto"/>
      </w:pPr>
      <w:r>
        <w:t>The case of Cornelius in Acts 10 is the canonical narrative that most powerfully challenges baptismal regeneration. In Acts 10:44–48, while Peter is still preaching, the Holy Spirit falls upon Cornelius and his household. They speak in tongues and praise God. Peter then commands that they be baptized. The sequence is unmistakable: the Spirit is given before baptism. Regeneration—evidenced by the Holy Spirit's descent and the gifts of the Spirit—precedes the sacramental rite. Peter does not command baptism s</w:t>
      </w:r>
      <w:r>
        <w:t>o that they may receive the Spirit; he commands baptism because the Spirit has already been received. The narrative is an inspired commentary on the pattern of conversion. If baptism is the instrument of regeneration, Acts 10 is a narrative anomaly. If baptism follows regeneration as its sign and public attestation, the narrative makes perfect sense.</w:t>
      </w:r>
    </w:p>
    <w:p w14:paraId="19D72531" w14:textId="77777777" w:rsidR="000E133F" w:rsidRDefault="00EC5ECA">
      <w:pPr>
        <w:spacing w:before="60" w:after="140" w:line="360" w:lineRule="auto"/>
      </w:pPr>
      <w:r>
        <w:t xml:space="preserve">The logical problem with baptismal regeneration, when combined with infant baptism, is equally severe. If every baptized person is regenerated at baptism, then every baptized person is a new creature in Christ, possesses the Spirit, and is freed from the dominion </w:t>
      </w:r>
      <w:r>
        <w:lastRenderedPageBreak/>
        <w:t>of sin. But the observable history of baptized persons across both Orthodox and Catholic traditions is crowded with apostasy, unbelief, wickedness, and total absence of spiritual fruit in innumerable individuals. The sacramentalist must explain these cases either by positing that regeneration can be lost (introducing major theological complications around the new birth, which by definition produces those who love God), or by positing that some baptisms were somehow invalid despite meeting all external crite</w:t>
      </w:r>
      <w:r>
        <w:t>ria, or by introducing additional conditions that were not met. None of these options resolves the problem cleanly.</w:t>
      </w:r>
    </w:p>
    <w:p w14:paraId="6DBA82A5" w14:textId="77777777" w:rsidR="000E133F" w:rsidRDefault="00EC5ECA">
      <w:pPr>
        <w:spacing w:before="60" w:after="140" w:line="360" w:lineRule="auto"/>
      </w:pPr>
      <w:r>
        <w:t>The Baptist position is more coherent and more consistent with the full range of scriptural evidence. Regeneration is the sovereign act of the Holy Spirit, who "blows where he wishes" (John 3:8). It precedes and produces faith. Baptism follows as the believer's public covenant act, the outward sign of the inward reality, the ordinance by which the regenerate person is publicly initiated into the covenant community of the visible church. This is why the 2LBC specifies that baptism is for "actual believers" (</w:t>
      </w:r>
      <w:r>
        <w:t>29.2) who profess faith—because baptism is the sign appointed for those who have already been born again, not the instrument by which new birth is effected.</w:t>
      </w:r>
    </w:p>
    <w:p w14:paraId="2732D679" w14:textId="77777777" w:rsidR="000E133F" w:rsidRDefault="00EC5ECA">
      <w:pPr>
        <w:pStyle w:val="Heading3"/>
      </w:pPr>
      <w:bookmarkStart w:id="164" w:name="_Toc232765391"/>
      <w:r>
        <w:t>16.3 The Lord's Supper: The Orthodox Real Presence Critiqued</w:t>
      </w:r>
      <w:bookmarkEnd w:id="164"/>
    </w:p>
    <w:p w14:paraId="645AB466" w14:textId="77777777" w:rsidR="000E133F" w:rsidRDefault="00EC5ECA">
      <w:pPr>
        <w:spacing w:before="60" w:after="140" w:line="360" w:lineRule="auto"/>
      </w:pPr>
      <w:r>
        <w:t xml:space="preserve">The Orthodox doctrine of the Eucharist is a central and non-negotiable element of Orthodox theology and worship. The Divine Liturgy—specifically the Liturgy of St. John Chrysostom, which is the regular Sunday form, and the Liturgy of St. Basil the Great, used on certain occasions—centers on the eucharistic offering as the participation of the local church in the heavenly and timeless liturgy. In the Eucharist, the bread and wine are truly transformed into the body and blood of Christ through the epiclesis, </w:t>
      </w:r>
      <w:r>
        <w:t>the invocation of the Holy Spirit over the gifts. This transformation is distinguished from Roman Catholic transubstantiation primarily by the rejection of the Aristotelian substance-accident framework rather than by denial of real transformation. The Orthodox insist that the bread and wine become the body and blood of Christ while refusing to specify the philosophical mechanics of the change.</w:t>
      </w:r>
    </w:p>
    <w:p w14:paraId="06C7A219" w14:textId="77777777" w:rsidR="000E133F" w:rsidRDefault="00EC5ECA">
      <w:pPr>
        <w:spacing w:before="60" w:after="140" w:line="360" w:lineRule="auto"/>
      </w:pPr>
      <w:r>
        <w:t xml:space="preserve">The Eucharist is also understood in Orthodox theology as a sacrifice—not a repetition of Calvary, but a participation in the one eternal sacrifice of Christ. The liturgy presents </w:t>
      </w:r>
      <w:r>
        <w:lastRenderedPageBreak/>
        <w:t>Christ's sacrifice to the Father in a manner that is understood as real sacrificial offering, though participatory rather than repeated. The church's eucharistic action is thus both sacrifice and communion, both offering and reception.</w:t>
      </w:r>
    </w:p>
    <w:p w14:paraId="33A241EB" w14:textId="77777777" w:rsidR="000E133F" w:rsidRDefault="00EC5ECA">
      <w:pPr>
        <w:spacing w:before="60" w:after="140" w:line="360" w:lineRule="auto"/>
      </w:pPr>
      <w:r>
        <w:t>The Reformed and Baptist critique focuses on two interconnected claims: the bodily, local presence of Christ in the elements, and the propitiatory sacrificial character of the eucharistic action.</w:t>
      </w:r>
    </w:p>
    <w:p w14:paraId="72C7ADFC" w14:textId="77777777" w:rsidR="000E133F" w:rsidRDefault="00EC5ECA">
      <w:pPr>
        <w:spacing w:before="60" w:after="140" w:line="360" w:lineRule="auto"/>
      </w:pPr>
      <w:r>
        <w:t>Regarding the mode of Christ's presence, the key Christological issue is the ascension. Christ's glorified human body was raised, ascended to the right hand of the Father, and is there. Hebrews repeatedly locates the exalted Christ at the Father's right hand: "when Christ had offered for all time a single sacrifice for sins, he sat down at the right hand of God" (10:12). The exaltation of Christ's human body does not abolish its bodily character; it glorifies it. But a glorified body, however transformed, i</w:t>
      </w:r>
      <w:r>
        <w:t>s not ubiquitous. It is located. To say that Christ's body is simultaneously in the eucharistic elements of every celebration everywhere simultaneously is to multiply the body in ways that compromise the integrity of the genuine humanity of the glorified Christ.</w:t>
      </w:r>
    </w:p>
    <w:p w14:paraId="716A7FAD" w14:textId="77777777" w:rsidR="000E133F" w:rsidRDefault="00EC5ECA">
      <w:pPr>
        <w:spacing w:before="60" w:after="140" w:line="360" w:lineRule="auto"/>
      </w:pPr>
      <w:r>
        <w:t>Calvin's solution, as noted in the prior research, is the doctrine of spiritual presence and sursum corda—the heart lifted up. Christ truly gives Himself in the Supper. Believers truly receive His body and blood. But the mode is spiritual, by faith, through the Holy Spirit's elevating action. The Spirit does not bring Christ's body down into the bread; He lifts the believer's faith and spirit up to where Christ's body is. This preserves both the reality of eucharistic communion and the integrity of Christ's</w:t>
      </w:r>
      <w:r>
        <w:t xml:space="preserve"> ascended humanity.</w:t>
      </w:r>
    </w:p>
    <w:p w14:paraId="1DB0F5AD" w14:textId="77777777" w:rsidR="000E133F" w:rsidRDefault="00EC5ECA">
      <w:pPr>
        <w:spacing w:before="60" w:after="140" w:line="360" w:lineRule="auto"/>
      </w:pPr>
      <w:r>
        <w:t>The Baptist confession speaks more carefully of a memorial and spiritual nourishment. 2LBC 30.7 is explicit: "The outward elements in this ordinance, duly set apart to the uses ordained by Christ, have such relation to Him crucified as that truly, yet sacramentally only, they are sometimes called by the name of the things they represent… not that the elements are substantially changed or that the body and blood of Christ are bodily or carnally present in, with, or under those elements." The phrase "sacramen</w:t>
      </w:r>
      <w:r>
        <w:t>tally only" indicates genuine sacramental significance without ontological identity. The bread is truly and powerfully the bread of communion with Christ's body, but it is not that body in any material or local sense.</w:t>
      </w:r>
    </w:p>
    <w:p w14:paraId="28CDC1FE" w14:textId="77777777" w:rsidR="000E133F" w:rsidRDefault="00EC5ECA">
      <w:pPr>
        <w:spacing w:before="60" w:after="140" w:line="360" w:lineRule="auto"/>
      </w:pPr>
      <w:r>
        <w:lastRenderedPageBreak/>
        <w:t>The more pressing critique concerns the sacrificial character of the Eucharist. If the Orthodox Eucharist is genuinely sacrificial—if it is a true offering to the Father, even understood as participation in rather than repetition of Christ's sacrifice—then it must be asked what exactly is being offered and what exactly is accomplished. The answer cannot be that sin is propitiated afresh, since the Orthodox agree that Calvary accomplished propitiation definitively. But if sin is already definitively propitia</w:t>
      </w:r>
      <w:r>
        <w:t>ted, what is the sacrificial dimension of the Eucharist achieving beyond commemoration?</w:t>
      </w:r>
    </w:p>
    <w:p w14:paraId="7898066F" w14:textId="77777777" w:rsidR="000E133F" w:rsidRDefault="00EC5ECA">
      <w:pPr>
        <w:spacing w:before="60" w:after="140" w:line="360" w:lineRule="auto"/>
      </w:pPr>
      <w:r>
        <w:t>Hebrews 9:25–26 frames the issue with judicial finality: "Nor was it to offer himself repeatedly, as the high priest enters the holy places every year with blood not his own, for then he would have had to suffer repeatedly since the foundation of the world. But as it is, he has appeared once for all at the end of the ages to put away sin by the sacrifice of himself." The contrast between repeated offerings and the once-for-all offering is absolute. The reason the high priest's annual offering had to be repe</w:t>
      </w:r>
      <w:r>
        <w:t>ated was that it could not accomplish final forgiveness. Christ's offering, being of infinite value, accomplishes final forgiveness once for all. It does not need to be continued, re-presented, or participated in through sacrificial re-enactment.</w:t>
      </w:r>
    </w:p>
    <w:p w14:paraId="7B3BD65E" w14:textId="77777777" w:rsidR="000E133F" w:rsidRDefault="00EC5ECA">
      <w:pPr>
        <w:spacing w:before="60" w:after="140" w:line="360" w:lineRule="auto"/>
      </w:pPr>
      <w:r>
        <w:t>Hebrews 10:18 makes this conclusion explicit: "Where there is forgiveness of these, there is no longer any offering for sin." The existence of genuine forgiveness forecloses the category of ongoing sacrificial offering for sin. The church's eucharistic action can be many things: memorial, proclamation, communion, thanksgiving, covenant renewal, and participation in Christ's benefits. What it cannot be, consistently with Hebrews, is a sacrifice for sin in any proper sense. To call the Eucharist a sacrifice f</w:t>
      </w:r>
      <w:r>
        <w:t>or sin, even in the participatory and non-repetitive sense the Orthodox prefer, risks precisely the confusion Hebrews sets out to prevent. The author of Hebrews has gone to extraordinary lengths to demonstrate the complete sufficiency and unrepeatable finality of Christ's offering, and those lengths are taken because there was temptation among Hebrew Christians to revert to a sacrificial system. That temptation must be firmly resisted.</w:t>
      </w:r>
    </w:p>
    <w:p w14:paraId="419BD2B4" w14:textId="77777777" w:rsidR="000E133F" w:rsidRDefault="00EC5ECA">
      <w:pPr>
        <w:spacing w:before="60" w:after="140" w:line="360" w:lineRule="auto"/>
      </w:pPr>
      <w:r>
        <w:t xml:space="preserve">The 2LBC paragraph 30.2 addresses this directly: "In this ordinance Christ is not offered up to his Father, nor any real sacrifice made at all for remission of sin of the quick or dead, but only a memorial of that one offering up of himself by himself upon the cross, </w:t>
      </w:r>
      <w:r>
        <w:lastRenderedPageBreak/>
        <w:t>once for all, and a spiritual offering of all possible praise unto God for the same." The offering in the Supper is the "spiritual offering of all possible praise"—a doxological and eucharistic response to what Christ accomplished, not a continuation or re-presentation of the atoning action itself. This is the faithful reading of the New Testament's eucharistic teaching.</w:t>
      </w:r>
    </w:p>
    <w:p w14:paraId="11EF154A" w14:textId="77777777" w:rsidR="000E133F" w:rsidRDefault="00EC5ECA">
      <w:pPr>
        <w:pStyle w:val="Heading3"/>
      </w:pPr>
      <w:bookmarkStart w:id="165" w:name="_Toc232765392"/>
      <w:r>
        <w:t>16.4 Critique of the Five Additional Orthodox Mysteries</w:t>
      </w:r>
      <w:bookmarkEnd w:id="165"/>
    </w:p>
    <w:p w14:paraId="1C107FD1" w14:textId="77777777" w:rsidR="000E133F" w:rsidRDefault="00EC5ECA">
      <w:pPr>
        <w:spacing w:before="60" w:after="140" w:line="360" w:lineRule="auto"/>
      </w:pPr>
      <w:r>
        <w:t>The five additional holy mysteries of Eastern Orthodoxy—chrismation, holy orders, matrimony, holy unction, and holy confession—each have some basis in the New Testament practices of the early church, but none can claim the explicit dominical institution that the 2LBC requires for the status of a continuing ordinance of the new covenant community. The critique of each must be specific.</w:t>
      </w:r>
    </w:p>
    <w:p w14:paraId="400436CA" w14:textId="77777777" w:rsidR="000E133F" w:rsidRDefault="00EC5ECA">
      <w:pPr>
        <w:spacing w:before="60" w:after="140" w:line="360" w:lineRule="auto"/>
      </w:pPr>
      <w:r>
        <w:t>Chrismation in Orthodox practice is a sacrament distinct from baptism, administered immediately after immersion and conveying the gift of the Holy Spirit through anointing with consecrated chrism. The theological claim is that the Holy Spirit is sacramentally given in this specific rite, analogous to Confirmation in Western sacramental traditions. The primary biblical supports are the distinction in Acts 8 between baptism and the subsequent reception of the Spirit through apostolic laying-on-of-hands, and A</w:t>
      </w:r>
      <w:r>
        <w:t>cts 19, where certain disciples at Ephesus were baptized with John's baptism but had not received the Holy Spirit.</w:t>
      </w:r>
    </w:p>
    <w:p w14:paraId="7CB6B042" w14:textId="77777777" w:rsidR="000E133F" w:rsidRDefault="00EC5ECA">
      <w:pPr>
        <w:spacing w:before="60" w:after="140" w:line="360" w:lineRule="auto"/>
      </w:pPr>
      <w:r>
        <w:t xml:space="preserve">But these passages, carefully read, resist the construction placed upon them. Acts 8 presents the Samaritan mission in its specific redemptive-historical context. Samaria was a community that had historically been in schism from Jerusalem. For the Spirit to be withheld until the Jerusalem apostles personally came and laid hands on the Samaritans was a specific divine act ensuring the unity of the emerging community across the historic Samaritan-Jewish divide. It was a one-time ratification of the extension </w:t>
      </w:r>
      <w:r>
        <w:t xml:space="preserve">of Pentecost into a new community, not a normative pattern for a permanent sacrament. Acts 19 similarly involves men who had received only John's baptism, not Christian baptism. When Paul explains the gospel and they are baptized into Christ, the Spirit comes upon them. The passage describes the difference between an obsolete </w:t>
      </w:r>
      <w:r>
        <w:lastRenderedPageBreak/>
        <w:t>preparatory rite and genuine Christian initiation, not a two-stage sacramental system of baptism followed by chrismation.</w:t>
      </w:r>
    </w:p>
    <w:p w14:paraId="0794BBC2" w14:textId="77777777" w:rsidR="000E133F" w:rsidRDefault="00EC5ECA">
      <w:pPr>
        <w:spacing w:before="60" w:after="140" w:line="360" w:lineRule="auto"/>
      </w:pPr>
      <w:r>
        <w:t xml:space="preserve">Furthermore, Paul's statement in Romans 8:9—"Anyone who does not have the Spirit of Christ does not belong to him"—establishes that possession of the Spirit is coextensive with belonging to Christ. There is no class of genuinely Christian believers who have been validly baptized but do not possess the Spirit. If chrismation is the sacrament through which the Spirit is given, then every unbaptized or un-chrismated person does not belong to Christ, which cannot be squared with the broad Reformed and biblical </w:t>
      </w:r>
      <w:r>
        <w:t>evidence that genuine faith is the fruit of the Spirit's regenerating work and implies His indwelling.</w:t>
      </w:r>
    </w:p>
    <w:p w14:paraId="6FF3A49E" w14:textId="77777777" w:rsidR="000E133F" w:rsidRDefault="00EC5ECA">
      <w:pPr>
        <w:spacing w:before="60" w:after="140" w:line="360" w:lineRule="auto"/>
      </w:pPr>
      <w:r>
        <w:t>Holy Orders as a sacrament claims to confer not merely a recognized office but an indelible ontological change, specifically a sacerdotal character that marks the ordained person as distinct in being from the non-ordained. The priest is constituted a mediator between the community and God in a way that the non-ordained are not. The Reformed critique attacks both the sacerdotal character of the claim and the elevation of ordination to sacramental status.</w:t>
      </w:r>
    </w:p>
    <w:p w14:paraId="70FF2281" w14:textId="77777777" w:rsidR="000E133F" w:rsidRDefault="00EC5ECA">
      <w:pPr>
        <w:spacing w:before="60" w:after="140" w:line="360" w:lineRule="auto"/>
      </w:pPr>
      <w:r>
        <w:t>The New Testament presents elders, overseers, and deacons as men of recognized spiritual quality, appointed by congregational discernment and prayer with the laying on of hands. First Timothy 3 and Titus 1 set out the qualifications for these offices, all of which are matters of character, doctrine, and household management. The office is constituted by recognized gifting, sound doctrine, and blameless life. There is no suggestion that ordination confers an indelible sacerdotal ontological status. Ministers</w:t>
      </w:r>
      <w:r>
        <w:t xml:space="preserve"> are servants of the Word, undershepherds of the Great Shepherd, stewards of the mysteries of God. Their authority is entirely derivative from the Word they serve and the congregation they shepherd.</w:t>
      </w:r>
    </w:p>
    <w:p w14:paraId="06DB984B" w14:textId="77777777" w:rsidR="000E133F" w:rsidRDefault="00EC5ECA">
      <w:pPr>
        <w:spacing w:before="60" w:after="140" w:line="360" w:lineRule="auto"/>
      </w:pPr>
      <w:r>
        <w:t xml:space="preserve">The Reformed rejection of holy orders as a sacrament is not a rejection of ordered ministry. The 2LBC presents and regulates church officers. But it insists that ordination is the church's recognition of what God has already done in the person rather than the mechanism by which God does it. The Spirit gives gifts. The community recognizes and </w:t>
      </w:r>
      <w:r>
        <w:lastRenderedPageBreak/>
        <w:t>commissions. The ordination is formal, solemn, and significant, but it is not a sacrament that confers grace or creates a new class of being.</w:t>
      </w:r>
    </w:p>
    <w:p w14:paraId="316E183D" w14:textId="77777777" w:rsidR="000E133F" w:rsidRDefault="00EC5ECA">
      <w:pPr>
        <w:spacing w:before="60" w:after="140" w:line="360" w:lineRule="auto"/>
      </w:pPr>
      <w:r>
        <w:t xml:space="preserve">Holy Matrimony as a sacrament rests heavily on Ephesians 5:32, where Paul writes, "This mystery is profound, and I am saying that it refers to Christ and the church." The argument is that Paul's word </w:t>
      </w:r>
      <w:r>
        <w:rPr>
          <w:i/>
          <w:iCs/>
        </w:rPr>
        <w:t>mystērion</w:t>
      </w:r>
      <w:r>
        <w:t xml:space="preserve"> in Ephesians 5 establishes marriage as a sacramental channel of grace. But this reading mistakes the meaning of the passage. Paul cites Genesis 2:24 in verse 31 and then in verse 32 declares that the profound mystery he is pointing to is the typological signification of marriage—that it represents the union of Christ and the church. The mystery is not that marriage is itself a sacrament in the grace-conveying sense; the mystery is the theological meaning that marriage encodes. The institution of m</w:t>
      </w:r>
      <w:r>
        <w:t>arriage points beyond itself to the covenant relationship between Christ and His bride.</w:t>
      </w:r>
    </w:p>
    <w:p w14:paraId="67A4AF54" w14:textId="77777777" w:rsidR="000E133F" w:rsidRDefault="00EC5ECA">
      <w:pPr>
        <w:spacing w:before="60" w:after="140" w:line="360" w:lineRule="auto"/>
      </w:pPr>
      <w:r>
        <w:t>Marriage is beautiful, holy, and divinely ordained as a creation institution. It is not a new covenant ordinance in the sense of baptism and the Supper. It predates both the old covenant and the new. Its significance lies in the creation order, not in the economy of redemptive grace as a means of grace. To elevate it to sacramental status is to conflate creation order with redemptive ordinance.</w:t>
      </w:r>
    </w:p>
    <w:p w14:paraId="33E71B2F" w14:textId="77777777" w:rsidR="000E133F" w:rsidRDefault="00EC5ECA">
      <w:pPr>
        <w:spacing w:before="60" w:after="140" w:line="360" w:lineRule="auto"/>
      </w:pPr>
      <w:r>
        <w:t>Holy Unction as a sacrament reads James 5:14–15 as the institution of a sacramental rite for the sick: "Is anyone among you sick? Let him call for the elders of the church, and let them pray over him, anointing him with oil in the name of the Lord. And the prayer of faith will save the one who is sick, and the Lord will raise him up. And if he has committed sins, he will be forgiven." This passage does speak of anointing by elders for healing, but it does not establish a formal sacrament any more than praye</w:t>
      </w:r>
      <w:r>
        <w:t>r for healing in any other context establishes a sacrament. The emphasis falls firmly on prayer, not on the oil as an instrument of grace. Verse 16 continues: "Therefore, confess your sins to one another and pray for one another, that you may be healed. The prayer of a righteous person has great power as it is working." The power at work in the passage is the power of fervent prayer offered in faith, not the sacramental efficacy of a consecrated oil.</w:t>
      </w:r>
    </w:p>
    <w:p w14:paraId="440AA29B" w14:textId="77777777" w:rsidR="000E133F" w:rsidRDefault="00EC5ECA">
      <w:pPr>
        <w:spacing w:before="60" w:after="140" w:line="360" w:lineRule="auto"/>
      </w:pPr>
      <w:r>
        <w:t xml:space="preserve">Oil in the first century had practical medicinal significance, as Luke 10:34 shows when the Good Samaritan pours oil and wine on the wounded traveler's wounds, and Mark </w:t>
      </w:r>
      <w:r>
        <w:lastRenderedPageBreak/>
        <w:t>6:13 shows when the disciples heal by anointing with oil. The oil in James 5 may simply be the combination of practical care and spiritual prayer, not a sacramental rite in the formal theological sense. To systematize this passage into a required sacrament of unction is to exceed what the text authorizes.</w:t>
      </w:r>
    </w:p>
    <w:p w14:paraId="670CE78D" w14:textId="77777777" w:rsidR="000E133F" w:rsidRDefault="00EC5ECA">
      <w:pPr>
        <w:spacing w:before="60" w:after="140" w:line="360" w:lineRule="auto"/>
      </w:pPr>
      <w:r>
        <w:t>Holy Confession as a sacrament requiring priestly absolution for forgiveness of post-baptismal sins rests on a misreading of the New Testament's teaching about confession and forgiveness. First John 1:9 states clearly: "If we confess our sins, he is faithful and just to forgive us our sins and to cleanse us from all unrighteousness." The confession here is directed to God. The forgiveness is God's action. There is no priestly intermediary.</w:t>
      </w:r>
    </w:p>
    <w:p w14:paraId="751C04DB" w14:textId="77777777" w:rsidR="000E133F" w:rsidRDefault="00EC5ECA">
      <w:pPr>
        <w:spacing w:before="60" w:after="140" w:line="360" w:lineRule="auto"/>
      </w:pPr>
      <w:r>
        <w:t>James 5:16 does speak of confessing sins to one another, but in the context of mutual prayer and community accountability, not of a formal sacramental auricular confession to a priest who pronounces absolution. The Reformed tradition warmly commends honest confession between believers, accountability in community, and the pastoral counsel of wise ministers. It denies only that this involves the sacramental necessity of auricular confession to an ordained priest as a condition of forgiveness.</w:t>
      </w:r>
    </w:p>
    <w:p w14:paraId="4EF33055" w14:textId="77777777" w:rsidR="000E133F" w:rsidRDefault="00EC5ECA">
      <w:pPr>
        <w:spacing w:before="60" w:after="140" w:line="360" w:lineRule="auto"/>
      </w:pPr>
      <w:r>
        <w:t xml:space="preserve">Matthew 18:18 and John 20:23, which speak of binding and loosing and of forgiving and retaining sins, are often cited for ministerial absolution. But both texts, in context, refer to the church's disciplinary and declaratory function: when the church, properly constituted, declares someone forgiven on the basis of repentance and faith, it is making a declarative proclamation that corresponds to heavenly reality. It is not constituting forgiveness by priestly action. The minister declares what God has done; </w:t>
      </w:r>
      <w:r>
        <w:t>he does not effect it sacramentally.</w:t>
      </w:r>
    </w:p>
    <w:p w14:paraId="62920092" w14:textId="77777777" w:rsidR="000E133F" w:rsidRDefault="00EC5ECA">
      <w:pPr>
        <w:spacing w:before="60" w:after="140" w:line="360" w:lineRule="auto"/>
      </w:pPr>
      <w:r>
        <w:t>The consistent pattern across all five additional mysteries is the same. They involve real aspects of Christian life, churchly practice, and scriptural teaching. But each has been elevated beyond its biblical ground into the category of a sacramental mystery that conveys grace through the proper performance of the rite by validly ordained clergy. The Baptist and Reformed tradition denies this elevation, not out of contempt for these practices but out of fidelity to the principle that Christ alone is the chu</w:t>
      </w:r>
      <w:r>
        <w:t>rch's lawgiver and that only His explicit institution can bind the conscience with sacramental obligation.</w:t>
      </w:r>
    </w:p>
    <w:p w14:paraId="162CDD20" w14:textId="77777777" w:rsidR="000E133F" w:rsidRDefault="00EC5ECA">
      <w:pPr>
        <w:pStyle w:val="Heading2"/>
      </w:pPr>
      <w:bookmarkStart w:id="166" w:name="_Toc232765393"/>
      <w:r>
        <w:lastRenderedPageBreak/>
        <w:t>CHAPTER 17: MARIOLOGY — THEOTOKOS, VENERATION, AND THE SOLE MEDIATION OF CHRIST</w:t>
      </w:r>
      <w:bookmarkEnd w:id="166"/>
    </w:p>
    <w:p w14:paraId="522BC04F" w14:textId="77777777" w:rsidR="000E133F" w:rsidRDefault="00EC5ECA">
      <w:pPr>
        <w:pStyle w:val="Heading3"/>
      </w:pPr>
      <w:bookmarkStart w:id="167" w:name="_Toc232765394"/>
      <w:r>
        <w:t>17.1 What the Reformed Tradition Affirms About Mary</w:t>
      </w:r>
      <w:bookmarkEnd w:id="167"/>
    </w:p>
    <w:p w14:paraId="737D6C90" w14:textId="77777777" w:rsidR="000E133F" w:rsidRDefault="00EC5ECA">
      <w:pPr>
        <w:spacing w:before="60" w:after="140" w:line="360" w:lineRule="auto"/>
      </w:pPr>
      <w:r>
        <w:t>The charge that the Protestant Reformation holds Mary in contempt is a caricature. The Reformers themselves, including Luther, Calvin, and the authors of the Reformed confessions, consistently expressed honor for the Virgin Mary as the blessed mother of our Lord, the vessel through whom God became incarnate, and a model of faith, obedience, and humble trust in the divine word. That honor must be stated clearly at the outset of this chapter, because the Reformed critique of Mariology is a critique of theolog</w:t>
      </w:r>
      <w:r>
        <w:t>ical superstructure, not of Mary herself.</w:t>
      </w:r>
    </w:p>
    <w:p w14:paraId="2DBAD6A9" w14:textId="77777777" w:rsidR="000E133F" w:rsidRDefault="00EC5ECA">
      <w:pPr>
        <w:spacing w:before="60" w:after="140" w:line="360" w:lineRule="auto"/>
      </w:pPr>
      <w:r>
        <w:t xml:space="preserve">Scripture itself commands honor. The angel Gabriel's greeting to Mary—"Greetings, O favored one, the Lord is with you!"—is a divinely authorized expression of Mary's unique place in redemptive history. Elizabeth's Spirit-inspired declaration in Luke 1:42 is equally unmistakable: "Blessed are you among women, and blessed is the fruit of your womb!" And Mary's own prophetic word, prompted by the Spirit, establishes her honored place for the entire subsequent church: "My soul magnifies the Lord, and my spirit </w:t>
      </w:r>
      <w:r>
        <w:t>rejoices in God my Savior, for he has looked on the humble estate of his servant. For behold, from now on all generations will call me blessed; for he who is mighty has done great things for me, and holy is his name." The Magnificat itself is Scripture. To call Mary blessed is not Marian excess but biblical faithfulness.</w:t>
      </w:r>
    </w:p>
    <w:p w14:paraId="73C9DF18" w14:textId="77777777" w:rsidR="000E133F" w:rsidRDefault="00EC5ECA">
      <w:pPr>
        <w:spacing w:before="60" w:after="140" w:line="360" w:lineRule="auto"/>
      </w:pPr>
      <w:r>
        <w:t>What is objectionable is not honor paid to Mary but the theological edifice erected upon her blessedness. That edifice includes: perpetual virginity as a doctrine binding on the church; her unique sinlessness and all-holiness (</w:t>
      </w:r>
      <w:r>
        <w:rPr>
          <w:i/>
          <w:iCs/>
        </w:rPr>
        <w:t>panagia</w:t>
      </w:r>
      <w:r>
        <w:t>); her role as permanent heavenly Queen and advocate; her function as intercessor for the church before Christ or the Father; and the devotional practice of liturgical address to her alongside the persons of the Trinity. None of these developments are biblical, and several directly contradict the New Testament's clear teaching about the sole mediation of Christ.</w:t>
      </w:r>
    </w:p>
    <w:p w14:paraId="2280836C" w14:textId="77777777" w:rsidR="000E133F" w:rsidRDefault="00EC5ECA">
      <w:pPr>
        <w:spacing w:before="60" w:after="140" w:line="360" w:lineRule="auto"/>
      </w:pPr>
      <w:r>
        <w:t xml:space="preserve">The proper boundary is established by Mary's own final recorded words in the Gospels of John. At Cana, after requesting Jesus's intervention, she says to the servants: "Do whatever he tells you." That instruction is not only practical but theological. It redirects. </w:t>
      </w:r>
      <w:r>
        <w:lastRenderedPageBreak/>
        <w:t>Mary does not point to herself as the locus of power or the channel of access. She points to Christ. The Reformed tradition simply takes her at her final word.</w:t>
      </w:r>
    </w:p>
    <w:p w14:paraId="373E88B2" w14:textId="77777777" w:rsidR="000E133F" w:rsidRDefault="00EC5ECA">
      <w:pPr>
        <w:pStyle w:val="Heading3"/>
      </w:pPr>
      <w:bookmarkStart w:id="168" w:name="_Toc232765395"/>
      <w:r>
        <w:t>17.2 The Theotokos Title: Legitimate Christology, Problematic Expansion</w:t>
      </w:r>
      <w:bookmarkEnd w:id="168"/>
    </w:p>
    <w:p w14:paraId="750EF2EC" w14:textId="77777777" w:rsidR="000E133F" w:rsidRDefault="00EC5ECA">
      <w:pPr>
        <w:spacing w:before="60" w:after="140" w:line="360" w:lineRule="auto"/>
      </w:pPr>
      <w:r>
        <w:t xml:space="preserve">The Council of Ephesus in 431 was convened in response to Nestorius, whose formulation of Christ's natures seemed to imply a division within the person of Christ such that the divine Word and the human Jesus were two distinct subjects rather than one undivided person. Nestorius preferred the title </w:t>
      </w:r>
      <w:r>
        <w:rPr>
          <w:i/>
          <w:iCs/>
        </w:rPr>
        <w:t>Christotokos</w:t>
      </w:r>
      <w:r>
        <w:t xml:space="preserve">—"Christ-bearer"—for Mary, which he considered more precise than </w:t>
      </w:r>
      <w:r>
        <w:rPr>
          <w:i/>
          <w:iCs/>
        </w:rPr>
        <w:t>Theotokos</w:t>
      </w:r>
      <w:r>
        <w:t>—"God-bearer." Cyril of Alexandria's opposition was grounded in Christological conviction: because the one born of Mary is not a human person later joined to the divine Word but the eternal Son of God who genuinely became flesh, Mary is rightly called the one who bore God in the flesh.</w:t>
      </w:r>
    </w:p>
    <w:p w14:paraId="598A34E7" w14:textId="77777777" w:rsidR="000E133F" w:rsidRDefault="00EC5ECA">
      <w:pPr>
        <w:spacing w:before="60" w:after="140" w:line="360" w:lineRule="auto"/>
      </w:pPr>
      <w:r>
        <w:t xml:space="preserve">The Reformed tradition accepts this Christological argument. Second London Baptist Confession chapter 8, paragraph 2 articulates the orthodox Christology: "The Son of God, the second person in the Holy Trinity, being very and eternal God, the brightness of the Father's glory, of one substance and equal with him who made the world, who upholdeth and governeth all things he hath made, did, when the fullness of time was come, take upon him man's nature, with all the essential properties and common infirmities </w:t>
      </w:r>
      <w:r>
        <w:t>thereof, yet without sin; being conceived by the Holy Spirit in the womb of the Virgin Mary, the Holy Spirit coming down upon her, and the power of the Highest overshadowing her, and so was made of a woman, of the tribe of Judah, of the seed of Abraham and David according to the Scriptures."</w:t>
      </w:r>
    </w:p>
    <w:p w14:paraId="261C74C9" w14:textId="77777777" w:rsidR="000E133F" w:rsidRDefault="00EC5ECA">
      <w:pPr>
        <w:spacing w:before="60" w:after="140" w:line="360" w:lineRule="auto"/>
      </w:pPr>
      <w:r>
        <w:t>The child born of Mary is the eternal Son. Therefore to call Mary the mother of God—in the precise sense that she bore the one who is God incarnate—is not to make an extravagant Mariological claim but to affirm Chalcedonian Christology. There is only one person in Christ. That person is the divine Son. Therefore His mother is rightly called, in that carefully qualified sense, the Mother of God.</w:t>
      </w:r>
    </w:p>
    <w:p w14:paraId="2CB907F4" w14:textId="77777777" w:rsidR="000E133F" w:rsidRDefault="00EC5ECA">
      <w:pPr>
        <w:spacing w:before="60" w:after="140" w:line="360" w:lineRule="auto"/>
      </w:pPr>
      <w:r>
        <w:t xml:space="preserve">The Reformed qualification, however, is immediate. The title </w:t>
      </w:r>
      <w:r>
        <w:rPr>
          <w:i/>
          <w:iCs/>
        </w:rPr>
        <w:t>Theotokos</w:t>
      </w:r>
      <w:r>
        <w:t xml:space="preserve"> was intended by Ephesus as a Christological precision, not as a Mariological promotion. It says </w:t>
      </w:r>
      <w:r>
        <w:lastRenderedPageBreak/>
        <w:t>something definitive about who the child was, not about what ongoing heavenly role the mother now plays. The error occurs when the title is taken as the seed of a broader devotional and theological Mariology in which Mary's status as God-bearer becomes the ground of her permanent queenly authority, her special access, and her role as the church's advocate and intercessor.</w:t>
      </w:r>
    </w:p>
    <w:p w14:paraId="5172F9AD" w14:textId="77777777" w:rsidR="000E133F" w:rsidRDefault="00EC5ECA">
      <w:pPr>
        <w:spacing w:before="60" w:after="140" w:line="360" w:lineRule="auto"/>
      </w:pPr>
      <w:r>
        <w:t>This expansion of the title beyond its Christological function can be traced historically through the Patristic period and into the Byzantine and medieval church. In some of the most important theological figures of the East, including John of Damascus, Mary is described in terms that go far beyond what the Christological purpose of Ephesus required: she is all-holy, ever-virgin, full of grace in a unique and incomparable way, the specific refuge of sinners, and the one whose intercession is uniquely powerf</w:t>
      </w:r>
      <w:r>
        <w:t>ul because of her maternal relationship to Christ.</w:t>
      </w:r>
    </w:p>
    <w:p w14:paraId="42E13A1D" w14:textId="77777777" w:rsidR="000E133F" w:rsidRDefault="00EC5ECA">
      <w:pPr>
        <w:spacing w:before="60" w:after="140" w:line="360" w:lineRule="auto"/>
      </w:pPr>
      <w:r>
        <w:t xml:space="preserve">The Reformed principle cuts through this development with exegetical simplicity: </w:t>
      </w:r>
      <w:r>
        <w:rPr>
          <w:i/>
          <w:iCs/>
        </w:rPr>
        <w:t>Theotokos</w:t>
      </w:r>
      <w:r>
        <w:t xml:space="preserve"> establishes who Christ is. It does not establish what Mary now does for the church. Whatever follows from the title for Christ's person is binding on the orthodox conscience. What follows for Mary's heavenly role is a matter of theological inference, and theological inference from a Christological title to a Mariological office requires specific biblical warrant. That warrant is not present in the New Testament.</w:t>
      </w:r>
    </w:p>
    <w:p w14:paraId="557F4353" w14:textId="77777777" w:rsidR="000E133F" w:rsidRDefault="00EC5ECA">
      <w:pPr>
        <w:spacing w:before="60" w:after="140" w:line="360" w:lineRule="auto"/>
      </w:pPr>
      <w:r>
        <w:t>Luke 11:27–28 is especially illuminating. When a woman cries out from the crowd, "Blessed is the womb that bore you, and the breasts at which you nursed!" Jesus replies, "Blessed rather are those who hear the word of God and keep it." He does not deny the blessedness of His mother's unique role. He relativizes biological privilege in favor of covenantal faithfulness. The beatitude of hearing and keeping God's word is greater than the beatitude of physical nearness to Jesus. This saying directly prevents the</w:t>
      </w:r>
      <w:r>
        <w:t xml:space="preserve"> extrapolation from Mary's historical role as mother to any claim of distinctive heavenly privilege based on that biological relationship.</w:t>
      </w:r>
    </w:p>
    <w:p w14:paraId="0E46AA5C" w14:textId="77777777" w:rsidR="000E133F" w:rsidRDefault="00EC5ECA">
      <w:pPr>
        <w:spacing w:before="60" w:after="140" w:line="360" w:lineRule="auto"/>
      </w:pPr>
      <w:r>
        <w:t xml:space="preserve">Similarly, when in Mark 3:33–35, Jesus is told that His mother and brothers are outside seeking Him, He replies, "Who are my mother and my brothers? Whoever does the will of God, he is my brother and sister and mother." Again, He does not dishonor His earthly family. But He locates true familial privilege in covenantal obedience rather than </w:t>
      </w:r>
      <w:r>
        <w:lastRenderedPageBreak/>
        <w:t>biological relation. The implication for Marian theology is profound: Mary's true greatness, in Jesus's own teaching, lies in her faith and obedience, not in her biological maternity as such.</w:t>
      </w:r>
    </w:p>
    <w:p w14:paraId="480251C8" w14:textId="77777777" w:rsidR="000E133F" w:rsidRDefault="00EC5ECA">
      <w:pPr>
        <w:spacing w:before="60" w:after="140" w:line="360" w:lineRule="auto"/>
      </w:pPr>
      <w:r>
        <w:t xml:space="preserve">Therefore the Reformed position is: accept </w:t>
      </w:r>
      <w:r>
        <w:rPr>
          <w:i/>
          <w:iCs/>
        </w:rPr>
        <w:t>Theotokos</w:t>
      </w:r>
      <w:r>
        <w:t xml:space="preserve"> fully as a Christological safeguard; reject the Mariological superstructure built upon it as a theological extension without biblical warrant.</w:t>
      </w:r>
    </w:p>
    <w:p w14:paraId="1C082EA4" w14:textId="77777777" w:rsidR="000E133F" w:rsidRDefault="00EC5ECA">
      <w:pPr>
        <w:pStyle w:val="Heading3"/>
      </w:pPr>
      <w:bookmarkStart w:id="169" w:name="_Toc232765396"/>
      <w:r>
        <w:t>17.3 Perpetual Virginity Examined and Refuted</w:t>
      </w:r>
      <w:bookmarkEnd w:id="169"/>
    </w:p>
    <w:p w14:paraId="00F1F9E9" w14:textId="77777777" w:rsidR="000E133F" w:rsidRDefault="00EC5ECA">
      <w:pPr>
        <w:spacing w:before="60" w:after="140" w:line="360" w:lineRule="auto"/>
      </w:pPr>
      <w:r>
        <w:t>The doctrine of Mary's perpetual virginity holds that she was a virgin before, during, and after Christ's birth. The pre-partum virginity—the miraculous conception of Jesus by the Holy Spirit without human father—is biblical and must be affirmed unreservedly. The in partu and post-partum extensions of the doctrine are dependent on later tradition and are directly contradicted by the natural sense of several New Testament texts.</w:t>
      </w:r>
    </w:p>
    <w:p w14:paraId="5E0D1930" w14:textId="77777777" w:rsidR="000E133F" w:rsidRDefault="00EC5ECA">
      <w:pPr>
        <w:spacing w:before="60" w:after="140" w:line="360" w:lineRule="auto"/>
      </w:pPr>
      <w:r>
        <w:t xml:space="preserve">Matthew 1:18–25 is the primary nativity text and provides the foundation for the doctrine of the virgin birth: "Now the birth of Jesus Christ took place in this way. When his mother Mary had been betrothed to Joseph, before they came together she was found to be with child from the Holy Spirit." Verse 25 then states: "but knew her not until she had given birth to a son." The word translated "until" is </w:t>
      </w:r>
      <w:r>
        <w:rPr>
          <w:i/>
          <w:iCs/>
        </w:rPr>
        <w:t>heōs hou</w:t>
      </w:r>
      <w:r>
        <w:t>, a standard Greek construction that typically implies a change in the situation at the point specified. The most natural Greek reading is that Joseph's abstention from marital relations lasted until the birth of Jesus and that normal marital relations followed.</w:t>
      </w:r>
    </w:p>
    <w:p w14:paraId="378C3376" w14:textId="77777777" w:rsidR="000E133F" w:rsidRDefault="00EC5ECA">
      <w:pPr>
        <w:spacing w:before="60" w:after="140" w:line="360" w:lineRule="auto"/>
      </w:pPr>
      <w:r>
        <w:t xml:space="preserve">The counter-argument that </w:t>
      </w:r>
      <w:r>
        <w:rPr>
          <w:i/>
          <w:iCs/>
        </w:rPr>
        <w:t>heōs hou</w:t>
      </w:r>
      <w:r>
        <w:t xml:space="preserve"> does not in every instance imply a change is technically correct—there are examples where the construction describes a situation that continues past the stated point, particularly in contexts where the action is permanent or final by its nature (e.g., God sitting at His right hand until His enemies are made a footstool, which does not imply He then stops sitting there). But those are cases where the context makes permanent continuation natural. In Matthew 1:25, the whole context concerns the questi</w:t>
      </w:r>
      <w:r>
        <w:t xml:space="preserve">on of whether Joseph and Mary had marital relations before or after the birth of Jesus. Matthew's purpose is to establish the virginal conception, not to assert perpetual virginity. Having established the virginity that matters—the absence of marital relations before the conception—the natural sense is that normal marriage </w:t>
      </w:r>
      <w:r>
        <w:lastRenderedPageBreak/>
        <w:t>proceeded after the birth. The perpetual virginity reading requires imposing a tradition-derived conclusion onto a text that, read in isolation, does not require it.</w:t>
      </w:r>
    </w:p>
    <w:p w14:paraId="189EFFD3" w14:textId="77777777" w:rsidR="000E133F" w:rsidRDefault="00EC5ECA">
      <w:pPr>
        <w:spacing w:before="60" w:after="140" w:line="360" w:lineRule="auto"/>
      </w:pPr>
      <w:r>
        <w:t>The second line of evidence is the reference to Jesus's brothers and sisters. Matthew 12:46–47 records: "While he was still speaking to the people, behold, his mother and his brothers stood outside, asking to speak to him." Mark 6:3 names the brothers: "Is not this the carpenter, the son of Mary and brother of James and Joses and Judas and Simon? And are not his sisters here with us?" Several named brothers and unnamed sisters are spoken of as known members of the community. The Greek word used for brothers</w:t>
      </w:r>
      <w:r>
        <w:t xml:space="preserve"> is </w:t>
      </w:r>
      <w:r>
        <w:rPr>
          <w:i/>
          <w:iCs/>
        </w:rPr>
        <w:t>adelphos</w:t>
      </w:r>
      <w:r>
        <w:t xml:space="preserve">, the standard word for sibling. It is not </w:t>
      </w:r>
      <w:r>
        <w:rPr>
          <w:i/>
          <w:iCs/>
        </w:rPr>
        <w:t>anepsios</w:t>
      </w:r>
      <w:r>
        <w:t xml:space="preserve">, which is the word for cousin, nor </w:t>
      </w:r>
      <w:r>
        <w:rPr>
          <w:i/>
          <w:iCs/>
        </w:rPr>
        <w:t>suggenes</w:t>
      </w:r>
      <w:r>
        <w:t>, which is the word for relative or kinsman more broadly. These distinctions matter because Greek had the vocabulary to express the alternative if it had been intended.</w:t>
      </w:r>
    </w:p>
    <w:p w14:paraId="26C8FFD8" w14:textId="77777777" w:rsidR="000E133F" w:rsidRDefault="00EC5ECA">
      <w:pPr>
        <w:spacing w:before="60" w:after="140" w:line="360" w:lineRule="auto"/>
      </w:pPr>
      <w:r>
        <w:t>The traditional counter-arguments are the Epiphanian hypothesis and Jerome's solution. The Epiphanian hypothesis, based on the apocryphal Protoevangelium of James, proposes that Joseph was an elderly widower with children from his first marriage, and that the brothers and sisters of Jesus are His step-siblings through Joseph. This proposal has no biblical warrant. Scripture says nothing about Joseph's previous marriage or advanced age. It requires imposing an extra-biblical narrative onto the text to protec</w:t>
      </w:r>
      <w:r>
        <w:t xml:space="preserve">t the perpetual virginity doctrine. Jerome's solution, preferred in the Western tradition, is that the brothers of Jesus are actually cousins, with the Greek </w:t>
      </w:r>
      <w:r>
        <w:rPr>
          <w:i/>
          <w:iCs/>
        </w:rPr>
        <w:t>adelphos</w:t>
      </w:r>
      <w:r>
        <w:t xml:space="preserve"> used loosely to translate the Hebrew and Aramaic </w:t>
      </w:r>
      <w:r>
        <w:rPr>
          <w:i/>
          <w:iCs/>
        </w:rPr>
        <w:t>ach</w:t>
      </w:r>
      <w:r>
        <w:t xml:space="preserve"> or </w:t>
      </w:r>
      <w:r>
        <w:rPr>
          <w:i/>
          <w:iCs/>
        </w:rPr>
        <w:t>ahi</w:t>
      </w:r>
      <w:r>
        <w:t xml:space="preserve">, which can mean a wider range of kin relations. This argument has some force given the Hebrew semantic range, but it loses much of its force in Greek, where more precise vocabulary for cousin was available and occasionally used (Colossians 4:10 uses </w:t>
      </w:r>
      <w:r>
        <w:rPr>
          <w:i/>
          <w:iCs/>
        </w:rPr>
        <w:t>anepsios</w:t>
      </w:r>
      <w:r>
        <w:t xml:space="preserve"> for Mark as cousin of Barn</w:t>
      </w:r>
      <w:r>
        <w:t>abas, demonstrating that Paul could and did distinguish brother from cousin when precision mattered).</w:t>
      </w:r>
    </w:p>
    <w:p w14:paraId="080BD22C" w14:textId="77777777" w:rsidR="000E133F" w:rsidRDefault="00EC5ECA">
      <w:pPr>
        <w:spacing w:before="60" w:after="140" w:line="360" w:lineRule="auto"/>
      </w:pPr>
      <w:r>
        <w:t xml:space="preserve">Galatians 1:19 is perhaps the most decisive single text: "But I saw none of the other apostles except James the Lord's brother." Paul specifically calls James the Lord's </w:t>
      </w:r>
      <w:r>
        <w:rPr>
          <w:i/>
          <w:iCs/>
        </w:rPr>
        <w:t>adelphos</w:t>
      </w:r>
      <w:r>
        <w:t xml:space="preserve">. If Paul meant to indicate cousin or some other more distant relation, he had </w:t>
      </w:r>
      <w:r>
        <w:rPr>
          <w:i/>
          <w:iCs/>
        </w:rPr>
        <w:t>anepsios</w:t>
      </w:r>
      <w:r>
        <w:t xml:space="preserve"> readily available in his Greek vocabulary, as his own use in Colossians 4:10 </w:t>
      </w:r>
      <w:r>
        <w:lastRenderedPageBreak/>
        <w:t xml:space="preserve">demonstrates. His use of </w:t>
      </w:r>
      <w:r>
        <w:rPr>
          <w:i/>
          <w:iCs/>
        </w:rPr>
        <w:t>adelphos</w:t>
      </w:r>
      <w:r>
        <w:t xml:space="preserve"> for James in a context where precision would seem to matter—he is distinguishing his contact with James from his contact with other apostles—strongly supports the natural sibling relationship.</w:t>
      </w:r>
    </w:p>
    <w:p w14:paraId="488A8726" w14:textId="77777777" w:rsidR="000E133F" w:rsidRDefault="00EC5ECA">
      <w:pPr>
        <w:spacing w:before="60" w:after="140" w:line="360" w:lineRule="auto"/>
      </w:pPr>
      <w:r>
        <w:t>A secondary but important theological consideration is the status of the marriage covenant. The doctrine of perpetual virginity, taken to its logical conclusion, means that Joseph and Mary lived out their marriage in permanent sexual abstinence. Scripture nowhere affirms this, nowhere presents it as a model, and its implications sit in tension with Paul's clear teaching in 1 Corinthians 7:3–5: "The husband should give to his wife her conjugal rights, and likewise the wife to her husband. For the wife does n</w:t>
      </w:r>
      <w:r>
        <w:t>ot have authority over her own body, but the husband does. Likewise the husband does not have authority over his own body, but the wife does. Do not deprive one another, except perhaps by agreement for a limited time, that you may devote yourselves to prayer; but then come together again, so that Satan may not tempt you because of your lack of self-control."</w:t>
      </w:r>
    </w:p>
    <w:p w14:paraId="056F9A3F" w14:textId="77777777" w:rsidR="000E133F" w:rsidRDefault="00EC5ECA">
      <w:pPr>
        <w:spacing w:before="60" w:after="140" w:line="360" w:lineRule="auto"/>
      </w:pPr>
      <w:r>
        <w:t>Paul's instruction is directed to married believers and assumes that ongoing sexual union is a normal and rightful part of marriage. Perpetual abstinence within marriage would require a permanent exception to this principle. The perpetual virginity doctrine implicitly devalues marital sexuality by treating it as incompatible with the highest level of holiness—a gnosticizing tendency that the New Testament elsewhere resists. Hebrews 13:4 says, "Let marriage be held in honor among all, and let the marriage be</w:t>
      </w:r>
      <w:r>
        <w:t>d be undefiled." There is nothing defiling about the sexual relations of a husband and wife within the covenant of marriage. To treat Joseph and Mary's potential marital relations as incompatible with Mary's holy status is to introduce a body-soul dualism that Scripture does not endorse.</w:t>
      </w:r>
    </w:p>
    <w:p w14:paraId="257D0368" w14:textId="77777777" w:rsidR="000E133F" w:rsidRDefault="00EC5ECA">
      <w:pPr>
        <w:spacing w:before="60" w:after="140" w:line="360" w:lineRule="auto"/>
      </w:pPr>
      <w:r>
        <w:t>The conclusion is that the doctrine of perpetual virginity is based on later tradition, contradicts the most natural reading of several New Testament texts, requires the importation of extra-biblical narratives, and rests on a deficient theology of marriage. It must be rejected on the same exegetical grounds that the Reformed tradition applies to all doctrines: does Scripture teach it? The answer is no.</w:t>
      </w:r>
    </w:p>
    <w:p w14:paraId="47F8802D" w14:textId="77777777" w:rsidR="000E133F" w:rsidRDefault="00EC5ECA">
      <w:pPr>
        <w:pStyle w:val="Heading3"/>
      </w:pPr>
      <w:bookmarkStart w:id="170" w:name="_Toc232765397"/>
      <w:r>
        <w:t>17.4 The Veneration of Mary and the Sole Mediation of Christ</w:t>
      </w:r>
      <w:bookmarkEnd w:id="170"/>
    </w:p>
    <w:p w14:paraId="235A1E8F" w14:textId="77777777" w:rsidR="000E133F" w:rsidRDefault="00EC5ECA">
      <w:pPr>
        <w:spacing w:before="60" w:after="140" w:line="360" w:lineRule="auto"/>
      </w:pPr>
      <w:r>
        <w:lastRenderedPageBreak/>
        <w:t>The theological apex of Mariological critique is reached in the question of Mary's mediatorial role in the economy of grace. Here the argument is not merely about historical or exegetical detail but about the very structure of the gospel and the exclusive sufficiency of Christ as the church's access to God. First Timothy 2:5 is the central text: "For there is one God, and there is one mediator between God and men, the man Christ Jesus, who gave himself as a ransom for all, which is the testimony given at th</w:t>
      </w:r>
      <w:r>
        <w:t>e proper time."</w:t>
      </w:r>
    </w:p>
    <w:p w14:paraId="5353101E" w14:textId="77777777" w:rsidR="000E133F" w:rsidRDefault="00EC5ECA">
      <w:pPr>
        <w:spacing w:before="60" w:after="140" w:line="360" w:lineRule="auto"/>
      </w:pPr>
      <w:r>
        <w:t xml:space="preserve">The grammatical and theological force of this verse is exclusive. Paul does not say there is one primary mediator. He does not say there is one mediator of a certain kind with room for supplementary mediators of another kind. He says there is one mediator, period, full stop. The numerical singular, combined with the universal scope of the qualifier "between God and men," leaves no room for intermediate figures who perform some form of mediating function on behalf of human petitioners. The term </w:t>
      </w:r>
      <w:r>
        <w:rPr>
          <w:i/>
          <w:iCs/>
        </w:rPr>
        <w:t>mesitēs</w:t>
      </w:r>
      <w:r>
        <w:t xml:space="preserve"> in Greek means one who stands between two parties to facilitate communication, agreement, or reconciliation. Christ stands between God and humanity as the unique bridge. He is qualified for this role by both His person—He is the God-man—and His work—He gave Himself as a ransom.</w:t>
      </w:r>
    </w:p>
    <w:p w14:paraId="349E2345" w14:textId="77777777" w:rsidR="000E133F" w:rsidRDefault="00EC5ECA">
      <w:pPr>
        <w:spacing w:before="60" w:after="140" w:line="360" w:lineRule="auto"/>
      </w:pPr>
      <w:r>
        <w:t>The Orthodox response is that asking Mary to pray for us is not invoking her as a mediator in the same sense Christ is the mediator. Christ mediates redemption; Mary and the saints merely intercede as glorified believers who pray for those on earth. This distinction between mediation and intercession is theologically significant but ultimately insufficient for the purposes being claimed.</w:t>
      </w:r>
    </w:p>
    <w:p w14:paraId="31BBD5C6" w14:textId="77777777" w:rsidR="000E133F" w:rsidRDefault="00EC5ECA">
      <w:pPr>
        <w:spacing w:before="60" w:after="140" w:line="360" w:lineRule="auto"/>
      </w:pPr>
      <w:r>
        <w:t>First, the distinction between mediation and intercession is less clear in function than in theory. To ask Mary to carry one's prayer to Christ or the Father is to assign to her a mediating function in the chain of petition and response. The channel of grace would then run through an intermediate person rather than directly from the petitioner to God through Christ alone. Whatever one calls this function, it is substantively mediatorial.</w:t>
      </w:r>
    </w:p>
    <w:p w14:paraId="0E04E041" w14:textId="77777777" w:rsidR="000E133F" w:rsidRDefault="00EC5ECA">
      <w:pPr>
        <w:spacing w:before="60" w:after="140" w:line="360" w:lineRule="auto"/>
      </w:pPr>
      <w:r>
        <w:t xml:space="preserve">Second, the text itself does not make the distinction between types of mediation that the Orthodox response requires. First Timothy 2:5 is stated in the most absolute terms. It comes in a context where Paul is discussing the universality of Christian prayer (v. 1–4) </w:t>
      </w:r>
      <w:r>
        <w:lastRenderedPageBreak/>
        <w:t>and the universal scope of Christ's ransom (v. 6). The point is precisely that because God desires all people to be saved and because Christ's ransom covers all humanity, believers are to pray for all people. The mediatorial uniqueness of Christ is the foundation of this universal petitionary scope. The logic is: pray for everyone, because God wills everyone to be saved, because Christ died for all, because He is the one mediator for all. There is no room in this logic for additional mediators standing betw</w:t>
      </w:r>
      <w:r>
        <w:t>een believers and God.</w:t>
      </w:r>
    </w:p>
    <w:p w14:paraId="6C1BD07D" w14:textId="77777777" w:rsidR="000E133F" w:rsidRDefault="00EC5ECA">
      <w:pPr>
        <w:spacing w:before="60" w:after="140" w:line="360" w:lineRule="auto"/>
      </w:pPr>
      <w:r>
        <w:t>Third, the question of Mary's alleged greater access or greater mercy must be pressed. The Orthodox pastoral tradition sometimes presents Mary as more approachable than Christ because of her maternal gentleness and human sympathy, implying that Christ is more severe or more remote. But this is precisely the pastoral distortion against which the Reformed tradition protested and against which the New Testament's language about Christ must be deployed. Hebrews 4:15–16 says: "For we do not have a high priest wh</w:t>
      </w:r>
      <w:r>
        <w:t>o is unable to sympathize with our weaknesses, but one who in every respect has been tempted as we are, yet without sin. Let us therefore with confidence draw near to the throne of grace, that we may receive mercy and find grace to help in time of need." The argument here is precisely that Christ's sympathy, having been tested in the fullness of human temptation and weakness, is the ground of confident approach. He is not remote. He is not severe beyond approach. He understands, He sympathizes, and He gives</w:t>
      </w:r>
      <w:r>
        <w:t xml:space="preserve"> grace freely and generously.</w:t>
      </w:r>
    </w:p>
    <w:p w14:paraId="021A3211" w14:textId="77777777" w:rsidR="000E133F" w:rsidRDefault="00EC5ECA">
      <w:pPr>
        <w:spacing w:before="60" w:after="140" w:line="360" w:lineRule="auto"/>
      </w:pPr>
      <w:r>
        <w:t>Romans 8:34 further establishes Christ's present intercessory role: "Who is to condemn? Christ Jesus is the one who died—more than that, who was raised—who is at the right hand of God, who indeed is interceding for us." The intercession of Christ at the Father's right hand is active, personal, effective, and ongoing. Hebrews 7:25 adds: "Consequently, he is able to save to the uttermost those who draw near to God through him, since he always lives to make intercession for them." Christ always lives to make i</w:t>
      </w:r>
      <w:r>
        <w:t>ntercession. The intercession is unceasing, effective to the uttermost, and available to all who draw near through Him. What need does this leave unfulfilled? What gap in access remains that a saint's intercession must fill? The Reformed answer is: none.</w:t>
      </w:r>
    </w:p>
    <w:p w14:paraId="41FF63F5" w14:textId="77777777" w:rsidR="000E133F" w:rsidRDefault="00EC5ECA">
      <w:pPr>
        <w:spacing w:before="60" w:after="140" w:line="360" w:lineRule="auto"/>
      </w:pPr>
      <w:r>
        <w:t xml:space="preserve">The adoption language of Romans 8:15–17 is equally powerful: "For you did not receive the spirit of slavery to fall back into fear, but you have received the Spirit of adoption as </w:t>
      </w:r>
      <w:r>
        <w:lastRenderedPageBreak/>
        <w:t>sons, by whom we cry, 'Abba! Father!' The Spirit himself bears witness with our spirit that we are children of God, and if children, then heirs—heirs of God and fellow heirs with Christ." The believer is an adopted child of God. The Spirit enables the intimacy of filial address: Abba, Father. This is not the distant petition of a subject to a remote sovereign through an intermediary bureaucracy. It is the cry of a child directly to his Father, enabled by the Spirit, through the redemption purchased by Chris</w:t>
      </w:r>
      <w:r>
        <w:t>t. The intimacy, immediacy, and filial boldness of this access is not augmented by the addition of saintly or Marian intercessors. It is potentially obscured by them.</w:t>
      </w:r>
    </w:p>
    <w:p w14:paraId="7DAA872B" w14:textId="77777777" w:rsidR="000E133F" w:rsidRDefault="00EC5ECA">
      <w:pPr>
        <w:spacing w:before="60" w:after="140" w:line="360" w:lineRule="auto"/>
      </w:pPr>
      <w:r>
        <w:t>The invocation of Mary and the saints as intercessors is also problematic because it attributes to departed human persons capacities that Scripture nowhere warrants. For Mary to intercede for the church, she would need to be aware of the prayers of individuals throughout the world simultaneously, able to receive and process the petitions of millions of persons addressing her simultaneously in different languages, and able to effectively present these to God. These are not merely the attributes of an exalted</w:t>
      </w:r>
      <w:r>
        <w:t xml:space="preserve"> human saint. They are the attributes of omniscience and omnipresence, which belong to God alone. The Reformed tradition has always pressed this point: to ask the saints for intercession requires attributing to them divine-like properties of knowledge that they do not and cannot possess as finite creatures, even glorified ones.</w:t>
      </w:r>
    </w:p>
    <w:p w14:paraId="12107350" w14:textId="77777777" w:rsidR="000E133F" w:rsidRDefault="00EC5ECA">
      <w:pPr>
        <w:spacing w:before="60" w:after="140" w:line="360" w:lineRule="auto"/>
      </w:pPr>
      <w:r>
        <w:t xml:space="preserve">The pastoral danger is cumulative. In popular Orthodox piety, as in popular Catholic piety, the line between honor and functional trust frequently blurs. When the icons of Mary appear at the center of devotion, when the Theotokos is addressed as the chief intercessor, when the liturgical calendar revolves as much around Marian commemorations as around the events of Christ's life, death, and resurrection, the practical center of gravity in the devotional life shifts. The Reformers perceived this in medieval </w:t>
      </w:r>
      <w:r>
        <w:t>Catholicism, where fear of Christ as judge drove believers to Mary as the merciful mediating mother. The pattern is structurally present in Orthodoxy as well, even if the theology is articulated with greater care. Any system in which a human figure, however exalted, regularly occupies the devotional space that Scripture reserves for Christ alone is a system that requires reformation.</w:t>
      </w:r>
    </w:p>
    <w:p w14:paraId="1C246CC0" w14:textId="77777777" w:rsidR="000E133F" w:rsidRDefault="00EC5ECA">
      <w:pPr>
        <w:spacing w:before="60" w:after="140" w:line="360" w:lineRule="auto"/>
      </w:pPr>
      <w:r>
        <w:lastRenderedPageBreak/>
        <w:t>The Reformed conclusion is not harsh toward Mary but protective of Christ. Mary is honored as Scripture honors her: as the uniquely blessed vessel of the Incarnation, as a model of faith, as a member of the early church, and as a fulfilled and glorified member of the company of the redeemed. She is not honored with liturgical invocation, perpetual virginity theology, or functional mediatorship, because Scripture nowhere establishes these things. And the reason they are absent from Scripture is not oversight</w:t>
      </w:r>
      <w:r>
        <w:t>. It is because Christ is sufficient. He is the one mediator. He is the sympathetic high priest. He is the Son who cries Abba on behalf of His brothers and sisters. He is the one who gave Himself as a ransom. The church's devotion needs no supplement. Mary's great gift to the church, as she herself declared at Cana, is her final recorded word: "Do whatever he tells you."</w:t>
      </w:r>
    </w:p>
    <w:p w14:paraId="3C6CCD6E" w14:textId="77777777" w:rsidR="000E133F" w:rsidRDefault="00EC5ECA">
      <w:pPr>
        <w:spacing w:before="60" w:after="140" w:line="360" w:lineRule="auto"/>
      </w:pPr>
      <w:r>
        <w:rPr>
          <w:i/>
          <w:iCs/>
        </w:rPr>
        <w:t>All confessional citations are from the Second London Baptist Confession of Faith (1689) and the Westminster Confession of Faith (1647). Biblical citations are from the English Standard Version unless otherwise noted. The Greek and Hebrew terms cited are from the standard critical editions of the Old and New Testament, with reference to the Septuagint and Masoretic Text as noted.</w:t>
      </w:r>
    </w:p>
    <w:p w14:paraId="3511B9F9" w14:textId="77777777" w:rsidR="000E133F" w:rsidRDefault="00EC5ECA">
      <w:pPr>
        <w:pStyle w:val="Heading2"/>
      </w:pPr>
      <w:bookmarkStart w:id="171" w:name="_Toc232765398"/>
      <w:r>
        <w:t>SUPPLEMENTARY ANALYSIS: CALVIN'S INSTITUTES ON THE ATONEMENT AND THE DESCENT INTO HELL</w:t>
      </w:r>
      <w:bookmarkEnd w:id="171"/>
    </w:p>
    <w:p w14:paraId="0418441A" w14:textId="77777777" w:rsidR="000E133F" w:rsidRDefault="00EC5ECA">
      <w:pPr>
        <w:spacing w:before="60" w:after="140" w:line="360" w:lineRule="auto"/>
      </w:pPr>
      <w:r>
        <w:t xml:space="preserve">John Calvin's treatment of the atonement in the </w:t>
      </w:r>
      <w:r>
        <w:rPr>
          <w:i/>
          <w:iCs/>
        </w:rPr>
        <w:t>Institutes of the Christian Religion</w:t>
      </w:r>
      <w:r>
        <w:t xml:space="preserve"> (Book II, chapters 15–17) provides one of the most systematic and exegetically grounded Reformed accounts, and it merits extended discussion because it demonstrates that penal substitution is not a mechanical legal formula but a rich, pastorally engaged theological vision that encompasses the full range of Christ's mediatorial work.</w:t>
      </w:r>
    </w:p>
    <w:p w14:paraId="31F9473A" w14:textId="77777777" w:rsidR="000E133F" w:rsidRDefault="00EC5ECA">
      <w:pPr>
        <w:spacing w:before="60" w:after="140" w:line="360" w:lineRule="auto"/>
      </w:pPr>
      <w:r>
        <w:t xml:space="preserve">Calvin begins by insisting that one cannot understand the atonement without understanding what the office of mediator requires. The mediator must be at once fully divine and fully human: divine, because only one of infinite dignity can make satisfaction for sin against an infinite God; human, because only one of our nature can truly represent us and stand in our place. This is why the two natures of Christ are not merely metaphysical curiosities but soteriological necessities. Calvin writes in </w:t>
      </w:r>
      <w:r>
        <w:rPr>
          <w:i/>
          <w:iCs/>
        </w:rPr>
        <w:t>Institutes</w:t>
      </w:r>
      <w:r>
        <w:t xml:space="preserve"> II.12.1: "It was necessary, that He who was to be our Redeemer should be both very God </w:t>
      </w:r>
      <w:r>
        <w:lastRenderedPageBreak/>
        <w:t>and very man. It was His task to swallow up death. Who but the Life could do this? It was His task to conquer sin. Who but very Righteousness could do this? It was His task to rout the powers of world and air. Who but a power superior to world and air could do this?"</w:t>
      </w:r>
    </w:p>
    <w:p w14:paraId="432E553C" w14:textId="77777777" w:rsidR="000E133F" w:rsidRDefault="00EC5ECA">
      <w:pPr>
        <w:spacing w:before="60" w:after="140" w:line="360" w:lineRule="auto"/>
      </w:pPr>
      <w:r>
        <w:t>The logic is tight. The work of redemption demands the person of the mediator. And the work is fundamentally described in terms that include conquest of death and sin, but also the satisfaction of divine righteousness — "very Righteousness." Calvin does not separate the Christus Victor motif from the legal and forensic motif. They require each other and the proper person to accomplish them.</w:t>
      </w:r>
    </w:p>
    <w:p w14:paraId="6388BE7A" w14:textId="77777777" w:rsidR="000E133F" w:rsidRDefault="00EC5ECA">
      <w:pPr>
        <w:spacing w:before="60" w:after="140" w:line="360" w:lineRule="auto"/>
      </w:pPr>
      <w:r>
        <w:t xml:space="preserve">Calvin's extended discussion of the atonement in </w:t>
      </w:r>
      <w:r>
        <w:rPr>
          <w:i/>
          <w:iCs/>
        </w:rPr>
        <w:t>Institutes</w:t>
      </w:r>
      <w:r>
        <w:t xml:space="preserve"> II.16 proceeds through the creedal narrative of Christ's passion and death, finding at each stage a theological meaning that illuminates the substitutionary work. On Christ's condemnation before Pilate, Calvin observes that it was necessary for Christ to be "condemned by a judge's sentence" (</w:t>
      </w:r>
      <w:r>
        <w:rPr>
          <w:i/>
          <w:iCs/>
        </w:rPr>
        <w:t>Inst.</w:t>
      </w:r>
      <w:r>
        <w:t xml:space="preserve"> II.16.5) so that our absolution might follow from a judicial sentence. This is remarkably precise. The condemnation at Pilate's tribunal was not merely a historical injustice. It was the divinely ordain</w:t>
      </w:r>
      <w:r>
        <w:t>ed form through which Christ submitted to judicial condemnation in the place of those who deserved it. He is pronounced guilty before human authority as the representative of the guilty.</w:t>
      </w:r>
    </w:p>
    <w:p w14:paraId="10004CCD" w14:textId="77777777" w:rsidR="000E133F" w:rsidRDefault="00EC5ECA">
      <w:pPr>
        <w:spacing w:before="60" w:after="140" w:line="360" w:lineRule="auto"/>
      </w:pPr>
      <w:r>
        <w:t xml:space="preserve">Calvin's interpretation of the </w:t>
      </w:r>
      <w:r>
        <w:rPr>
          <w:i/>
          <w:iCs/>
        </w:rPr>
        <w:t>descensus ad inferos</w:t>
      </w:r>
      <w:r>
        <w:t xml:space="preserve"> — the descent into hell affirmed in the Apostles' Creed — is perhaps his most brilliant pastoral and doctrinal contribution to the atonement discussion. Rejecting the literal spatial descent popular in medieval piety, Calvin argues that the descent clause summarizes Christ's bearing of the full weight of divine judgment, the nadir of penal substitution. In Gethsemane, where Christ sweats blood, and on the cross, where He cries "My God, my God, why have you forsaken me?", the Son of God </w:t>
      </w:r>
      <w:r>
        <w:t>entered into the terror of divine abandonment that is the deepest punishment of sin. He experienced, within the limits of His divine-human person and His voluntary representative assumption of human guilt, the dereliction that condemned sinners deserve. This was the descent into hell — not spatial but judicial and experiential.</w:t>
      </w:r>
    </w:p>
    <w:p w14:paraId="768F1F53" w14:textId="77777777" w:rsidR="000E133F" w:rsidRDefault="00EC5ECA">
      <w:pPr>
        <w:spacing w:before="60" w:after="140" w:line="360" w:lineRule="auto"/>
      </w:pPr>
      <w:r>
        <w:lastRenderedPageBreak/>
        <w:t xml:space="preserve">The pastoral implication is magnificent. Because Christ descended into the hell of divine abandonment for sinners, the believer need not fear final abandonment. The worst has been endured by the substitute. Death has been stripped of its ultimate sting — the sting of encountering a righteous God without a mediator — because the mediator descended into that very terror and emerged victorious on the other side. Calvin writes in </w:t>
      </w:r>
      <w:r>
        <w:rPr>
          <w:i/>
          <w:iCs/>
        </w:rPr>
        <w:t>Institutes</w:t>
      </w:r>
      <w:r>
        <w:t xml:space="preserve"> II.16.10 that Christ had to grapple with the armies of hell and the dread of everlasting death, and had to give himself over to the power of death so as not merely to suffer the death of the body but to feel the tortures of a condemned and forsaken man.</w:t>
      </w:r>
    </w:p>
    <w:p w14:paraId="6BB19E99" w14:textId="77777777" w:rsidR="000E133F" w:rsidRDefault="00EC5ECA">
      <w:pPr>
        <w:spacing w:before="60" w:after="140" w:line="360" w:lineRule="auto"/>
      </w:pPr>
      <w:r>
        <w:t>The resurrection then follows as the divinely declared verdict of acceptance: God raises Christ because the offering has been accepted, the satisfaction acknowledged, and the mediatorial mission vindicated. Calvin does not treat the resurrection as a separate story loosely appended to the story of the cross. He treats it as the judicial declaration that the penal-substitutionary offering was fully satisfactory. The empty tomb is the Father's public verdict on the Son's finished work.</w:t>
      </w:r>
    </w:p>
    <w:p w14:paraId="181E3FB5" w14:textId="77777777" w:rsidR="000E133F" w:rsidRDefault="00EC5ECA">
      <w:pPr>
        <w:spacing w:before="60" w:after="140" w:line="360" w:lineRule="auto"/>
      </w:pPr>
      <w:r>
        <w:t>This integration of cross and resurrection in terms of juridical and sacrificial logic is characteristic of the best Reformed theology. The cross is not merely a demonstration of God's love or a dramatic victory over cosmic powers. It is the accomplishment of everything that standing before God as a sinner demands. And the resurrection is not merely a demonstration of divine power over death. It is the public vindication that the demands have been met, the sentence executed, the guilt removed, and the way t</w:t>
      </w:r>
      <w:r>
        <w:t>o God reopened.</w:t>
      </w:r>
    </w:p>
    <w:p w14:paraId="5B7EBA6D" w14:textId="77777777" w:rsidR="000E133F" w:rsidRDefault="00EC5ECA">
      <w:pPr>
        <w:pStyle w:val="Heading2"/>
      </w:pPr>
      <w:bookmarkStart w:id="172" w:name="_Toc232765399"/>
      <w:r>
        <w:t>SUPPLEMENTARY ANALYSIS: THE 2LBC CHAPTER 8 ON CHRIST'S MEDIATORIAL WORK</w:t>
      </w:r>
      <w:bookmarkEnd w:id="172"/>
    </w:p>
    <w:p w14:paraId="27C2BFDD" w14:textId="77777777" w:rsidR="000E133F" w:rsidRDefault="00EC5ECA">
      <w:pPr>
        <w:spacing w:before="60" w:after="140" w:line="360" w:lineRule="auto"/>
      </w:pPr>
      <w:r>
        <w:t>The Second London Baptist Confession of Faith chapter 8 provides the doctrinal framework within which the atonement discussions of the preceding chapters must be located. The full text of the relevant paragraphs deserves quotation and brief analysis to anchor the preceding exegetical argument in the confession that defines the present treatise's standpoint.</w:t>
      </w:r>
    </w:p>
    <w:p w14:paraId="75475A12" w14:textId="77777777" w:rsidR="000E133F" w:rsidRDefault="00EC5ECA">
      <w:pPr>
        <w:spacing w:before="60" w:after="140" w:line="360" w:lineRule="auto"/>
      </w:pPr>
      <w:r>
        <w:lastRenderedPageBreak/>
        <w:t>Chapter 8, paragraph 1: "It pleased God, in his eternal purpose, to choose and ordain the Lord Jesus, his only begotten Son, to be the Mediator between God and man, the Prophet, Priest, and King; the Head and Saviour of his Church, the Heir of all things, and Judge of the world: unto whom he did from all eternity give a people, to be his seed, and to be by him in time redeemed, called, justified, sanctified, and glorified."</w:t>
      </w:r>
    </w:p>
    <w:p w14:paraId="4D576E1B" w14:textId="77777777" w:rsidR="000E133F" w:rsidRDefault="00EC5ECA">
      <w:pPr>
        <w:spacing w:before="60" w:after="140" w:line="360" w:lineRule="auto"/>
      </w:pPr>
      <w:r>
        <w:t>This paragraph establishes the pactum salutis as the background to all of Christ's mediatorial work. The people are given to Him from eternity. The mission is covenantally designed before history. And the full ordo salutis — redeemed, called, justified, sanctified, glorified — is comprehended within the scope of His mediatorial purpose. Nothing in that sequence is provisional or contingent on independent human initiative. Everything is secured in the eternal counsel.</w:t>
      </w:r>
    </w:p>
    <w:p w14:paraId="2E27EE88" w14:textId="77777777" w:rsidR="000E133F" w:rsidRDefault="00EC5ECA">
      <w:pPr>
        <w:spacing w:before="60" w:after="140" w:line="360" w:lineRule="auto"/>
      </w:pPr>
      <w:r>
        <w:t>Paragraph 4 addresses the two natures and their relation to the mediatorial work: "This office the Lord Jesus did most willingly undertake, which that he might discharge he was made under the law, and did perfectly fulfil it, and underwent the punishment due to us, which we should have borne and suffered, being made sin and a curse for us; enduring most grievous torments immediately from God in his soul, and most painful sufferings in his body; was crucified, and died, and remained in the state of the dead,</w:t>
      </w:r>
      <w:r>
        <w:t xml:space="preserve"> yet saw no corruption. On the third day he arose from the dead with the same body in which he suffered, with which also he ascended into heaven, and there sitteth at the right hand of his Father, making intercession, and shall return to judge men and angels at the end of the world."</w:t>
      </w:r>
    </w:p>
    <w:p w14:paraId="4CF6A063" w14:textId="77777777" w:rsidR="000E133F" w:rsidRDefault="00EC5ECA">
      <w:pPr>
        <w:spacing w:before="60" w:after="140" w:line="360" w:lineRule="auto"/>
      </w:pPr>
      <w:r>
        <w:t>The confessional statement is a compressed but complete account of PSA. Christ underwent "the punishment due to us, which we should have borne and suffered" — this is substitutionary and penal. He was "made sin and a curse for us" — this is the language of 2 Corinthians 5:21 and Galatians 3:13. He endured "most grievous torments immediately from God in his soul" — this is the confession of the divine dimension of Christ's suffering, the descensus ad inferos in Calvin's interpretive sense, the abandonment of</w:t>
      </w:r>
      <w:r>
        <w:t xml:space="preserve"> the forsaken cry. The word "immediately" here is striking: the torments come directly from God, not merely from human cruelty or demonic assault. This is </w:t>
      </w:r>
      <w:r>
        <w:lastRenderedPageBreak/>
        <w:t>Calvin's point exactly: the cross has a vertical, Godward dimension that is irreducibly penal.</w:t>
      </w:r>
    </w:p>
    <w:p w14:paraId="2C73CCA9" w14:textId="77777777" w:rsidR="000E133F" w:rsidRDefault="00EC5ECA">
      <w:pPr>
        <w:spacing w:before="60" w:after="140" w:line="360" w:lineRule="auto"/>
      </w:pPr>
      <w:r>
        <w:t>Paragraph 5 then addresses the satisfaction accomplished: "The Lord Jesus, by his perfect obedience and sacrifice of himself, which he through the eternal Spirit once offered up unto God, hath fully satisfied the justice of God, procured reconciliation, and purchased an everlasting inheritance in the Kingdom of heaven, for all those for whom the Father hath given unto him."</w:t>
      </w:r>
    </w:p>
    <w:p w14:paraId="717F28F0" w14:textId="77777777" w:rsidR="000E133F" w:rsidRDefault="00EC5ECA">
      <w:pPr>
        <w:spacing w:before="60" w:after="140" w:line="360" w:lineRule="auto"/>
      </w:pPr>
      <w:r>
        <w:t>The phrase "fully satisfied the justice of God" is not incidental language. It is the precise articulation of what PSA requires: that divine justice, understood as God's righteous and holy opposition to sin expressed in the moral law and its sanctions, has been genuinely and completely satisfied — not set aside, not overlooked, not outweighed by divine love in a way that treats justice as a lesser concern. The justice of God is fully satisfied. Reconciliation is procured on that basis. The inheritance is pu</w:t>
      </w:r>
      <w:r>
        <w:t>rchased. This is the transactional, forensic, and substitutionary language that characterizes the entire Reformed confessional tradition, from the Heidelberg Catechism's question 37 — "What do you understand by the word suffered?" answered in terms of bearing the wrath of God against the sin of the whole human race — to Calvin, Owen, and Turretin.</w:t>
      </w:r>
    </w:p>
    <w:p w14:paraId="36526C36" w14:textId="77777777" w:rsidR="000E133F" w:rsidRDefault="00EC5ECA">
      <w:pPr>
        <w:spacing w:before="60" w:after="140" w:line="360" w:lineRule="auto"/>
      </w:pPr>
      <w:r>
        <w:t>The satisfaction is offered "through the eternal Spirit" — confirming the Trinitarian unity of the atonement as discussed in section 14.4. It is offered "once" — the ephapax of Hebrews 9:26 and 10:12. It is for "all those for whom the Father hath given unto him" — the definite and particular scope of the atonement consistent with the pactum salutis and Owen's trilemma. Every element of the mature Reformed doctrine of the atonement is present in compressed form in this single paragraph.</w:t>
      </w:r>
    </w:p>
    <w:p w14:paraId="130E122F" w14:textId="77777777" w:rsidR="000E133F" w:rsidRDefault="00EC5ECA">
      <w:pPr>
        <w:spacing w:before="60" w:after="140" w:line="360" w:lineRule="auto"/>
      </w:pPr>
      <w:r>
        <w:t>Against the background of this confessional summary, the Orthodox rejection of PSA takes on its full seriousness. It is not a disagreement about a minor doctrinal nuance. It is a disagreement about whether the divine justice has been satisfied at the cross or merely addressed in some other way. If divine justice has been genuinely satisfied by Christ's atoning death, the gospel is a finished transaction and believers may rest in it completely. If it has not been satisfied but only demonstratively engaged, t</w:t>
      </w:r>
      <w:r>
        <w:t xml:space="preserve">he ground of </w:t>
      </w:r>
      <w:r>
        <w:lastRenderedPageBreak/>
        <w:t>assurance shifts from Christ's accomplishment to the believer's ongoing participation and cooperation. The pastoral difference is incalculable.</w:t>
      </w:r>
    </w:p>
    <w:p w14:paraId="1DDC6241" w14:textId="77777777" w:rsidR="000E133F" w:rsidRDefault="00EC5ECA">
      <w:pPr>
        <w:pStyle w:val="Heading2"/>
      </w:pPr>
      <w:bookmarkStart w:id="173" w:name="_Toc232765400"/>
      <w:r>
        <w:t>CONCLUDING SYNTHESIS: THE ORGANIC UNITY OF THE REFORMED CONFESSIONAL SYSTEM</w:t>
      </w:r>
      <w:bookmarkEnd w:id="173"/>
    </w:p>
    <w:p w14:paraId="2AB20E8A" w14:textId="77777777" w:rsidR="000E133F" w:rsidRDefault="00EC5ECA">
      <w:pPr>
        <w:spacing w:before="60" w:after="140" w:line="360" w:lineRule="auto"/>
      </w:pPr>
      <w:r>
        <w:t>The four chapters of this section address what may appear to be four discrete doctrinal topics: the atonement, the church, the sacraments, and Mary. In fact, they address four dimensions of a single fundamental disagreement about the structure of salvation, and each chapter's argument reinforces the others. The coherence of the Reformed position is not arbitrary. It flows from a consistent set of biblical commitments that form an organic doctrinal whole.</w:t>
      </w:r>
    </w:p>
    <w:p w14:paraId="0BE47D15" w14:textId="77777777" w:rsidR="000E133F" w:rsidRDefault="00EC5ECA">
      <w:pPr>
        <w:spacing w:before="60" w:after="140" w:line="360" w:lineRule="auto"/>
      </w:pPr>
      <w:r>
        <w:t>The doctrine of the atonement is foundational to everything. If Christ's death is fundamentally the satisfaction of divine justice in a penal and substitutionary way, then justification must be forensic, since PSA establishes a finished transaction rather than a process. If justification is forensic and complete, the sacraments cannot be the ongoing channels of a grace still being acquired and accumulated. They are rather the signs and seals of a grace already accomplished and freely given. If the sacrament</w:t>
      </w:r>
      <w:r>
        <w:t>s are signs and seals of finished grace rather than the continuing locus of sacrificial offering, there can be no propitiatory Eucharist and no priest-mediators required for sacramental efficacy, because there is nothing left to offer. And if Christ alone has satisfied divine justice, Christ alone is the mediator between God and men — not the church's hierarchy standing in sacerdotal succession, not the saints presented as intercessors with special access, not the Theotokos as the Marian refuge of sinners.</w:t>
      </w:r>
    </w:p>
    <w:p w14:paraId="579F43E7" w14:textId="77777777" w:rsidR="000E133F" w:rsidRDefault="00EC5ECA">
      <w:pPr>
        <w:spacing w:before="60" w:after="140" w:line="360" w:lineRule="auto"/>
      </w:pPr>
      <w:r>
        <w:t xml:space="preserve">The inverse is equally true and reveals the internal logic of the Orthodox system. If the fundamental human problem is mortality and corruption rather than judicial guilt before a holy God, then PSA is not merely unnecessary but conceptually foreign. Christus Victor and participatory theosis address the actual diagnosis far better. If salvation is a process of deification in which human nature is progressively restored, then the sacramental channels of that restoration are essential and ongoing. Seven holy </w:t>
      </w:r>
      <w:r>
        <w:t xml:space="preserve">mysteries administered by a validly ordained clergy are the necessary infrastructure of the healing economy. If the sacraments mediate ongoing grace and are not merely signs </w:t>
      </w:r>
      <w:r>
        <w:lastRenderedPageBreak/>
        <w:t xml:space="preserve">of finished grace, then their valid administration by properly ordained ministers is a condition of genuine access to the divine life. If a sacramental hierarchy with apostolic succession is the required vehicle of the divine life, then the church's conciliar tradition, which has defined and protected this system, must be authoritative </w:t>
      </w:r>
      <w:r>
        <w:t>in a way that places it alongside or above Scripture's final authority. And if tradition is co-authoritative, then Mary and the saints as richly developed participants in that tradition occupy legitimate and necessary roles in the devotional and mediatorial economy of the church.</w:t>
      </w:r>
    </w:p>
    <w:p w14:paraId="13FCD461" w14:textId="77777777" w:rsidR="000E133F" w:rsidRDefault="00EC5ECA">
      <w:pPr>
        <w:spacing w:before="60" w:after="140" w:line="360" w:lineRule="auto"/>
      </w:pPr>
      <w:r>
        <w:t>Both systems are internally coherent. The Reformed critique is precisely that the Orthodox system, whatever its internal consistency, is not built on biblical foundations. Its diagnosis of the human problem misreads Romans 5. Its rejection of PSA requires ignoring or explaining away the forensic center of Isaiah 53, Romans 3, 2 Corinthians 5, Galatians 3, and Hebrews 9–10. Its multiplication of sacraments adds to Christ's legislation what Christ never commanded. Its conciliar infallibility invests human del</w:t>
      </w:r>
      <w:r>
        <w:t>iberations with an authority that Scripture reserves for itself alone. Its Marian intercession places a human creature in a mediatorial role that 1 Timothy 2:5 assigns to Christ uniquely.</w:t>
      </w:r>
    </w:p>
    <w:p w14:paraId="656C5072" w14:textId="77777777" w:rsidR="000E133F" w:rsidRDefault="00EC5ECA">
      <w:pPr>
        <w:spacing w:before="60" w:after="140" w:line="360" w:lineRule="auto"/>
      </w:pPr>
      <w:r>
        <w:t>The Reformed and Baptist tradition, grounded in the Second London Baptist Confession of 1689, stands on the completed, sufficient, and exclusive work of Christ. The cross is the world-altering sacrifice by which God's justice was fully satisfied, sinners were reconciled, death was defeated at its root, and the people of God were purchased for eternity. Scripture is the sole infallible rule of faith, sufficient for all saving knowledge, and supreme over all councils and traditions. Two ordinances — baptism a</w:t>
      </w:r>
      <w:r>
        <w:t>nd the Lord's Supper — are the dominically instituted signs and seals of the covenant, sufficient for the church's covenantal life without supplementation. The church is constituted by the pure preaching of the Word and the right administration of the ordinances, not by institutional genealogy or sacramental succession. And Christ alone is the mediator between God and men, the sole ground of access, the ever-living intercessor, and the exclusive object of the believer's saving trust and worship.</w:t>
      </w:r>
    </w:p>
    <w:p w14:paraId="075722FF" w14:textId="77777777" w:rsidR="000E133F" w:rsidRDefault="00EC5ECA">
      <w:pPr>
        <w:spacing w:before="60" w:after="140" w:line="360" w:lineRule="auto"/>
      </w:pPr>
      <w:r>
        <w:t xml:space="preserve">This is not impoverishment but superabundance. The one finished sacrifice is richer than any sacramental system that continues or re-presents it, because it is the act of the </w:t>
      </w:r>
      <w:r>
        <w:lastRenderedPageBreak/>
        <w:t>infinite Son of God Himself, who by His one offering "perfected for all time those who are being sanctified." The one mediator is more present, more sympathetic, more effectual, and more adequate than any hierarchy of saints and celestial patrons, because He is the God-man who has been tempted in all points as we are, who always lives to make intercession, and who is able to save to the uttermost those who draw near to God through Him. The Word of Scripture is more certain than any tradition, however ancien</w:t>
      </w:r>
      <w:r>
        <w:t>t, because it is breathed out by God Himself and is therefore "profitable for teaching, for reproof, for correction, and for training in righteousness, that the man of God may be complete, equipped for every good work." And the two ordinances are more glorious than seven mysteries, not because simplicity is a virtue in itself, but because these two rites bear on their face the marks of Christ's own institution, and they proclaim with each celebration the one thing the church exists to proclaim: Christ and H</w:t>
      </w:r>
      <w:r>
        <w:t>im crucified, until He comes.</w:t>
      </w:r>
    </w:p>
    <w:p w14:paraId="34E65499" w14:textId="77777777" w:rsidR="000E133F" w:rsidRDefault="00EC5ECA">
      <w:pPr>
        <w:spacing w:before="60" w:after="140" w:line="360" w:lineRule="auto"/>
      </w:pPr>
      <w:r>
        <w:rPr>
          <w:i/>
          <w:iCs/>
        </w:rPr>
        <w:t>All confessional citations are from the Second London Baptist Confession of Faith (1689) and the Westminster Confession of Faith (1647). All biblical citations are from the English Standard Version unless otherwise specified. Greek and Hebrew terms are cited from the standard critical editions of the biblical text, with Septuagint references to the Rahlfs-Hanhart edition and Masoretic references to the Biblia Hebraica Stuttgartensia.</w:t>
      </w:r>
    </w:p>
    <w:p w14:paraId="034841C2" w14:textId="77777777" w:rsidR="000E133F" w:rsidRDefault="00EC5ECA">
      <w:pPr>
        <w:pStyle w:val="Heading1"/>
        <w:pageBreakBefore/>
      </w:pPr>
      <w:bookmarkStart w:id="174" w:name="_Toc232765401"/>
      <w:r>
        <w:lastRenderedPageBreak/>
        <w:t>PART TWO, CHAPTERS 18–21</w:t>
      </w:r>
      <w:bookmarkEnd w:id="174"/>
    </w:p>
    <w:p w14:paraId="060F7098" w14:textId="77777777" w:rsidR="000E133F" w:rsidRDefault="00EC5ECA">
      <w:pPr>
        <w:pStyle w:val="Heading2"/>
      </w:pPr>
      <w:bookmarkStart w:id="175" w:name="_Toc232765402"/>
      <w:r>
        <w:t>A Reformed Confessional Refutation of Eastern Orthodox Christianity</w:t>
      </w:r>
      <w:bookmarkEnd w:id="175"/>
    </w:p>
    <w:p w14:paraId="195F24C8" w14:textId="77777777" w:rsidR="000E133F" w:rsidRDefault="00EC5ECA">
      <w:pPr>
        <w:pStyle w:val="Heading3"/>
      </w:pPr>
      <w:bookmarkStart w:id="176" w:name="_Toc232765403"/>
      <w:r>
        <w:t>Perspective: The Second London Baptist Confession of Faith (1689)</w:t>
      </w:r>
      <w:bookmarkEnd w:id="176"/>
    </w:p>
    <w:p w14:paraId="7212C18B" w14:textId="77777777" w:rsidR="000E133F" w:rsidRDefault="00EC5ECA">
      <w:pPr>
        <w:pStyle w:val="Heading1"/>
        <w:pageBreakBefore/>
      </w:pPr>
      <w:bookmarkStart w:id="177" w:name="_Toc232765404"/>
      <w:r>
        <w:lastRenderedPageBreak/>
        <w:t>CHAPTER EIGHTEEN: ICONS AND IMAGES — THE SECOND COMMANDMENT AND THE REGULATIVE PRINCIPLE OF WORSHIP</w:t>
      </w:r>
      <w:bookmarkEnd w:id="177"/>
    </w:p>
    <w:p w14:paraId="5497EB97" w14:textId="77777777" w:rsidR="000E133F" w:rsidRDefault="00EC5ECA">
      <w:pPr>
        <w:pStyle w:val="Heading2"/>
      </w:pPr>
      <w:bookmarkStart w:id="178" w:name="_Toc232765405"/>
      <w:r>
        <w:t>18.1 — The Second Commandment: Text, Exegesis, and Scope</w:t>
      </w:r>
      <w:bookmarkEnd w:id="178"/>
    </w:p>
    <w:p w14:paraId="6335EC46" w14:textId="77777777" w:rsidR="000E133F" w:rsidRDefault="00EC5ECA">
      <w:pPr>
        <w:spacing w:before="60" w:after="140" w:line="360" w:lineRule="auto"/>
      </w:pPr>
      <w:r>
        <w:t>The second commandment stands as one of the most carefully articulated prohibitions in the entire Mosaic legal corpus, and the theological weight it carries for any discussion of the iconographic controversy between Eastern Orthodoxy and Reformed Protestantism cannot be overstated. The text, reproduced here from the English Standard Version in full, reads as follows: "You shall not make for yourself a carved image, or any likeness of anything that is in heaven above, or that is in the earth beneath, or that</w:t>
      </w:r>
      <w:r>
        <w:t xml:space="preserve"> is in the water under the earth. You shall not bow down to them or serve them, for I the LORD your God am a jealous God, visiting the iniquity of the fathers on the children to the third and the fourth generation of those who hate me, but showing steadfast love to thousands of those who love me and keep my commandments" (Exodus 20:4–6). No cursory reading of this text is adequate; each clause demands extended attention if its full theological import is to be grasped.</w:t>
      </w:r>
    </w:p>
    <w:p w14:paraId="26B63344" w14:textId="77777777" w:rsidR="000E133F" w:rsidRDefault="00EC5ECA">
      <w:pPr>
        <w:spacing w:before="60" w:after="140" w:line="360" w:lineRule="auto"/>
      </w:pPr>
      <w:r>
        <w:t xml:space="preserve">The first observation that Reformed exegetes have consistently made concerning this commandment — and it is an observation of structural and hermeneutical importance — is that it is not identical to, nor merely a corollary of, the first commandment. The first commandment reads: "You shall have no other gods before me" (Exodus 20:3). That commandment governs the </w:t>
      </w:r>
      <w:r>
        <w:rPr>
          <w:i/>
          <w:iCs/>
        </w:rPr>
        <w:t>object</w:t>
      </w:r>
      <w:r>
        <w:t xml:space="preserve"> of worship: it forbids directing the worship of Yahweh toward any other being. The second commandment governs the </w:t>
      </w:r>
      <w:r>
        <w:rPr>
          <w:i/>
          <w:iCs/>
        </w:rPr>
        <w:t>mode</w:t>
      </w:r>
      <w:r>
        <w:t xml:space="preserve"> of worship: it forbids representing God through any material image, regardless of whether the worshipper intends to honor Yahweh Himself through that representation. The Lutheran and Roman Catholic traditions have, for various reasons of their own, collapsed these two commandments into one and compensated by dividing the tenth commandment regarding covetousness into two. The Reformed</w:t>
      </w:r>
      <w:r>
        <w:t xml:space="preserve"> tradition, following the ancient Jewish enumeration and the overwhelming weight of the exegetical tradition that precedes it, maintains that these are categorically distinct prohibitions. To worship </w:t>
      </w:r>
      <w:r>
        <w:lastRenderedPageBreak/>
        <w:t>a false god violates the first commandment; to worship the true God through a created image violates the second. This distinction is not a Reformed innovation but an exegetical conclusion demanded by the plain structure of the text itself. The Westminster Larger Catechism, the most comprehensive of the Reformed</w:t>
      </w:r>
      <w:r>
        <w:t xml:space="preserve"> standards on the second commandment, is explicit on this point when it addresses Q. 108 — "What are the duties required in the second commandment?" — by listing all the positive obligations regarding the </w:t>
      </w:r>
      <w:r>
        <w:rPr>
          <w:i/>
          <w:iCs/>
        </w:rPr>
        <w:t>manner</w:t>
      </w:r>
      <w:r>
        <w:t xml:space="preserve"> of worship, entirely distinct from Q. 105's treatment of the first commandment's duty to worship only the true God.</w:t>
      </w:r>
    </w:p>
    <w:p w14:paraId="36D97884" w14:textId="77777777" w:rsidR="000E133F" w:rsidRDefault="00EC5ECA">
      <w:pPr>
        <w:spacing w:before="60" w:after="140" w:line="360" w:lineRule="auto"/>
      </w:pPr>
      <w:r>
        <w:t xml:space="preserve">The second hermeneutically crucial feature of the commandment is the extraordinary comprehensiveness of the prohibition clause. The phrase "any likeness of anything" renders the Hebrew </w:t>
      </w:r>
      <w:r>
        <w:rPr>
          <w:i/>
          <w:iCs/>
        </w:rPr>
        <w:t>kol temunah</w:t>
      </w:r>
      <w:r>
        <w:t xml:space="preserve">, where </w:t>
      </w:r>
      <w:r>
        <w:rPr>
          <w:i/>
          <w:iCs/>
        </w:rPr>
        <w:t>kol</w:t>
      </w:r>
      <w:r>
        <w:t xml:space="preserve"> functions as an absolute universal quantifier and </w:t>
      </w:r>
      <w:r>
        <w:rPr>
          <w:i/>
          <w:iCs/>
        </w:rPr>
        <w:t>temunah</w:t>
      </w:r>
      <w:r>
        <w:t xml:space="preserve"> denotes a form, figure, or similitude — particularly as it might be rendered in representational art. The Decalogue does not say "any likeness of God" but "any likeness of </w:t>
      </w:r>
      <w:r>
        <w:rPr>
          <w:i/>
          <w:iCs/>
        </w:rPr>
        <w:t>anything</w:t>
      </w:r>
      <w:r>
        <w:t>" — an intentional casting of the net as wide as possible to include the entirety of the created realm. The threefold enumeration that follows — "anything that is in heaven above, or that is in the earth beneath, or that is in the water under the eart</w:t>
      </w:r>
      <w:r>
        <w:t>h" — follows the ancient cosmological schema and is comprehensively exhaustive: no region of the created order is left unaddressed. When any created form — angelic, human, animal, celestial, terrestrial, or aquatic — is employed as a religious image for the purposes of worshipping or venerating God, the commandment has been violated. The Reformed exegesis does not require that the worshipper intend to bow before a false god; it requires only that he employ a created representation in the act of worship addr</w:t>
      </w:r>
      <w:r>
        <w:t>essed to God or to spiritual beings.</w:t>
      </w:r>
    </w:p>
    <w:p w14:paraId="4FF13E5D" w14:textId="77777777" w:rsidR="000E133F" w:rsidRDefault="00EC5ECA">
      <w:pPr>
        <w:spacing w:before="60" w:after="140" w:line="360" w:lineRule="auto"/>
      </w:pPr>
      <w:r>
        <w:t>The exegetical foundation of the Reformed position receives powerful supplementation from Moses's own commentary on the commandment, recorded in Deuteronomy 4:15–19. This text is, in the estimation of both John Calvin and subsequent Reformed exegetes, perhaps the single most important passage of biblical theology for understanding the theological rationale behind aniconic worship. The text reads: "Therefore watch yourselves very carefully. Since you saw no form on the day that the LORD spoke to you at Horeb</w:t>
      </w:r>
      <w:r>
        <w:t xml:space="preserve"> out of the midst of the fire, beware lest you act corruptly by making a carved image for yourselves, in the form of any figure, the likeness of male or </w:t>
      </w:r>
      <w:r>
        <w:lastRenderedPageBreak/>
        <w:t>female, the likeness of any animal that is on the earth, the likeness of any winged bird that flies in the air, the likeness of anything that creeps on the ground, the likeness of any fish that is in the water under the earth. And beware lest you raise your eyes to heaven, and when you see the sun and the moon and the stars, all the host of heaven, you be d</w:t>
      </w:r>
      <w:r>
        <w:t>rawn away and bow down to them and serve them, things that the LORD your God has allotted to all the peoples under the whole heaven." The argument here is remarkable in its theological precision. Moses grounds the prohibition of images not in a general cultural concern about idolatry but in the specific character of the Sinaitic theophany. The people heard a voice; they perceived no visible form (</w:t>
      </w:r>
      <w:r>
        <w:rPr>
          <w:i/>
          <w:iCs/>
        </w:rPr>
        <w:t>temunah</w:t>
      </w:r>
      <w:r>
        <w:t>). This was not an accidental feature of the Horeb revelation. It was a deliberate and theologically comm</w:t>
      </w:r>
      <w:r>
        <w:t>unicative divine choice. God chose to reveal Himself in word, in audible speech, in propositional declaration — not in visible form. The absence of a visual form was itself a revelatory act: it was God's way of establishing the proper mode by which He is to be known and worshipped. To make an image after such a revelation is therefore not merely foolish but constitutively corrupt: it substitutes a human visual invention for the divine mode of self-disclosure. As Moses says, to make an image under these circ</w:t>
      </w:r>
      <w:r>
        <w:t xml:space="preserve">umstances is to "act corruptly" — the term </w:t>
      </w:r>
      <w:r>
        <w:rPr>
          <w:i/>
          <w:iCs/>
        </w:rPr>
        <w:t>shachat</w:t>
      </w:r>
      <w:r>
        <w:t>, used elsewhere of the corruption that precedes and precipitates divine judgment.</w:t>
      </w:r>
    </w:p>
    <w:p w14:paraId="74F24A87" w14:textId="77777777" w:rsidR="000E133F" w:rsidRDefault="00EC5ECA">
      <w:pPr>
        <w:spacing w:before="60" w:after="140" w:line="360" w:lineRule="auto"/>
      </w:pPr>
      <w:r>
        <w:t xml:space="preserve">The prophetic tradition amplifies this critique with devastating rhetorical force. Isaiah 40:18–20 poses the question that the prophet regards as unanswerable: "To whom then will you liken God, or what likeness compare with him? An idol! A craftsman casts it, and a goldsmith overlays it with gold and casts for it silver chains. He who is too impoverished for an offering chooses wood that will not rot; he seeks out a skillful craftsman to set up an idol that will not move." The point here is not merely that </w:t>
      </w:r>
      <w:r>
        <w:t>pagan idols are inferior representations of their supposed deities; it is that the very act of representing the divine in material form is an act of category confusion. Isaiah 40:25 presses the comparison: "To whom then will you compare me, that I should be like him? says the Holy One." The incomparability of God — His transcendence over every created category — is itself the ground of the aniconic prohibition. The prophetic satire reaches its fullest development in Isaiah 44:9–20, where the prophet describ</w:t>
      </w:r>
      <w:r>
        <w:t xml:space="preserve">es with withering irony the craftsman who takes a single log, burns half of it for warmth and bakes bread </w:t>
      </w:r>
      <w:r>
        <w:lastRenderedPageBreak/>
        <w:t xml:space="preserve">with the other half, and then fashions the remaining portion into a god before which he prostrates himself and says, "Deliver me, for you are my god!" The theological target of this satire is not merely rank paganism; it is the fundamental absurdity of confining the divine within the limits of what human craftsmanship can achieve. When Reformed theologians apply this Isaianic critique to the veneration </w:t>
      </w:r>
      <w:r>
        <w:t>of icons, they are not making a polemical extension of the text beyond its intended scope; they are drawing the implication that the text itself invites: no created thing, however beautiful, however artistically sophisticated, however theologically interpreted, can serve as a legitimate medium for the worship of the living God.</w:t>
      </w:r>
    </w:p>
    <w:p w14:paraId="0E220798" w14:textId="77777777" w:rsidR="000E133F" w:rsidRDefault="00EC5ECA">
      <w:pPr>
        <w:spacing w:before="60" w:after="140" w:line="360" w:lineRule="auto"/>
      </w:pPr>
      <w:r>
        <w:t xml:space="preserve">John Calvin's engagement with this commandment in the </w:t>
      </w:r>
      <w:r>
        <w:rPr>
          <w:i/>
          <w:iCs/>
        </w:rPr>
        <w:t>Institutes of the Christian Religion</w:t>
      </w:r>
      <w:r>
        <w:t xml:space="preserve"> (I.11) represents the most sustained and theologically penetrating Reformed treatment of the issue. Calvin's central argument is deceptively simple but carries enormous weight: "To make images of God is itself impious." The force of "itself" (</w:t>
      </w:r>
      <w:r>
        <w:rPr>
          <w:i/>
          <w:iCs/>
        </w:rPr>
        <w:t>per se</w:t>
      </w:r>
      <w:r>
        <w:t>) is crucial — Calvin is not arguing merely that the worship of images is wrong but that the very act of making an image of God is an act of irreverence, regardless of what the maker intends to do with it. His argument proceed</w:t>
      </w:r>
      <w:r>
        <w:t>s from the nature of God: God is Spirit (John 4:24); He is infinite, invisible, and incomprehensible in His essence. Any image that purports to represent God necessarily misrepresents Him, because the image is material, finite, visible, and fully comprehensible — the precise opposite of what God is. Calvin writes: "If it is not lawful to affix any physical form to God, it follows that all those places in which figures are set up for Him are transgressing his law." Calvin further argues, following Deuteronom</w:t>
      </w:r>
      <w:r>
        <w:t>y 4, that God's mode of self-revelation is pedagogically instructive: God reveals Himself through His Word — through the authoritative, propositional communication of Himself in Scripture — not through visual images. To substitute visual images for the Word is to invert the divinely ordained order of knowledge: instead of the mind being formed by God's self-disclosure in speech, the imagination is allowed to project its own conception of God onto the divine. Calvin regards this as a form of idolatry even wh</w:t>
      </w:r>
      <w:r>
        <w:t xml:space="preserve">en the intention is devotional: "God's glory is corrupted by an impious falsehood whenever any form is attached to him." The person who kneels before a painting of Christ is not worshipping Christ as Christ is — invisible God made flesh, now glorified at the Father's right hand — but Christ as the </w:t>
      </w:r>
      <w:r>
        <w:lastRenderedPageBreak/>
        <w:t>painter imagined him: a first-century Galilean with a beard and a halo. This is not the real Christ; it is a human projection.</w:t>
      </w:r>
    </w:p>
    <w:p w14:paraId="4A8A1115" w14:textId="77777777" w:rsidR="000E133F" w:rsidRDefault="00EC5ECA">
      <w:pPr>
        <w:spacing w:before="60" w:after="140" w:line="360" w:lineRule="auto"/>
      </w:pPr>
      <w:r>
        <w:t>The Westminster Larger Catechism, Q. 109, provides the most exhaustive Reformed enumeration of what the second commandment forbids, and it must be reproduced in full here, as its comprehensiveness is directly relevant to the iconographic controversy: "The sins forbidden in the second commandment are, all devising, counseling, commanding, using, and any wise approving, any religious worship not instituted by God himself; the making any representation of God, of all or of any of the three persons, either inwa</w:t>
      </w:r>
      <w:r>
        <w:t>rdly in our mind, or outwardly in any kind of image or likeness of any creature whatsoever; all worshipping of it, or God in it or by it; the making of any representation of feigned deities, and all worship of them, or service belonging to them; all superstitious devices, corrupting the worship of God, adding to it, or taking from it, whether invented and taken up of ourselves, or received by tradition from others, though under the title of antiquity, custom, devotion, zeal, good intent, or any other preten</w:t>
      </w:r>
      <w:r>
        <w:t>se whatsoever; simony; sacrilege; all neglect, contempt, hindering, and opposing the worship and ordinances which God hath appointed." Several features of this answer demand attention. First, note that the catechism explicitly forbids "the making any representation of God, of all or of any of the three persons" — this explicitly includes the Son, Jesus Christ, in His divine person. Second, note that the forbidden representation extends to representations "in our mind" — even interior mental images of God ar</w:t>
      </w:r>
      <w:r>
        <w:t xml:space="preserve">e forbidden, a position that Calvin defends in the </w:t>
      </w:r>
      <w:r>
        <w:rPr>
          <w:i/>
          <w:iCs/>
        </w:rPr>
        <w:t>Institutes</w:t>
      </w:r>
      <w:r>
        <w:t>. Third, note that the catechism explicitly refuses the defense of antiquity, custom, devotion, and good intent: these cannot legitimize what God has forbidden. This is a direct and pointed refutation of the Eastern Orthodox appeal to the antiquity of the iconographic tradition.</w:t>
      </w:r>
    </w:p>
    <w:p w14:paraId="2DBE3BAE" w14:textId="77777777" w:rsidR="000E133F" w:rsidRDefault="00EC5ECA">
      <w:pPr>
        <w:spacing w:before="60" w:after="140" w:line="360" w:lineRule="auto"/>
      </w:pPr>
      <w:r>
        <w:t>The Heidelberg Catechism, Q. 96–98 (Lord's Day 35), approaches the same material from a pastoral and catechetical direction, and its formulations have proven equally durable. Q. 96 asks: "What does God require in the second commandment?" and answers: "That we in no wise make any image of God, nor worship him in any other manner than he has commanded in his Word." Q. 97 then directly addresses what might appear to be a legitimate use of images: "May we not make any image at all?" The answer is: "God cannot a</w:t>
      </w:r>
      <w:r>
        <w:t xml:space="preserve">nd may not be visibly portrayed in any way; creatures may be </w:t>
      </w:r>
      <w:r>
        <w:lastRenderedPageBreak/>
        <w:t>portrayed, but God forbids us to make or have any images of them in order to worship them or to serve God through them." This answer makes two distinct claims: first, that God categorically cannot and may not be portrayed; second, that even images of creatures are forbidden when they are used as instruments of worship or religious veneration. Q. 98 then faces the historical argument that has been made for images since at least Gregory the Great: "</w:t>
      </w:r>
      <w:r>
        <w:t>But may not pictures be tolerated in churches as books for the laity?" The catechism's answer is sharp and unambiguous: "No, we should not try to be wiser than God. He wants his people instructed by the living preaching of his Word, not by dumb idols." The phrase "not by dumb idols" echoes the prophetic tradition of Isaiah and is applied without apology to images used in Christian worship. The catechism's point is not that images are intrinsically evil in all contexts — a painting hung in a home as art is n</w:t>
      </w:r>
      <w:r>
        <w:t>ot addressed — but that their use as instruments of religious instruction or devotion in worship violates the second commandment. God has appointed the preaching of His Word as the means of instruction; to substitute visual images for that means is to claim superior wisdom about how God's people are to be formed — a claim the catechism rejects with the decisive phrase "we should not try to be wiser than God."</w:t>
      </w:r>
    </w:p>
    <w:p w14:paraId="76044F02" w14:textId="77777777" w:rsidR="000E133F" w:rsidRDefault="00EC5ECA">
      <w:pPr>
        <w:pStyle w:val="Heading2"/>
      </w:pPr>
      <w:bookmarkStart w:id="179" w:name="_Toc232765406"/>
      <w:r>
        <w:t>18.2 — The Orthodox Incarnational Argument for Icons and the Reformed Response</w:t>
      </w:r>
      <w:bookmarkEnd w:id="179"/>
    </w:p>
    <w:p w14:paraId="1E5806E6" w14:textId="77777777" w:rsidR="000E133F" w:rsidRDefault="00EC5ECA">
      <w:pPr>
        <w:spacing w:before="60" w:after="140" w:line="360" w:lineRule="auto"/>
      </w:pPr>
      <w:r>
        <w:t xml:space="preserve">The Eastern Orthodox defense of iconographic veneration does not rest primarily on philosophical aesthetics or ecclesiastical tradition, though it calls upon both; it rests upon a rigorous Christological argument from the doctrine of the Incarnation. This argument was most fully and systematically developed by John of Damascus (c. 675–749) in his three </w:t>
      </w:r>
      <w:r>
        <w:rPr>
          <w:i/>
          <w:iCs/>
        </w:rPr>
        <w:t>Treatises on the Divine Images</w:t>
      </w:r>
      <w:r>
        <w:t>, composed during the early phase of the Byzantine Iconoclast Controversy, and it has remained the normative Orthodox defense ever since, formally vindicated by the Second Council of Nicaea in 787. Understanding this argument in its full force is essential both for doing justice to the Orthodox position and for developing the Reformed response with appropriate precision.</w:t>
      </w:r>
    </w:p>
    <w:p w14:paraId="320D731B" w14:textId="77777777" w:rsidR="000E133F" w:rsidRDefault="00EC5ECA">
      <w:pPr>
        <w:spacing w:before="60" w:after="140" w:line="360" w:lineRule="auto"/>
      </w:pPr>
      <w:r>
        <w:lastRenderedPageBreak/>
        <w:t>The argument of John of Damascus proceeds from a sharp before-and-after distinction in the history of redemption. In the period before the Incarnation, it was theologically correct and obligatory to refrain from making images of God, because God had not revealed Himself in any visible, tangible, material form. God is infinite Spirit; to represent the infinite in finite, material form would be to misrepresent Him — an act of religious presumption. On this much, John of Damascus agrees with Moses, with Isaiah</w:t>
      </w:r>
      <w:r>
        <w:t xml:space="preserve">, and with the Reformed tradition. But — and this is the pivot on which his entire argument turns — the situation was fundamentally and permanently transformed by the Incarnation of the Son of God. In the Incarnation, the eternal, invisible Son of God did not merely </w:t>
      </w:r>
      <w:r>
        <w:rPr>
          <w:i/>
          <w:iCs/>
        </w:rPr>
        <w:t>appear</w:t>
      </w:r>
      <w:r>
        <w:t xml:space="preserve"> to take human form; He truly and substantially </w:t>
      </w:r>
      <w:r>
        <w:rPr>
          <w:i/>
          <w:iCs/>
        </w:rPr>
        <w:t>became</w:t>
      </w:r>
      <w:r>
        <w:t xml:space="preserve"> human. He was born of the Virgin Mary; He had a face, hands, a body; He was visible, palpable, mortal. The fourth Gospel opens with the declaration that "the Word became flesh and dwelt among us, and we have seen his glory" (John 1:14) — the seeing of glory is an explicitly visual act. The first epistle of John opens with an even more emphatic affirmation: "That which was from the beginning, which we have heard, which we have seen with our eyes, which we looked upon and have touched with our hands, concern</w:t>
      </w:r>
      <w:r>
        <w:t>ing the word of life — the life was made manifest, and we have seen it" (1 John 1:1–2). The Incarnation, John of Damascus argues, was a revelatory event of precisely the visual kind that the pre-incarnational aniconic practice had to exclude. To refuse to make images of Christ after the Incarnation is, on this reading, not fidelity to the second commandment but a covert denial of the Incarnation itself — a practical Docetism that implies He did not truly and permanently become visible human flesh. The icon,</w:t>
      </w:r>
      <w:r>
        <w:t xml:space="preserve"> on this account, is a Christological confession: it confesses that the Son of God was truly seen, truly had a human face, and is truly depicted in His human nature. The iconoclast who refuses the icon is, whether he knows it or not, suggesting that the Incarnation left God still invisible and therefore undepictable — which is equivalent to denying that the Incarnation was a full, genuine assumption of human nature. This is the argument that Nicaea II ratified and that the Orthodox tradition continues to ma</w:t>
      </w:r>
      <w:r>
        <w:t>intain.</w:t>
      </w:r>
    </w:p>
    <w:p w14:paraId="4905AC93" w14:textId="77777777" w:rsidR="000E133F" w:rsidRDefault="00EC5ECA">
      <w:pPr>
        <w:spacing w:before="60" w:after="140" w:line="360" w:lineRule="auto"/>
      </w:pPr>
      <w:r>
        <w:t xml:space="preserve">The Reformed tradition acknowledges, without any reservation or qualification whatsoever, the theological truth that lies at the foundation of this argument. The Incarnation is real. The eternal Son of God truly became human. He "took to Himself a </w:t>
      </w:r>
      <w:r>
        <w:lastRenderedPageBreak/>
        <w:t>true body, and a reasonable soul, being conceived by the Holy Spirit in the womb of the virgin Mary, and born of her" (2LBC 8.2). He was visible; He was seen; He was touched; He rose bodily. The Second London Baptist Confession, following Chalcedon, is unambiguous: the one person Jesus Christ has two natures, divine and human, united in hypostatic union, "each nature distinct, and the properties of each nature being preserved." Nothing in the Reformed tradition denies the genuine humanity of Christ or impli</w:t>
      </w:r>
      <w:r>
        <w:t>es that His human nature was merely apparent. The Reformed response to John of Damascus is therefore not a counter-denial of the Incarnation but a careful argument that the Incarnation does not have the consequences for the second commandment that John of Damascus claims it does.</w:t>
      </w:r>
    </w:p>
    <w:p w14:paraId="79BA4E1A" w14:textId="77777777" w:rsidR="000E133F" w:rsidRDefault="00EC5ECA">
      <w:pPr>
        <w:spacing w:before="60" w:after="140" w:line="360" w:lineRule="auto"/>
      </w:pPr>
      <w:r>
        <w:t>The first component of the Reformed response is exegetical and concerns the proper reading of Deuteronomy 4:15–19. Moses's argument for aniconic worship is not, as John of Damascus's framework implies, a merely provisional prohibition grounded in God's temporary invisibility. The text does not say: "Since you saw no form at Horeb, do not make images — but when a form becomes visible, you may." It says: "Since you saw no form at Horeb, beware lest you act corruptly by making a carved image." The rationale is</w:t>
      </w:r>
      <w:r>
        <w:t xml:space="preserve"> not ontological but revelatory: God chose to reveal Himself in speech, in word, in propositional address — and the prohibition of images is a command to honor that chosen mode of self-revelation. The Sinai theophany established a normative pattern: God makes Himself known through His Word. This pattern is not a temporary accommodation to God's pre-incarnational invisibility; it is a permanent norm about the appropriate mode of knowing and worshipping God. The Incarnation confirms, rather than overturns, th</w:t>
      </w:r>
      <w:r>
        <w:t>is pattern, because the Incarnate Son did not come primarily to provide a human face to be painted on boards but to preach the Kingdom of God, to fulfill the law, to lay down His life as a ransom, and to send the Spirit of truth who would guide the apostles into all truth (John 16:13) — that is, into the complete apostolic testimony now deposited in the New Testament Scriptures. The mode of God's self-revelation in the New Covenant remains auditory and verbal — "faith comes from hearing, and hearing through</w:t>
      </w:r>
      <w:r>
        <w:t xml:space="preserve"> the word of Christ" (Romans 10:17) — not visual and iconic. The New Covenant does not inaugurate an age of visual religious representations; it inaugurates an age of gospel proclamation.</w:t>
      </w:r>
    </w:p>
    <w:p w14:paraId="7B533F51" w14:textId="77777777" w:rsidR="000E133F" w:rsidRDefault="00EC5ECA">
      <w:pPr>
        <w:spacing w:before="60" w:after="140" w:line="360" w:lineRule="auto"/>
      </w:pPr>
      <w:r>
        <w:lastRenderedPageBreak/>
        <w:t>The second component of the Reformed response is what may be called the two-natures problem, and it is, in the judgment of the present work, the single most penetrating theological objection to the iconographic argument. Any painted or sculpted representation of Jesus Christ can only depict what is visible and material — that is, a human body with particular physical features: a certain face, hair, eyes, coloring, stature, posture. What the icon depicts, in other words, is a human nature — or more precisely</w:t>
      </w:r>
      <w:r>
        <w:t>, one artist's imaginative reconstruction of what that human nature might have looked like. But the person whom the Orthodox worshipper intends to venerate when he kisses or bows before an icon of Christ is not merely the human nature of Jesus; it is the divine-human person of the eternal Son of God, the second Person of the Holy Trinity, who is one person subsisting in two natures. The theological question that the Damascene's argument cannot adequately resolve is this: how does a representation of Christ'</w:t>
      </w:r>
      <w:r>
        <w:t xml:space="preserve">s human nature — which is all that any icon can depict — succeed in representing the </w:t>
      </w:r>
      <w:r>
        <w:rPr>
          <w:i/>
          <w:iCs/>
        </w:rPr>
        <w:t>person</w:t>
      </w:r>
      <w:r>
        <w:t xml:space="preserve"> of Christ in such a way that veneration of the representation reaches and honors the person? John of Damascus anticipates this objection and addresses it directly: he argues that the icon depicts not the </w:t>
      </w:r>
      <w:r>
        <w:rPr>
          <w:i/>
          <w:iCs/>
        </w:rPr>
        <w:t>nature</w:t>
      </w:r>
      <w:r>
        <w:t xml:space="preserve"> of Christ but the </w:t>
      </w:r>
      <w:r>
        <w:rPr>
          <w:i/>
          <w:iCs/>
        </w:rPr>
        <w:t>hypostasis</w:t>
      </w:r>
      <w:r>
        <w:t xml:space="preserve"> — the person — of Christ. "We do not make images of natures; we make images of persons." But this response, however sophisticated, does not dissolve the difficulty. For the person </w:t>
      </w:r>
      <w:r>
        <w:t xml:space="preserve">of the Son of God can only be depicted </w:t>
      </w:r>
      <w:r>
        <w:rPr>
          <w:i/>
          <w:iCs/>
        </w:rPr>
        <w:t>through</w:t>
      </w:r>
      <w:r>
        <w:t xml:space="preserve"> a representation of the nature — specifically, the human nature — that is visible. When the icon depicts "Christ," what it actually depicts is a particular human physiognomy that the painter imagines to be approximately correct. The divine nature — the eternal Word, the one through whom all things were made — is not and cannot be depicted in any form. The person of Christ is present in the icon, if at all, only through a partial representation: His human nature</w:t>
      </w:r>
      <w:r>
        <w:t>, rendered by a human artist, from an act of imagination, with no apostolic or dominical guarantee of accuracy.</w:t>
      </w:r>
    </w:p>
    <w:p w14:paraId="43B0FAA4" w14:textId="77777777" w:rsidR="000E133F" w:rsidRDefault="00EC5ECA">
      <w:pPr>
        <w:spacing w:before="60" w:after="140" w:line="360" w:lineRule="auto"/>
      </w:pPr>
      <w:r>
        <w:t xml:space="preserve">This leads directly to what the Reformed tradition, following Calvin, identifies as the Nestorian dilemma at the heart of icon-Christology. If the icon depicts only the human nature of Christ — if what is represented is strictly the humanity — then the veneration directed toward the icon does not, by the logic of the thing, actually reach the divine person of the Son; it reaches only a representation of human nature. The "honor passes </w:t>
      </w:r>
      <w:r>
        <w:lastRenderedPageBreak/>
        <w:t xml:space="preserve">to the prototype" formula of Nicaea II is meant to prevent this conclusion by insisting that the honor directed at the image reaches the person through the image. But this requires that the image of the human nature succeed in representing the divine-human person — which is precisely what is in dispute. The alternative horn of the dilemma is equally problematic: if the icon truly represents the divine person of the Son — not merely His human nature but His eternal divine hypostasis — then the icon is doing </w:t>
      </w:r>
      <w:r>
        <w:t>something that is, in principle, as forbidden after the Incarnation as before it, because the divine person of the Son is not exhaustively contained in or expressed by any particular depiction of His human nature. The divine nature remains invisible, infinite, and unrepresentable. By claiming that the icon represents the full divine-human person, the iconographic tradition implicitly subordinates the divine nature to the visible human form — or, worse, implies that the divine person is somehow captured, con</w:t>
      </w:r>
      <w:r>
        <w:t>tained, or made locally present in the material image. This is, from the Reformed perspective, the very error that Moses warned against, now reproduced within Christian worship under the legitimating authority of a sophisticated Christological vocabulary.</w:t>
      </w:r>
    </w:p>
    <w:p w14:paraId="778C34ED" w14:textId="77777777" w:rsidR="000E133F" w:rsidRDefault="00EC5ECA">
      <w:pPr>
        <w:spacing w:before="60" w:after="140" w:line="360" w:lineRule="auto"/>
      </w:pPr>
      <w:r>
        <w:t>The third component of the Reformed response concerns the historical trajectory of the iconographic practice and the argument from pre-apostolic tradition. The Orthodox appeal to Nicaea II (787) as the definitive Ecumenical Council on the question must be read in light of the prior history. The early church was, for the first two to three centuries, substantially aniconic in its public worship. While artistic representations of Christ and the apostles did appear in private devotional contexts and in funerar</w:t>
      </w:r>
      <w:r>
        <w:t>y art (the Roman catacombs being the primary evidence), there is no credible evidence of formal icon-veneration in the Nicene church. The most striking evidence for the early aniconic practice comes from an unexpected quarter: Eusebius of Caesarea, the great historian of the early church and contemporary of Constantine, wrote a letter to Constantia, the emperor's sister, in which she had requested an image of Christ. Eusebius refuses her request with explicit theological reasoning: he argues that to paint C</w:t>
      </w:r>
      <w:r>
        <w:t xml:space="preserve">hrist's divine nature is impossible, and to paint His glorified, risen body is equally impossible, since we do not know what it looks like; and to paint His earthly body as it appeared before the Resurrection is to paint only the servant-form He has now laid aside, which would be spiritually misleading. This letter, preserved by the iconoclasts and quoted at Nicaea II </w:t>
      </w:r>
      <w:r>
        <w:lastRenderedPageBreak/>
        <w:t>(where the council Fathers struggled to discredit it rather than engage its argument), represents pre-Nicene testimony against iconic represe</w:t>
      </w:r>
      <w:r>
        <w:t>ntation at the highest levels of early Christian scholarship. The Synod of Elvira in Spain (c. 306 AD), one of the earliest Western councils, passed Canon 36, which reads: "We think it right that there should be no pictures in churches, and that what is worshipped or adored should not be painted on the walls." This is a pre-Constantinian, pre-Nicene conciliar prohibition of images in Christian worship — a datum that the Orthodox insistence on unbroken iconographic Tradition is unable to comfortably accommod</w:t>
      </w:r>
      <w:r>
        <w:t xml:space="preserve">ate. The Council of Hieria in 754, convened by the Emperor Constantine V, produced a lengthy theological defense of iconoclasm that, while flawed in some of its arguments, demonstrated that the rejection of icons was not a post-Nicene novelty but had a continuous stream of support within Christianity. While the Reformed tradition does not regard Hieria as a reliable theological authority any more than it regards Nicaea II as one, the existence of this pre-787 conciliar iconoclasm is important evidence that </w:t>
      </w:r>
      <w:r>
        <w:t>the iconographic practice was not the universally received Tradition that Orthodox apologists claim.</w:t>
      </w:r>
    </w:p>
    <w:p w14:paraId="58D74FA6" w14:textId="77777777" w:rsidR="000E133F" w:rsidRDefault="00EC5ECA">
      <w:pPr>
        <w:spacing w:before="60" w:after="140" w:line="360" w:lineRule="auto"/>
      </w:pPr>
      <w:r>
        <w:t>The fourth component of the Reformed response is the argument from the Regulative Principle of Worship. Even if every argument above were to be set aside, the question would remain: where in the New Testament did Christ or His apostles institute the practice of venerating images of Himself or the saints as a form of Christian worship? The answer is: nowhere. The New Testament contains no dominical institution of icon-veneration. It contains no apostolic instruction for the making or veneration of images. Th</w:t>
      </w:r>
      <w:r>
        <w:t xml:space="preserve">e churches of the New Testament era worshipped through the preaching and teaching of the Word, through prayer, through the singing of psalms and hymns, through baptism, and through the Lord's Supper — none of these practices involves visual religious images. The Reformed principle, grounded in 2LBC 22.1, is that worship must be positively warranted by Scripture, not merely not explicitly prohibited. Since icon-veneration lacks any such positive scriptural warrant, its introduction into Christian worship by </w:t>
      </w:r>
      <w:r>
        <w:t>the Seventh Ecumenical Council in 787 — some 750 years after the apostolic age — represents precisely the kind of human addition to divine worship that the second commandment forbids and the Regulative Principle excludes.</w:t>
      </w:r>
    </w:p>
    <w:p w14:paraId="57176E57" w14:textId="77777777" w:rsidR="000E133F" w:rsidRDefault="00EC5ECA">
      <w:pPr>
        <w:pStyle w:val="Heading2"/>
      </w:pPr>
      <w:bookmarkStart w:id="180" w:name="_Toc232765407"/>
      <w:r>
        <w:lastRenderedPageBreak/>
        <w:t>18.3 — The Regulative Principle of Worship Applied to Iconographic Practice</w:t>
      </w:r>
      <w:bookmarkEnd w:id="180"/>
    </w:p>
    <w:p w14:paraId="38F0F40B" w14:textId="77777777" w:rsidR="000E133F" w:rsidRDefault="00EC5ECA">
      <w:pPr>
        <w:spacing w:before="60" w:after="140" w:line="360" w:lineRule="auto"/>
      </w:pPr>
      <w:r>
        <w:t>The Second London Baptist Confession of Faith, Chapter 22, Paragraph 1, states the Regulative Principle of Worship in its clearest and most comprehensive form: "The acceptable way of worshipping the true God, is instituted by himself, and so limited by his own revealed will, that he may not be worshipped according to the imaginations and devices of men, nor the suggestions of Satan, under any visible representations, or any other way not prescribed in the Holy Scripture." The precision of this formulation d</w:t>
      </w:r>
      <w:r>
        <w:t xml:space="preserve">eserves careful attention. The Confession does not merely say that worship must not contradict Scripture; it says that worship must be </w:t>
      </w:r>
      <w:r>
        <w:rPr>
          <w:i/>
          <w:iCs/>
        </w:rPr>
        <w:t>prescribed</w:t>
      </w:r>
      <w:r>
        <w:t xml:space="preserve"> by Scripture — that is, positively authorized. And it singles out, by name, two categories of prohibited worship: "the imaginations and devices of men" and "the suggestions of Satan, under any visible representations." The phrase "under any visible representations" is not incidental; it is a direct and deliberate reference to image-worship. The Westminster Confess</w:t>
      </w:r>
      <w:r>
        <w:t>ion of Faith, Chapter 21, Paragraph 1, employs identical reasoning: "The acceptable way of worshiping the true God is instituted by himself, and so limited by his own revealed will, that he may not be worshiped according to the imaginations and devices of men, or the suggestions of Satan, under any visible representation, or any other way not prescribed in the Holy Scripture." That two separate confessional standards, produced in different countries and for different constituencies, both arrive at this prec</w:t>
      </w:r>
      <w:r>
        <w:t>ise formulation is not coincidental; it reflects the shared exegetical conclusions of the Reformed tradition working from the same biblical texts.</w:t>
      </w:r>
    </w:p>
    <w:p w14:paraId="0ECF2E2E" w14:textId="77777777" w:rsidR="000E133F" w:rsidRDefault="00EC5ECA">
      <w:pPr>
        <w:spacing w:before="60" w:after="140" w:line="360" w:lineRule="auto"/>
      </w:pPr>
      <w:r>
        <w:t xml:space="preserve">The Regulative Principle (RPW) is not, as its critics sometimes charge, a merely negative principle — a prohibition without theological grounding. It is, rather, a theological inference from several interconnected doctrinal commitments. The first is the sufficiency of Scripture: if the written Word of God is sufficient for all matters of faith and practice (2LBC 1.6: "The whole counsel of God concerning all things necessary for His own glory, man's salvation, faith, and life is either expressly set down or </w:t>
      </w:r>
      <w:r>
        <w:t xml:space="preserve">necessarily contained in the Holy Scripture"), then any element of worship that Scripture neither commands nor necessarily implies is, by that very absence, unauthorized. God's silence on a matter of worship is not a blank check for human invention; it is a prohibition by </w:t>
      </w:r>
      <w:r>
        <w:lastRenderedPageBreak/>
        <w:t xml:space="preserve">omission. The second theological grounding of the RPW is the divine jealousy articulated in the second commandment itself. The commandment does not merely prohibit images; it explains the prohibition: "for I the LORD your God am a jealous </w:t>
      </w:r>
      <w:r>
        <w:t>God." The divine jealousy (</w:t>
      </w:r>
      <w:r>
        <w:rPr>
          <w:i/>
          <w:iCs/>
        </w:rPr>
        <w:t>qanna</w:t>
      </w:r>
      <w:r>
        <w:t xml:space="preserve">) is specifically a jealousy over worship — God will not share the honor of being worshipped with any creature, representation, or human invention. This jealousy, Calvin notes in the </w:t>
      </w:r>
      <w:r>
        <w:rPr>
          <w:i/>
          <w:iCs/>
        </w:rPr>
        <w:t>Institutes</w:t>
      </w:r>
      <w:r>
        <w:t>, is not an emotional weakness in God but a reflection of His absolute uniqueness: precisely because He is the only living God, He will not tolerate the attribution to any created thing of the honor that belongs exclusively to Him. The third grounding is the biblical evidence that human</w:t>
      </w:r>
      <w:r>
        <w:t xml:space="preserve"> additions to the divinely prescribed mode of worship — even well-intentioned additions — are treated by God as acts of contempt rather than devotion. The classic instance is Leviticus 10:1–2, where Nadab and Abihu, the sons of Aaron, offered "unauthorized fire before the LORD, which he had not commanded them," and were immediately consumed by divine fire. The text's description — "which he had not commanded" — is the hermeneutical key: the problem was not that they had been explicitly forbidden to use this</w:t>
      </w:r>
      <w:r>
        <w:t xml:space="preserve"> fire, but that it had not been commanded. The principle established by this narrative became a foundational text for the Reformed doctrine of the RPW.</w:t>
      </w:r>
    </w:p>
    <w:p w14:paraId="3D2B4891" w14:textId="77777777" w:rsidR="000E133F" w:rsidRDefault="00EC5ECA">
      <w:pPr>
        <w:spacing w:before="60" w:after="140" w:line="360" w:lineRule="auto"/>
      </w:pPr>
      <w:r>
        <w:t xml:space="preserve">Calvin's treatment of the RPW in the </w:t>
      </w:r>
      <w:r>
        <w:rPr>
          <w:i/>
          <w:iCs/>
        </w:rPr>
        <w:t>Institutes</w:t>
      </w:r>
      <w:r>
        <w:t xml:space="preserve"> (IV.10) applies the principle with particular force to the category of human traditions in worship. Drawing on Colossians 2:23, where Paul refers to "self-made religion" (</w:t>
      </w:r>
      <w:r>
        <w:rPr>
          <w:i/>
          <w:iCs/>
        </w:rPr>
        <w:t>ethelothrēskeia</w:t>
      </w:r>
      <w:r>
        <w:t>), Calvin argues that the impulse to add human inventions to God's appointed worship is a form of will-worship that, however sincere, is ultimately an assertion of human autonomy over against divine authority. The worshipper who invents or adopts forms of worship not commanded by God is implicitly claiming the rig</w:t>
      </w:r>
      <w:r>
        <w:t>ht to decide how God is to be approached — a claim that contradicts the foundational principle that God alone knows how He is to be worshipped and that His Word is the sole authoritative communication of that knowledge. G.I. Williamson, in his influential study class guide to the Westminster Confession, argues that the RPW is not merely a liturgical preference of Reformed Protestantism but the logical corollary of the Reformed doctrine of God: a God who has perfectly and sufficiently revealed His will in Sc</w:t>
      </w:r>
      <w:r>
        <w:t xml:space="preserve">ripture cannot be thought to have left the mode of His own worship to human creativity. To think otherwise is to attribute to God </w:t>
      </w:r>
      <w:r>
        <w:lastRenderedPageBreak/>
        <w:t>either carelessness about His own worship (which contradicts the jealousy language of Exodus 20:5) or incompleteness in His revelation (which contradicts 2LBC 1.6).</w:t>
      </w:r>
    </w:p>
    <w:p w14:paraId="408BC2CF" w14:textId="77777777" w:rsidR="000E133F" w:rsidRDefault="00EC5ECA">
      <w:pPr>
        <w:spacing w:before="60" w:after="140" w:line="360" w:lineRule="auto"/>
      </w:pPr>
      <w:r>
        <w:t>The Eastern Orthodox response to the Regulative Principle has taken several forms. The most theologically serious response appeals to John 16:13: "When the Spirit of truth comes, he will guide you into all the truth." The Orthodox argue that the Holy Spirit continues to guide the Church into new forms of worship — the iconographic tradition, the liturgical calendar, the Divine Liturgy of St. John Chrysostom, the theology of the Councils — all are instances of Spirit-guided development of apostolic practice.</w:t>
      </w:r>
      <w:r>
        <w:t xml:space="preserve"> This is not arbitrary human invention; it is the Spirit's progressive unfolding of the mystery of Christ within the life of the worshipping community. The Reformed counter-argument at this point is decisive. John 16:13 was spoken to the apostles, not to post-apostolic councils. The Spirit's guidance "into all truth" was the promise of the complete apostolic deposit — fulfilled in the completed New Testament canon. The Spirit does not generate new doctrinal or liturgical content in the post-apostolic age; H</w:t>
      </w:r>
      <w:r>
        <w:t>e illuminates, applies, and enables the reception of the truth already fully revealed. This is precisely what 2LBC 1.6 asserts when it states that "those former ways of God's revealing his will unto his people being now completed" and that "nothing is at any time to be added to it, whether by new revelation of the Spirit or traditions of men." The Spirit's role in the church's post-apostolic life is not creative — generating new forms of worship not found in Scripture — but illuminative: enabling the church</w:t>
      </w:r>
      <w:r>
        <w:t xml:space="preserve"> to understand and apply what has already been given. When the Orthodox appeal to the Spirit's guidance as the legitimating ground for icon-veneration, they are making a claim that the Reformed tradition regards as both unprovable and, more importantly, as contradicted by the very understanding of the Spirit's role that the New Testament itself teaches.</w:t>
      </w:r>
    </w:p>
    <w:p w14:paraId="4CBD5AC3" w14:textId="77777777" w:rsidR="000E133F" w:rsidRDefault="00EC5ECA">
      <w:pPr>
        <w:spacing w:before="60" w:after="140" w:line="360" w:lineRule="auto"/>
      </w:pPr>
      <w:r>
        <w:t xml:space="preserve">There is also a pastoral dimension to the RPW that deserves emphasis, one that Calvin articulates with great pastoral sensitivity. The RPW is not a cold, abstract principle of liturgical legalism; it is a protection for ordinary believers. The person in the pew — or, in the Orthodox context, the person standing before an iconostasis — is not equipped to make sophisticated theological distinctions between </w:t>
      </w:r>
      <w:r>
        <w:rPr>
          <w:i/>
          <w:iCs/>
        </w:rPr>
        <w:t>latreia</w:t>
      </w:r>
      <w:r>
        <w:t xml:space="preserve"> (worship) and </w:t>
      </w:r>
      <w:r>
        <w:rPr>
          <w:i/>
          <w:iCs/>
        </w:rPr>
        <w:t>proskynesis</w:t>
      </w:r>
      <w:r>
        <w:t xml:space="preserve"> (veneration), between a material object and the spiritual prototype it represents. What the ordinary believer knows is that he prostrates himself before an image, kisses it, </w:t>
      </w:r>
      <w:r>
        <w:lastRenderedPageBreak/>
        <w:t>lights candles before it, and addresses spoken prayers to the person depicted. This is, in observable behavior, worship. The theological gloss — "I am not worshipping the image; I am venerating the prototype through the image" — may be intelligible in the seminar room, but it does not govern what happen</w:t>
      </w:r>
      <w:r>
        <w:t xml:space="preserve">s in the heart and conscience of a devout grandmother who addresses her prayers to the icon of the Theotokos. Calvin's concern, expressed throughout Book I of the </w:t>
      </w:r>
      <w:r>
        <w:rPr>
          <w:i/>
          <w:iCs/>
        </w:rPr>
        <w:t>Institutes</w:t>
      </w:r>
      <w:r>
        <w:t xml:space="preserve">, is not with Orthodox theologians but with ordinary people, who cannot be expected to navigate abstract philosophical distinctions while engaged in the act of devotion. For them, the image </w:t>
      </w:r>
      <w:r>
        <w:rPr>
          <w:i/>
          <w:iCs/>
        </w:rPr>
        <w:t>is</w:t>
      </w:r>
      <w:r>
        <w:t xml:space="preserve"> the object of prayer; the second commandment forbids this with precisely the practical wisdom that protects ordinary people from the idolatry that</w:t>
      </w:r>
      <w:r>
        <w:t xml:space="preserve"> scholars endlessly rationalize.</w:t>
      </w:r>
    </w:p>
    <w:p w14:paraId="174FC355" w14:textId="77777777" w:rsidR="000E133F" w:rsidRDefault="00EC5ECA">
      <w:pPr>
        <w:pStyle w:val="Heading2"/>
      </w:pPr>
      <w:bookmarkStart w:id="181" w:name="_Toc232765408"/>
      <w:r>
        <w:t>18.4 — The Iconoclast Controversy Reconsidered: Were the Iconoclasts Right?</w:t>
      </w:r>
      <w:bookmarkEnd w:id="181"/>
    </w:p>
    <w:p w14:paraId="6A055B35" w14:textId="77777777" w:rsidR="000E133F" w:rsidRDefault="00EC5ECA">
      <w:pPr>
        <w:spacing w:before="60" w:after="140" w:line="360" w:lineRule="auto"/>
      </w:pPr>
      <w:r>
        <w:t>Any honest evaluation of the Iconoclast Controversy of the eighth and ninth centuries must acknowledge that the conflict was theologically complex in ways that simple partisanship cannot capture. The Reformed tradition does not endorse the Iconoclast position wholesale; it endorses the Iconoclast conclusion while finding some of the Iconoclast arguments theologically deficient. The distinction matters because the Eastern Orthodox have sometimes argued that the Reformed position is effectively a reproduction</w:t>
      </w:r>
      <w:r>
        <w:t xml:space="preserve"> of Byzantine iconoclasm, and therefore subject to all the theological refutations that Nicaea II directed at the iconoclasts. This identification is only partially accurate, and the partial inaccuracy is significant.</w:t>
      </w:r>
    </w:p>
    <w:p w14:paraId="6A88FD75" w14:textId="77777777" w:rsidR="000E133F" w:rsidRDefault="00EC5ECA">
      <w:pPr>
        <w:spacing w:before="60" w:after="140" w:line="360" w:lineRule="auto"/>
      </w:pPr>
      <w:r>
        <w:t xml:space="preserve">The Byzantine iconoclasts of the eighth century were not a theologically uniform movement. Some of their arguments against icons were flawed in ways that the Reformed tradition would not reproduce. In particular, some iconoclast theologians argued that Christ's human nature cannot be depicted because the divine nature and human nature are inseparable in the one person — which, if taken to its logical conclusion, comes close to a Monophysite conflation of the two natures. This is the argument that Nicaea II </w:t>
      </w:r>
      <w:r>
        <w:t xml:space="preserve">rightly rejected: the Council correctly insisted that the two natures are distinct, that the human nature is genuinely human and therefore genuinely visible and depictable as human, and that the refusal to acknowledge this verges on a </w:t>
      </w:r>
      <w:r>
        <w:lastRenderedPageBreak/>
        <w:t>denial of the full humanity of Christ. The Reformed tradition does not reproduce this flawed iconoclast argument. Reformed theology affirms the full humanity of Christ, affirms that His human nature as such was visible and in principle depictable, and does not argue from a Mon</w:t>
      </w:r>
      <w:r>
        <w:t>ophysite premise. The Reformed argument against icons is different in kind from this iconoclast argument.</w:t>
      </w:r>
    </w:p>
    <w:p w14:paraId="24705F5A" w14:textId="77777777" w:rsidR="000E133F" w:rsidRDefault="00EC5ECA">
      <w:pPr>
        <w:spacing w:before="60" w:after="140" w:line="360" w:lineRule="auto"/>
      </w:pPr>
      <w:r>
        <w:t xml:space="preserve">The iconoclasts' more substantial arguments — that the veneration of images constitutes a violation of the second commandment, that the distinction between </w:t>
      </w:r>
      <w:r>
        <w:rPr>
          <w:i/>
          <w:iCs/>
        </w:rPr>
        <w:t>latreia</w:t>
      </w:r>
      <w:r>
        <w:t xml:space="preserve"> and </w:t>
      </w:r>
      <w:r>
        <w:rPr>
          <w:i/>
          <w:iCs/>
        </w:rPr>
        <w:t>proskynesis</w:t>
      </w:r>
      <w:r>
        <w:t xml:space="preserve"> is practically unstable, and that the iconographic tradition lacks apostolic warrant — these are arguments that the Reformed tradition does affirm, and that Nicaea II never successfully refuted. The Council's response to the second commandment objection was essentially to apply a category distinction: the commandment forbids </w:t>
      </w:r>
      <w:r>
        <w:rPr>
          <w:i/>
          <w:iCs/>
        </w:rPr>
        <w:t>worship</w:t>
      </w:r>
      <w:r>
        <w:t xml:space="preserve"> (</w:t>
      </w:r>
      <w:r>
        <w:rPr>
          <w:i/>
          <w:iCs/>
        </w:rPr>
        <w:t>latreia</w:t>
      </w:r>
      <w:r>
        <w:t xml:space="preserve">) of images, but the Church only commands </w:t>
      </w:r>
      <w:r>
        <w:rPr>
          <w:i/>
          <w:iCs/>
        </w:rPr>
        <w:t>veneration</w:t>
      </w:r>
      <w:r>
        <w:t xml:space="preserve"> (</w:t>
      </w:r>
      <w:r>
        <w:rPr>
          <w:i/>
          <w:iCs/>
        </w:rPr>
        <w:t>proskynesis</w:t>
      </w:r>
      <w:r>
        <w:t>), not worship. The Council did not, because it could not, demonstrate from Scri</w:t>
      </w:r>
      <w:r>
        <w:t>pture that this distinction is authorized by God or that it reliably protects against the idolatrous impulse that the commandment was designed to prevent. The Council's anathema against "those who apply to the holy icons the words of Holy Scripture spoken against idols" is, from the Reformed perspective, an attempt to insulate iconographic practice from scriptural critique by fiat — which is precisely the wrong response. If the words of Scripture apply to icons, the appropriate response is to abandon the ic</w:t>
      </w:r>
      <w:r>
        <w:t>ons, not to anathematize those who apply Scripture.</w:t>
      </w:r>
    </w:p>
    <w:p w14:paraId="0606BE1D" w14:textId="77777777" w:rsidR="000E133F" w:rsidRDefault="00EC5ECA">
      <w:pPr>
        <w:spacing w:before="60" w:after="140" w:line="360" w:lineRule="auto"/>
      </w:pPr>
      <w:r>
        <w:t xml:space="preserve">Calvin's pastoral observation about the practical instability of the </w:t>
      </w:r>
      <w:r>
        <w:rPr>
          <w:i/>
          <w:iCs/>
        </w:rPr>
        <w:t>latreia/proskynesis</w:t>
      </w:r>
      <w:r>
        <w:t xml:space="preserve"> distinction deserves to be given its full weight. Calvin argues, in substance, that when veneration of an icon is empirically indistinguishable from worship — when the same acts are performed before an icon that would be universally recognized as acts of divine worship if performed in any other religious context (prostration, incense, kissing, lighting candles, addressing audible prayers) — the theological distinction between veneration and worship has collapsed in the only arena where i</w:t>
      </w:r>
      <w:r>
        <w:t xml:space="preserve">t actually matters: the human heart and conscience in the moment of devotion. What the ordinary believer is doing when he crosses himself and bows before an icon of Christ is, functionally and psychologically, worship. The brilliant theological argument that this is </w:t>
      </w:r>
      <w:r>
        <w:rPr>
          <w:i/>
          <w:iCs/>
        </w:rPr>
        <w:t>not</w:t>
      </w:r>
      <w:r>
        <w:t xml:space="preserve"> worship but </w:t>
      </w:r>
      <w:r>
        <w:rPr>
          <w:i/>
          <w:iCs/>
        </w:rPr>
        <w:t>veneration</w:t>
      </w:r>
      <w:r>
        <w:t xml:space="preserve"> of the prototype through the image is an argument that operates at a level of </w:t>
      </w:r>
      <w:r>
        <w:lastRenderedPageBreak/>
        <w:t>abstraction that has no practical effect on the devotional act. This is precisely what the Reformation recovered from the prophets: Isaiah's</w:t>
      </w:r>
      <w:r>
        <w:t xml:space="preserve"> satire on idolatry (Isaiah 44) does not argue that the idol-worshipper fails to make the correct theoretical distinction between the image and the deity; it argues that the act of bowing before the image is, in itself and regardless of theory, an act of religious trust directed toward a creature — which is the definition of idolatry. The Reformed tradition applies this prophetic logic consistently and without apology: whatever the theory, when Christians bow before images in religious contexts, kiss them, </w:t>
      </w:r>
      <w:r>
        <w:t>light candles before them, and address prayers to them, the second commandment has been violated.</w:t>
      </w:r>
    </w:p>
    <w:p w14:paraId="4BB81DC6" w14:textId="77777777" w:rsidR="000E133F" w:rsidRDefault="00EC5ECA">
      <w:pPr>
        <w:pStyle w:val="Heading1"/>
        <w:pageBreakBefore/>
      </w:pPr>
      <w:bookmarkStart w:id="182" w:name="_Toc232765409"/>
      <w:r>
        <w:lastRenderedPageBreak/>
        <w:t>CHAPTER NINETEEN: PRAYER TO SAINTS — THE ALL-SUFFICIENT INTERCESSION OF CHRIST</w:t>
      </w:r>
      <w:bookmarkEnd w:id="182"/>
    </w:p>
    <w:p w14:paraId="715B1A74" w14:textId="77777777" w:rsidR="000E133F" w:rsidRDefault="00EC5ECA">
      <w:pPr>
        <w:pStyle w:val="Heading2"/>
      </w:pPr>
      <w:bookmarkStart w:id="183" w:name="_Toc232765410"/>
      <w:r>
        <w:t>19.1 — The All-Sufficient Intercession of Christ: Hebrews 4–10</w:t>
      </w:r>
      <w:bookmarkEnd w:id="183"/>
    </w:p>
    <w:p w14:paraId="4F12D910" w14:textId="77777777" w:rsidR="000E133F" w:rsidRDefault="00EC5ECA">
      <w:pPr>
        <w:spacing w:before="60" w:after="140" w:line="360" w:lineRule="auto"/>
      </w:pPr>
      <w:r>
        <w:t>The Epistle to the Hebrews is, of all the New Testament documents, the one that most systematically addresses the question of access to God and the nature of Christian prayer. Its argument proceeds from a careful typological reading of the Levitical priesthood, demonstrating in detail how every feature of the old covenant sacrificial system was a prefiguring shadow of the one great reality to which it pointed: the priesthood of Jesus Christ, who has entered the true sanctuary and offers His one sacrifice on</w:t>
      </w:r>
      <w:r>
        <w:t>ce for all. Within this comprehensive priestly Christology, the question of Christian prayer is addressed with a directness and a theological precision that leaves no room for any secondary intercessory class standing between the believer and God.</w:t>
      </w:r>
    </w:p>
    <w:p w14:paraId="211E1DA5" w14:textId="77777777" w:rsidR="000E133F" w:rsidRDefault="00EC5ECA">
      <w:pPr>
        <w:spacing w:before="60" w:after="140" w:line="360" w:lineRule="auto"/>
      </w:pPr>
      <w:r>
        <w:t>Hebrews 4:14–16 is the passage that most directly addresses the nature and ground of Christian prayer: "Since then we have a great high priest who has passed through the heavens, Jesus, the Son of God, let us hold fast our confession. For we do not have a high priest who is unable to sympathize with our weaknesses, but one who in every respect has been tempted as we are, yet without sin. Let us then with confidence draw near to the throne of grace, that we may receive mercy and find grace to help in time of</w:t>
      </w:r>
      <w:r>
        <w:t xml:space="preserve"> need." Every word of this text contributes to its cumulative argument. The designation "great high priest" (</w:t>
      </w:r>
      <w:r>
        <w:rPr>
          <w:i/>
          <w:iCs/>
        </w:rPr>
        <w:t>archiereus megas</w:t>
      </w:r>
      <w:r>
        <w:t>) draws on the highest category of priestly office in the Levitical system and immediately elevates Jesus above every merely human priestly figure. The phrase "who has passed through the heavens" (</w:t>
      </w:r>
      <w:r>
        <w:rPr>
          <w:i/>
          <w:iCs/>
        </w:rPr>
        <w:t>dielelythota tous ouranous</w:t>
      </w:r>
      <w:r>
        <w:t>) describes the unique qualitative achievement of Christ's ascension and heavenly session — not merely passing through one curtained veil, as the Levitical high pri</w:t>
      </w:r>
      <w:r>
        <w:t xml:space="preserve">est did on the Day of Atonement, but passing through the entire created heavens into the very presence of God Most High. This is a priest whose access to God is categorically unlike anything in the human religious order. The author then draws the implication for the believer's own access with an imperative in the first-person plural: "let us hold fast our </w:t>
      </w:r>
      <w:r>
        <w:lastRenderedPageBreak/>
        <w:t>confession" — the confession being precisely the truth that this unprecedented priestly access is ours by virtue of our union with Him. The christological</w:t>
      </w:r>
      <w:r>
        <w:t xml:space="preserve"> qualification that follows — that this high priest is not unable to sympathize with our weaknesses, having been tempted in all respects as we are, yet without sin — is offered not merely as a biographical note about Jesus but as a reason for confidence in approaching God through Him. The very human experience that makes Christ our brother — His genuine exposure to weakness, temptation, suffering, and the full range of creaturely limitation — is what qualifies Him uniquely as our empathetic advocate. No sai</w:t>
      </w:r>
      <w:r>
        <w:t>nt in glory, however holy, has both the divine status (having passed through the heavens to the right hand of God) and the incarnate sympathy (having been tempted in every respect as we are) that Hebrews attributes uniquely to Jesus. The text then delivers its great invitation: "Let us then with confidence draw near to the throne of grace, that we may receive mercy and find grace to help in time of need." The throne of grace (</w:t>
      </w:r>
      <w:r>
        <w:rPr>
          <w:i/>
          <w:iCs/>
        </w:rPr>
        <w:t>throno tēs charitos</w:t>
      </w:r>
      <w:r>
        <w:t>) is the very presence of God — the inner sanctuary to which th</w:t>
      </w:r>
      <w:r>
        <w:t xml:space="preserve">e Levitical high priest alone could draw near, and only once a year, and not without blood. But now, through Christ, every believer is invited — commanded — to draw near </w:t>
      </w:r>
      <w:r>
        <w:rPr>
          <w:i/>
          <w:iCs/>
        </w:rPr>
        <w:t>with confidence</w:t>
      </w:r>
      <w:r>
        <w:t xml:space="preserve"> (</w:t>
      </w:r>
      <w:r>
        <w:rPr>
          <w:i/>
          <w:iCs/>
        </w:rPr>
        <w:t>parrēsian</w:t>
      </w:r>
      <w:r>
        <w:t xml:space="preserve">). This </w:t>
      </w:r>
      <w:r>
        <w:rPr>
          <w:i/>
          <w:iCs/>
        </w:rPr>
        <w:t>parrēsia</w:t>
      </w:r>
      <w:r>
        <w:t xml:space="preserve"> — translated "boldness" or "confidence" — is the characteristic New Covenant quality of the believer's access to God: not the terrified approach of a subject before an absolute monarch, but the confident approach of a child before a Father who has already declared His welcome. And the approach is p</w:t>
      </w:r>
      <w:r>
        <w:t xml:space="preserve">ersonal and direct. The text does not say: "Let us draw near through the saints in glory" or "Let us present our requests to the Theotokos that she may present them to Christ who will present them to the Father." It says: "Let </w:t>
      </w:r>
      <w:r>
        <w:rPr>
          <w:i/>
          <w:iCs/>
        </w:rPr>
        <w:t>us</w:t>
      </w:r>
      <w:r>
        <w:t xml:space="preserve"> draw near" — </w:t>
      </w:r>
      <w:r>
        <w:rPr>
          <w:i/>
          <w:iCs/>
        </w:rPr>
        <w:t>us</w:t>
      </w:r>
      <w:r>
        <w:t>, the believers reading the letter, personally, directly, confidently, to the throne where our great high priest is already present as our advocate.</w:t>
      </w:r>
    </w:p>
    <w:p w14:paraId="1B640CD3" w14:textId="77777777" w:rsidR="000E133F" w:rsidRDefault="00EC5ECA">
      <w:pPr>
        <w:spacing w:before="60" w:after="140" w:line="360" w:lineRule="auto"/>
      </w:pPr>
      <w:r>
        <w:t>Hebrews 7:25 provides what may be the single most concentrated statement of Christ's intercessory sufficiency in the entire New Testament: "Consequently, he is able to save to the uttermost those who draw near to God through him, since he always lives to make intercession for them." The soteriology here is maximal in every direction. "Able to save to the uttermost" (</w:t>
      </w:r>
      <w:r>
        <w:rPr>
          <w:i/>
          <w:iCs/>
        </w:rPr>
        <w:t>eis to panteles</w:t>
      </w:r>
      <w:r>
        <w:t xml:space="preserve">) — the Greek idiom indicates completeness and totality, not merely adequacy: Christ's saving power extends to the outermost limit of human need, the most hopeless of sinners, the most desperate of circumstances. The </w:t>
      </w:r>
      <w:r>
        <w:lastRenderedPageBreak/>
        <w:t>ground of this ability is continuous and personal: "he always lives to make intercession for them." This is not a past intercession that concluded with the ascension; it is an ongoing, present, living act. The glorified Son of God, at the right hand of the Father, is, at this mom</w:t>
      </w:r>
      <w:r>
        <w:t>ent and every moment, interceding for His people. This is the believer's permanent standing before God: never unrepresented, never without an advocate, never without the most effective possible intercessor speaking on his behalf. The phrase "through him" (</w:t>
      </w:r>
      <w:r>
        <w:rPr>
          <w:i/>
          <w:iCs/>
        </w:rPr>
        <w:t>di autou</w:t>
      </w:r>
      <w:r>
        <w:t>) identifies the exclusive channel of this approach: those who draw near to God through Christ. This is not "through Christ and through the saints" or "through Christ primarily, with saints as secondary channels"; it is simply "through him." The si</w:t>
      </w:r>
      <w:r>
        <w:t>ngularity of the preposition governs the theology of intercession: Christ is not the chief intercessor in a class of intercessors; He is the one through whom all access to God is mediated.</w:t>
      </w:r>
    </w:p>
    <w:p w14:paraId="684CB1DF" w14:textId="77777777" w:rsidR="000E133F" w:rsidRDefault="00EC5ECA">
      <w:pPr>
        <w:spacing w:before="60" w:after="140" w:line="360" w:lineRule="auto"/>
      </w:pPr>
      <w:r>
        <w:t>Hebrews 9:24 situates this ongoing intercession in its heavenly-topographical context: "For Christ has entered, not into holy places made with hands, which are copies of the true things, but into heaven itself, now to appear in the presence of God on our behalf." The phrase "now to appear in the presence of God on our behalf" (</w:t>
      </w:r>
      <w:r>
        <w:rPr>
          <w:i/>
          <w:iCs/>
        </w:rPr>
        <w:t>emfanisthēnai tō prosōpō tou theou hyper hēmōn</w:t>
      </w:r>
      <w:r>
        <w:t xml:space="preserve">) is of enormous importance. It describes the present session of Christ in the heavenly sanctuary as a continuous act of representation before God. He appears — presently, continuously — </w:t>
      </w:r>
      <w:r>
        <w:rPr>
          <w:i/>
          <w:iCs/>
        </w:rPr>
        <w:t>for us</w:t>
      </w:r>
      <w:r>
        <w:t>. The earthly tabernacle and temple were copies (</w:t>
      </w:r>
      <w:r>
        <w:rPr>
          <w:i/>
          <w:iCs/>
        </w:rPr>
        <w:t>antitypa</w:t>
      </w:r>
      <w:r>
        <w:t>) of this heavenly reality; the Levitical high priest who appeared before the ark of the covenant was enacting a shadow of what Christ now fulfills in full reality. The saints in glory do not share in this unique hig</w:t>
      </w:r>
      <w:r>
        <w:t>h-priestly ministry. They are beneficiaries of Christ's representation, not co-representatives alongside Him. The structure of Hebrews' argument simply has no room for a class of secondary heavenly intercessors.</w:t>
      </w:r>
    </w:p>
    <w:p w14:paraId="6150B331" w14:textId="77777777" w:rsidR="000E133F" w:rsidRDefault="00EC5ECA">
      <w:pPr>
        <w:spacing w:before="60" w:after="140" w:line="360" w:lineRule="auto"/>
      </w:pPr>
      <w:r>
        <w:t>Romans 8:34 reinforces this from a different angle, in the context of Paul's great doxological climax on the certainty of God's love: "Who is to condemn? Christ Jesus is the one who died — more than that, who was raised — who is at the right hand of God, who indeed is interceding for us." The rhetorical structure is important: Paul is listing, in ascending order, the reasons why no condemnation can stand against the believer. The pinnacle of this list — the ultimate, invincible ground of the believer's secu</w:t>
      </w:r>
      <w:r>
        <w:t xml:space="preserve">rity — is </w:t>
      </w:r>
      <w:r>
        <w:lastRenderedPageBreak/>
        <w:t>that Christ is interceding for them. This intercession is identified as the work of the risen, glorified Christ at the right hand of God. Paul then immediately passes to the intercessory work of the Holy Spirit (Romans 8:26–27: "the Spirit himself intercedes for us with groanings too deep for words... the Spirit intercedes for the saints according to the will of God"). What is conspicuously and entirely absent from this passage — in which Paul is specifically cataloguing the intercessory resources</w:t>
      </w:r>
      <w:r>
        <w:t xml:space="preserve"> available to the believer — is any mention of saints in glory as intercessors. If the invocation of saints were a legitimate and important aspect of Christian prayer, as the Orthodox tradition maintains, the silence of this passage would be inexplicable. Paul has every rhetorical reason in this passage to mention every available intercessory resource — and he names only two: Christ and the Holy Spirit.</w:t>
      </w:r>
    </w:p>
    <w:p w14:paraId="6FF75051" w14:textId="77777777" w:rsidR="000E133F" w:rsidRDefault="00EC5ECA">
      <w:pPr>
        <w:pStyle w:val="Heading2"/>
      </w:pPr>
      <w:bookmarkStart w:id="184" w:name="_Toc232765411"/>
      <w:r>
        <w:t>19.2 — The Orthodox Theology of Saintly Intercession and the Reformed Response</w:t>
      </w:r>
      <w:bookmarkEnd w:id="184"/>
    </w:p>
    <w:p w14:paraId="7DD11461" w14:textId="77777777" w:rsidR="000E133F" w:rsidRDefault="00EC5ECA">
      <w:pPr>
        <w:spacing w:before="60" w:after="140" w:line="360" w:lineRule="auto"/>
      </w:pPr>
      <w:r>
        <w:t xml:space="preserve">The Eastern Orthodox doctrine of the intercession of the saints is not a peripheral element of Orthodox piety; it is, for most Orthodox Christians, one of the most vital and practically central aspects of their devotional life. The saints are not dead; they are alive in Christ and present in the heavenly liturgy. The Church on earth and the Church in heaven are not two separate realities but two modes of one reality: the Body of Christ. The saints in glory are the "great cloud of witnesses" (Hebrews 12:1), </w:t>
      </w:r>
      <w:r>
        <w:t>present with the church and attentive to her needs. When an Orthodox Christian prays to the Theotokos or to a particular saint — when he asks the Theotokos to intercede for him, or addresses a prayer to St. Nicholas or St. George — he is not, the Orthodox insist, worshipping Mary or the saint; he is asking a holy person who is closer to God than he is, and whose prayers are therefore more powerful and more likely to be heard, to add his or her prayer to his own. The theological structure is analogous to ask</w:t>
      </w:r>
      <w:r>
        <w:t>ing a fellow believer on earth to pray for you — except that the saints in glory, being purified of all sin and continuously in the presence of God, are uniquely effective intercessors.</w:t>
      </w:r>
    </w:p>
    <w:p w14:paraId="5907CF3D" w14:textId="77777777" w:rsidR="000E133F" w:rsidRDefault="00EC5ECA">
      <w:pPr>
        <w:spacing w:before="60" w:after="140" w:line="360" w:lineRule="auto"/>
      </w:pPr>
      <w:r>
        <w:t xml:space="preserve">The theological arguments advanced for this practice deserve careful and fair presentation. The first argument is from Luke 20:38: "he is not God of the dead, but of the living, for all live to him." Christ's response to the Sadducees' resurrection question </w:t>
      </w:r>
      <w:r>
        <w:lastRenderedPageBreak/>
        <w:t>establishes that the patriarchs — Abraham, Isaac, and Jacob — are alive before God. The saints are not annihilated at death; they live; they are real persons in the presence of God. Since they are alive and in God's presence, there is no theological reason why they should not pray for those still on earth, just as living believers pray for one another. The second argument is from the analogy of corporate prayer. The New Testament explicitly commands and commends intercessory prayer among living believers: "</w:t>
      </w:r>
      <w:r>
        <w:t>I urge that supplications, prayers, intercessions, and thanksgivings be made for all people" (1 Timothy 2:1). If mutual intercession is a Christian obligation and privilege, why should it terminate at death? The saints in glory are more fully alive, not less; their prayer is presumably more effective, not less; their love for those still on earth has presumably not diminished. The principle of mutual intercession, the Orthodox argue, extends naturally and necessarily across the boundary of physical death. T</w:t>
      </w:r>
      <w:r>
        <w:t>he third argument is from Revelation 5:8, where the twenty-four elders are described as holding "golden bowls full of incense, which are the prayers of the saints," and from Revelation 8:3–4, where an angel offers incense "with the prayers of all the saints on the golden altar before the throne." These passages, the Orthodox argue, depict the heavenly host presenting the prayers of believers before God — which implies an active mediating role for the heavenly community in the Church's prayer.</w:t>
      </w:r>
    </w:p>
    <w:p w14:paraId="1BA636B2" w14:textId="77777777" w:rsidR="000E133F" w:rsidRDefault="00EC5ECA">
      <w:pPr>
        <w:spacing w:before="60" w:after="140" w:line="360" w:lineRule="auto"/>
      </w:pPr>
      <w:r>
        <w:t>The Reformed response to each of these arguments must be developed with the same precision that the Orthodox presentation deserves. The first argument — from Luke 20:38 — establishes, with full authority, that the patriarchs and by extension all the saints live before God after death. This the Reformed tradition affirms without qualification. The souls of believers at death "pass immediately into glory" (2LBC 31.2). They are with Christ; they are alive; they are conscious. But the text of Luke 20:38 says ab</w:t>
      </w:r>
      <w:r>
        <w:t>solutely nothing about the saints' knowledge of specific events on earth, their capacity to receive prayers addressed to them by believers on earth, or their role as intercessors before God. "All live to him" describes their existence before God; it does not describe their relationship to those still in the body. The inference that "since they are alive, they can hear our prayers" requires several additional premises — that they have knowledge of earthly events, that prayers addressed to them are communicat</w:t>
      </w:r>
      <w:r>
        <w:t xml:space="preserve">ed to them, that they exercise an active intercessory role — none of which is provided by Luke 20:38, and </w:t>
      </w:r>
      <w:r>
        <w:lastRenderedPageBreak/>
        <w:t>none of which is provided by any other New Testament text. The argument requires precisely the scriptural evidence that is absent.</w:t>
      </w:r>
    </w:p>
    <w:p w14:paraId="528D14D8" w14:textId="77777777" w:rsidR="000E133F" w:rsidRDefault="00EC5ECA">
      <w:pPr>
        <w:spacing w:before="60" w:after="140" w:line="360" w:lineRule="auto"/>
      </w:pPr>
      <w:r>
        <w:t>The second argument — from the analogy with living intercessory prayer — is the most intuitively compelling and deserves the most careful response. The Reformed tradition does not deny that the analogy has some surface plausibility. But the analogy between intercession among living believers and intercession through departed saints depends on a series of assumptions that distinguish the two cases in crucial ways. When I ask a living fellow believer to pray for me, I know several things: this person can hear</w:t>
      </w:r>
      <w:r>
        <w:t xml:space="preserve"> me (we are in direct communication), this person knows what I need (I have told him), this person is subject to the command of 1 Timothy 2:1 to pray for all people, and there is a direct means of communication between us. None of these conditions is clearly present in the case of the departed saints. The saints in glory are in God's presence — but Scripture nowhere teaches that God communicates to them the specific prayer requests of all the believers on earth who address prayers to them. Scripture nowhere</w:t>
      </w:r>
      <w:r>
        <w:t xml:space="preserve"> teaches that the saints in glory have divine omniscience or anything approaching it. The problem is not whether the saints can pray; the problem is whether they know what we need, whether our prayers addressed to them are actually received by them, and whether God has ordained this channel of communication. Scripture simply does not address these questions affirmatively — and the argument from the analogy of living intercession cannot substitute for the missing scriptural evidence, because the analogy is o</w:t>
      </w:r>
      <w:r>
        <w:t>nly valid if the conditions of living intercession are reproduced in the case of the saints in glory, which has not been demonstrated.</w:t>
      </w:r>
    </w:p>
    <w:p w14:paraId="09657591" w14:textId="77777777" w:rsidR="000E133F" w:rsidRDefault="00EC5ECA">
      <w:pPr>
        <w:spacing w:before="60" w:after="140" w:line="360" w:lineRule="auto"/>
      </w:pPr>
      <w:r>
        <w:t>The third argument — from Revelation 5:8 and 8:3–4 — is the most frequently cited scriptural warrant for the Orthodox practice, and it requires the most careful textual attention. Revelation 5:8 describes the twenty-four elders holding golden bowls full of incense, "which are the prayers of the saints." Revelation 8:3–4 depicts an angel standing at the golden altar before the throne, to whom much incense was given "to offer with the prayers of all the saints on the golden altar before the throne, and the sm</w:t>
      </w:r>
      <w:r>
        <w:t xml:space="preserve">oke of the incense, with the prayers of the saints, rose before God from the hand of the angel." Several observations are in order. First, the "saints" in Revelation are typically the believers on earth — the persecuted church whose prayers are being offered </w:t>
      </w:r>
      <w:r>
        <w:lastRenderedPageBreak/>
        <w:t>before God. The "prayers of the saints" in Revelation 5:8 and 8:3–4 are not the prayers of the departed saints for those on earth; they are the prayers of living believers being presented in the heavenly sanctuary. Second, even if the twenty-four elders</w:t>
      </w:r>
      <w:r>
        <w:t xml:space="preserve"> play some role in presenting these prayers, this is a function within the highly symbolic structure of an apocalyptic vision. The book of Revelation describes the heavenly liturgy in richly symbolic imagery; deriving a doctrine of petitionary prayer to saints from this imagery requires considerably more exegetical care than the Orthodox appeal typically exercises. Third, even granting that some heavenly beings play a presenting role in relation to the prayers of the saints, this is structurally different f</w:t>
      </w:r>
      <w:r>
        <w:t xml:space="preserve">rom the Orthodox practice of addressing one's prayers </w:t>
      </w:r>
      <w:r>
        <w:rPr>
          <w:i/>
          <w:iCs/>
        </w:rPr>
        <w:t>to</w:t>
      </w:r>
      <w:r>
        <w:t xml:space="preserve"> the saints — which involves directing the prayer to the saint as a distinct addressee, rather than simply acknowledging that the heavenly community participates in the presentation of prayer before God. The Orthodox practice involves specifically petitioning Mary or a named saint: "O Most Holy Theotokos, intercede for us." This is prayer addressed </w:t>
      </w:r>
      <w:r>
        <w:rPr>
          <w:i/>
          <w:iCs/>
        </w:rPr>
        <w:t>to</w:t>
      </w:r>
      <w:r>
        <w:t xml:space="preserve"> Mary; it is a petition directed </w:t>
      </w:r>
      <w:r>
        <w:rPr>
          <w:i/>
          <w:iCs/>
        </w:rPr>
        <w:t>to her</w:t>
      </w:r>
      <w:r>
        <w:t>. The Revelation imagery does not support this structure.</w:t>
      </w:r>
    </w:p>
    <w:p w14:paraId="145C0003" w14:textId="77777777" w:rsidR="000E133F" w:rsidRDefault="00EC5ECA">
      <w:pPr>
        <w:spacing w:before="60" w:after="140" w:line="360" w:lineRule="auto"/>
      </w:pPr>
      <w:r>
        <w:t>The pastoral implications of this doctrine must also be addressed, because it is at the pastoral level that the doctrine produces its most damaging effects. First Timothy 2:5 is an absolute: "For there is one God and one mediator between God and men, the man Christ Jesus, who gave himself as a ransom for all, which is the testimony given at the proper time." The formulation is as unambiguous as any in the New Testament. The numeral "one" (</w:t>
      </w:r>
      <w:r>
        <w:rPr>
          <w:i/>
          <w:iCs/>
        </w:rPr>
        <w:t>heis</w:t>
      </w:r>
      <w:r>
        <w:t>) is emphatic; it occurs twice in the same sentence, emphasizing both the unity of God and the singularity of the Mediator. The identification of the mediator as "the man Christ Jesus" underscores the full humanity of the Mediator — the one human being who stands between God and all humanity — not as one member of a class of mediators but as the sole member of that office. When a believer directs prayers to Mary or to the saints, he is, functionally and practically, doing with a creature what the text s</w:t>
      </w:r>
      <w:r>
        <w:t xml:space="preserve">ays only Christ can do: standing as mediator between himself and God, receiving his petitions, and presenting them before the divine throne. The Orthodox distinction between </w:t>
      </w:r>
      <w:r>
        <w:rPr>
          <w:i/>
          <w:iCs/>
        </w:rPr>
        <w:t>mesitēs</w:t>
      </w:r>
      <w:r>
        <w:t xml:space="preserve"> (mediator) and </w:t>
      </w:r>
      <w:r>
        <w:rPr>
          <w:i/>
          <w:iCs/>
        </w:rPr>
        <w:t>presbeutēs</w:t>
      </w:r>
      <w:r>
        <w:t xml:space="preserve"> (intercessor) does not resolve the difficulty; the text itself identifies Christ as the mediator by virtue of His intercessory act ("who gave himself as a ransom"), and the saints who are called upon to intercede </w:t>
      </w:r>
      <w:r>
        <w:lastRenderedPageBreak/>
        <w:t>are, by that very act, being placed in a mediatorial function that the text reserves for Ch</w:t>
      </w:r>
      <w:r>
        <w:t xml:space="preserve">rist alone. Calvin's response to this in the </w:t>
      </w:r>
      <w:r>
        <w:rPr>
          <w:i/>
          <w:iCs/>
        </w:rPr>
        <w:t>Institutes</w:t>
      </w:r>
      <w:r>
        <w:t xml:space="preserve"> is characteristically direct: "By this clear statement, Paul shuts the door against every intercessor except Christ."</w:t>
      </w:r>
    </w:p>
    <w:p w14:paraId="28793FBE" w14:textId="77777777" w:rsidR="000E133F" w:rsidRDefault="00EC5ECA">
      <w:pPr>
        <w:pStyle w:val="Heading2"/>
      </w:pPr>
      <w:bookmarkStart w:id="185" w:name="_Toc232765412"/>
      <w:r>
        <w:t>19.3 — Calvin's Systematic Critique of the Invocation of Saints</w:t>
      </w:r>
      <w:bookmarkEnd w:id="185"/>
    </w:p>
    <w:p w14:paraId="4E8F2EE5" w14:textId="77777777" w:rsidR="000E133F" w:rsidRDefault="00EC5ECA">
      <w:pPr>
        <w:spacing w:before="60" w:after="140" w:line="360" w:lineRule="auto"/>
      </w:pPr>
      <w:r>
        <w:t xml:space="preserve">John Calvin's treatment of prayer to the saints in the </w:t>
      </w:r>
      <w:r>
        <w:rPr>
          <w:i/>
          <w:iCs/>
        </w:rPr>
        <w:t>Institutes of the Christian Religion</w:t>
      </w:r>
      <w:r>
        <w:t xml:space="preserve"> (III.20.21–27) represents the most sustained and methodologically rigorous Reformed analysis of the doctrine, and it retains its power for the contemporary debate because it engages the same arguments that the Eastern Orthodox tradition continues to employ. Calvin's critique is organized around four principal objections, each of which is developed from Scripture with explicit exegetical argumentation.</w:t>
      </w:r>
    </w:p>
    <w:p w14:paraId="6606DCFB" w14:textId="77777777" w:rsidR="000E133F" w:rsidRDefault="00EC5ECA">
      <w:pPr>
        <w:spacing w:before="60" w:after="140" w:line="360" w:lineRule="auto"/>
      </w:pPr>
      <w:r>
        <w:t>Calvin's first objection is that Scripture nowhere commands or commends the invocation of saints. The argument is straightforward and, from the standpoint of the Reformed Regulative Principle, decisive: if the invocation of saints were a legitimate and important element of Christian prayer, we would expect to find it either explicitly commanded or at least practiced and approved in the New Testament. What we find instead is a complete absence of this practice. The model prayers that Jesus gave to His discip</w:t>
      </w:r>
      <w:r>
        <w:t>les — most prominently what has come to be called the Lord's Prayer — are addressed exclusively to the Father, through the name of the Son, and make no provision for the invocation of any other intercessor. The prayers of the apostolic church recorded in Acts — the prayer of the gathered church in Acts 1:24–25, the prayer for the persecuted church in Acts 4:24–30, the prayer of Stephen in Acts 7:59–60, the prayer of Paul and Silas in Acts 16:25 — are uniformly addressed to God directly, with no mediation th</w:t>
      </w:r>
      <w:r>
        <w:t>rough saints. The epistolary exhortations to prayer in Paul's letters (Philippians 4:6: "do not be anxious about anything, but in everything by prayer and supplication with thanksgiving let your requests be made known to God"; Ephesians 6:18: "praying at all times in the Spirit, with all prayer and supplication"; Colossians 4:2: "continue steadfastly in prayer") are all directed to God, through Christ, with no mention of saintly intercession as an intermediate step. This universal pattern of New Testament p</w:t>
      </w:r>
      <w:r>
        <w:t xml:space="preserve">rayer — directly to the Father, in the name of the Son — is not incidental; it </w:t>
      </w:r>
      <w:r>
        <w:lastRenderedPageBreak/>
        <w:t>reflects the New Covenant reality of universal priestly access to God through the one High Priest, as Hebrews 4 and 10 have established.</w:t>
      </w:r>
    </w:p>
    <w:p w14:paraId="30588890" w14:textId="77777777" w:rsidR="000E133F" w:rsidRDefault="00EC5ECA">
      <w:pPr>
        <w:spacing w:before="60" w:after="140" w:line="360" w:lineRule="auto"/>
      </w:pPr>
      <w:r>
        <w:t xml:space="preserve">Calvin's second objection is that Scripture nowhere promises or implies that the saints hear our prayers. This is an epistemological point that the Orthodox doctrine consistently underestimates. For the invocation of saints to be legitimate, those saints must actually receive the prayers addressed to them. But what scriptural evidence is there that the saints in glory have knowledge of the specific prayers of specific believers on earth? The Orthodox frequently appeal to the omniscience argument: since the </w:t>
      </w:r>
      <w:r>
        <w:t xml:space="preserve">saints are in the presence of God, they presumably know what He knows. But this confuses proximity to omniscience with possession of it; the saints are creatures in God's presence, but they remain finite creatures whose cognitive capacity is creaturely rather than divine. The alternative is to posit that God specifically communicates the prayers of believers to the saints — but this is an assumption without scriptural support. Calvin notes with characteristic precision that it is not enough to say that the </w:t>
      </w:r>
      <w:r>
        <w:t xml:space="preserve">saints </w:t>
      </w:r>
      <w:r>
        <w:rPr>
          <w:i/>
          <w:iCs/>
        </w:rPr>
        <w:t>might</w:t>
      </w:r>
      <w:r>
        <w:t xml:space="preserve"> hear our prayers; doctrine must be grounded in what God has revealed, not in what is conceivable. Since Scripture nowhere reveals that the departed saints hear the prayers of those on earth, the practice of addressing prayers to them is, in Calvin's judgment, an act of religious presumption — directing a form of communication (prayer) to beings who may have no means of receiving it.</w:t>
      </w:r>
    </w:p>
    <w:p w14:paraId="4F7BCE0F" w14:textId="77777777" w:rsidR="000E133F" w:rsidRDefault="00EC5ECA">
      <w:pPr>
        <w:spacing w:before="60" w:after="140" w:line="360" w:lineRule="auto"/>
      </w:pPr>
      <w:r>
        <w:t>Calvin's third objection concerns the universal pattern of New Testament prayer: the entire New Testament presents prayer as a relationship between the believer and God, through Jesus Christ, with no intermediate human intercessors. John 14:13–14: "Whatever you ask in my name, this I will do, that the Father may be glorified in the Son. If you ask me anything in my name, I will do it." John 16:23–24: "Truly, truly, I say to you, whatever you ask of the Father in my name, he will give it to you. Until now yo</w:t>
      </w:r>
      <w:r>
        <w:t>u have asked nothing in my name. Ask, and you will receive, that your joy may be full." The structure of prayer established by Christ Himself is: ask the Father, in Christ's name, and it will be given. The simplicity and directness of this structure leaves no room for the insertion of an additional intercessory layer between the believer and the Father. When Christ says "whatever you ask of the Father in my name," He is establishing a comprehensive framework — the "whatever" is unlimited, the "Father" is th</w:t>
      </w:r>
      <w:r>
        <w:t xml:space="preserve">e addressee, </w:t>
      </w:r>
      <w:r>
        <w:lastRenderedPageBreak/>
        <w:t>and the "in my name" is the sole mediation required. To add "and also through the Theotokos" or "and also through the saint whose intercession I am soliciting" is to revise Christ's instruction from without — to impose on His teaching about prayer a structure that He Himself does not teach and that contradicts the simplicity and directness of the access He promises.</w:t>
      </w:r>
    </w:p>
    <w:p w14:paraId="5B9CF5CE" w14:textId="77777777" w:rsidR="000E133F" w:rsidRDefault="00EC5ECA">
      <w:pPr>
        <w:spacing w:before="60" w:after="140" w:line="360" w:lineRule="auto"/>
      </w:pPr>
      <w:r>
        <w:t>Calvin's fourth objection is the practical pastoral one: the invocation of saints arises from and reinforces a failure to trust in the direct accessibility, sufficiency, and sympathy of Christ. The person who turns to the saints — whether to Mary, to Nicholas, to the Apostle Peter — does so, however unconsciously, because he feels that Christ is somehow distant, severe, or less approachable than the saints. This is the medieval pastoral problem that the Reformation specifically identified and specifically a</w:t>
      </w:r>
      <w:r>
        <w:t>ddressed: the terrifying Christ of Gothic iconography before whom sinners trembled, and the gentle Mary or the approachable patron saint to whom they could bring their everyday troubles. The Reformation's answer was not to provide a new cast of approachable intermediaries but to recover the New Testament doctrine that Christ Himself is fully accessible, fully sympathetic, and fully sufficient. Hebrews 4:15–16 is the pastoral antidote to the impulse toward saintly intercession: we do not have a high priest w</w:t>
      </w:r>
      <w:r>
        <w:t xml:space="preserve">ho is </w:t>
      </w:r>
      <w:r>
        <w:rPr>
          <w:i/>
          <w:iCs/>
        </w:rPr>
        <w:t>unable</w:t>
      </w:r>
      <w:r>
        <w:t xml:space="preserve"> to sympathize — the precise quality that makes one want to turn elsewhere. We have a high priest who was tempted in every respect as we are, who therefore </w:t>
      </w:r>
      <w:r>
        <w:rPr>
          <w:i/>
          <w:iCs/>
        </w:rPr>
        <w:t>does</w:t>
      </w:r>
      <w:r>
        <w:t xml:space="preserve"> sympathize, and who </w:t>
      </w:r>
      <w:r>
        <w:rPr>
          <w:i/>
          <w:iCs/>
        </w:rPr>
        <w:t>does</w:t>
      </w:r>
      <w:r>
        <w:t xml:space="preserve"> invite our direct approach with confidence. The person who understands this doctrine in its full weight has no pastoral reason to look elsewhere. Calvin writes: "If Christ is our advocate, do we not detract from his dignity when we resort to others for intercession? Or do we not insult Christ as if he were not su</w:t>
      </w:r>
      <w:r>
        <w:t>fficient?" The force of this pastoral argument is that the invocation of saints is not merely an error about ecclesiology; it is an implicit deficiency in one's understanding of Christ — a practical underestimation of His sympathy, His accessibility, and His singular sufficiency as the believer's advocate before God.</w:t>
      </w:r>
    </w:p>
    <w:p w14:paraId="2F8ED04E" w14:textId="77777777" w:rsidR="000E133F" w:rsidRDefault="00EC5ECA">
      <w:pPr>
        <w:pStyle w:val="Heading1"/>
        <w:pageBreakBefore/>
      </w:pPr>
      <w:bookmarkStart w:id="186" w:name="_Toc232765413"/>
      <w:r>
        <w:lastRenderedPageBreak/>
        <w:t>CHAPTER TWENTY: THE FILIOQUE — A REFORMED DEFENSE</w:t>
      </w:r>
      <w:bookmarkEnd w:id="186"/>
    </w:p>
    <w:p w14:paraId="14DA0C77" w14:textId="77777777" w:rsidR="000E133F" w:rsidRDefault="00EC5ECA">
      <w:pPr>
        <w:pStyle w:val="Heading2"/>
      </w:pPr>
      <w:bookmarkStart w:id="187" w:name="_Toc232765414"/>
      <w:r>
        <w:t>20.1 — The Historical Controversy Reviewed</w:t>
      </w:r>
      <w:bookmarkEnd w:id="187"/>
    </w:p>
    <w:p w14:paraId="0C1CF9B1" w14:textId="77777777" w:rsidR="000E133F" w:rsidRDefault="00EC5ECA">
      <w:pPr>
        <w:spacing w:before="60" w:after="140" w:line="360" w:lineRule="auto"/>
      </w:pPr>
      <w:r>
        <w:t xml:space="preserve">The </w:t>
      </w:r>
      <w:r>
        <w:rPr>
          <w:i/>
          <w:iCs/>
        </w:rPr>
        <w:t>Filioque</w:t>
      </w:r>
      <w:r>
        <w:t xml:space="preserve"> controversy stands as one of the most technically demanding disputes in the entire history of Christian theology, and the fact that it played a central role in the greatest schism in Christian history — the division of 1054 between the churches of Rome and Constantinople — testifies to the depth of the theological stakes involved. The word </w:t>
      </w:r>
      <w:r>
        <w:rPr>
          <w:i/>
          <w:iCs/>
        </w:rPr>
        <w:t>Filioque</w:t>
      </w:r>
      <w:r>
        <w:t xml:space="preserve"> is Latin for "and the Son" (</w:t>
      </w:r>
      <w:r>
        <w:rPr>
          <w:i/>
          <w:iCs/>
        </w:rPr>
        <w:t>et Filio</w:t>
      </w:r>
      <w:r>
        <w:t>), and it refers to the Western addition to the Niceno-Constantinopolitan Creed of 381 AD, which originally stated t</w:t>
      </w:r>
      <w:r>
        <w:t>hat the Holy Spirit "proceeds from the Father" (</w:t>
      </w:r>
      <w:r>
        <w:rPr>
          <w:i/>
          <w:iCs/>
        </w:rPr>
        <w:t>ekporeuomenon ek tou Patros</w:t>
      </w:r>
      <w:r>
        <w:t xml:space="preserve">). In the West, this was gradually amended to read that the Spirit "proceeds from the Father </w:t>
      </w:r>
      <w:r>
        <w:rPr>
          <w:i/>
          <w:iCs/>
        </w:rPr>
        <w:t>and the Son</w:t>
      </w:r>
      <w:r>
        <w:t>" (</w:t>
      </w:r>
      <w:r>
        <w:rPr>
          <w:i/>
          <w:iCs/>
        </w:rPr>
        <w:t>et Filio procedit</w:t>
      </w:r>
      <w:r>
        <w:t>), creating the version of the creed that all Western Christians — both Roman Catholic and Protestant — have confessed.</w:t>
      </w:r>
    </w:p>
    <w:p w14:paraId="4EA3A137" w14:textId="77777777" w:rsidR="000E133F" w:rsidRDefault="00EC5ECA">
      <w:pPr>
        <w:spacing w:before="60" w:after="140" w:line="360" w:lineRule="auto"/>
      </w:pPr>
      <w:r>
        <w:t xml:space="preserve">The historical development of the </w:t>
      </w:r>
      <w:r>
        <w:rPr>
          <w:i/>
          <w:iCs/>
        </w:rPr>
        <w:t>Filioque</w:t>
      </w:r>
      <w:r>
        <w:t xml:space="preserve"> occurred in several stages. The theological concept of the Spirit's procession from both Father and Son had deep roots in the Western theological tradition, traceable most conspicuously to Augustine of Hippo's massive treatise </w:t>
      </w:r>
      <w:r>
        <w:rPr>
          <w:i/>
          <w:iCs/>
        </w:rPr>
        <w:t>De Trinitate</w:t>
      </w:r>
      <w:r>
        <w:t xml:space="preserve"> (c. 400–420 AD). Augustine's psychological analogy for the Trinity — in which the Father corresponds to the loving mind, the Son to the self-knowledge (the Word) generated by that mind, and the Spirit to the love that proceeds between the Father and Son — entails</w:t>
      </w:r>
      <w:r>
        <w:t xml:space="preserve"> the double procession as a structural necessity: the Spirit is the bond of love between Father and Son, and therefore proceeds from both. The first formal conciliar adoption of the </w:t>
      </w:r>
      <w:r>
        <w:rPr>
          <w:i/>
          <w:iCs/>
        </w:rPr>
        <w:t>Filioque</w:t>
      </w:r>
      <w:r>
        <w:t xml:space="preserve"> in the creed occurred at the Third Council of Toledo in Spain (589 AD), called to deal with the conversion of the Visigothic King Reccared from Arianism to Nicene Christianity. The insertion appears to have been motivated by anti-Arian concerns: by specifying that the Spirit proceeds from the Son as well as from the Fat</w:t>
      </w:r>
      <w:r>
        <w:t>her, the council was asserting the full divinity and co-equality of the Son — the very point the Arians denied. The practice spread through the Frankish church under Charlemagne, who vigorously promoted it, and through the gradually widening influence of Rome, eventually becoming universal in the Western church by the eleventh century.</w:t>
      </w:r>
    </w:p>
    <w:p w14:paraId="766C915F" w14:textId="77777777" w:rsidR="000E133F" w:rsidRDefault="00EC5ECA">
      <w:pPr>
        <w:spacing w:before="60" w:after="140" w:line="360" w:lineRule="auto"/>
      </w:pPr>
      <w:r>
        <w:lastRenderedPageBreak/>
        <w:t xml:space="preserve">The theological controversy came to its first decisive crisis in the ninth century with the Photian Schism. Patriarch Photius of Constantinople (c. 820–891), one of the most brilliant theologians of the Byzantine church, wrote his </w:t>
      </w:r>
      <w:r>
        <w:rPr>
          <w:i/>
          <w:iCs/>
        </w:rPr>
        <w:t>Mystagogy of the Holy Spirit</w:t>
      </w:r>
      <w:r>
        <w:t xml:space="preserve"> as a systematic refutation of the </w:t>
      </w:r>
      <w:r>
        <w:rPr>
          <w:i/>
          <w:iCs/>
        </w:rPr>
        <w:t>Filioque</w:t>
      </w:r>
      <w:r>
        <w:t xml:space="preserve">, arguing that it was both theologically erroneous and canonically impermissible. The ecclesiastical situation between East and West had been deteriorating for decades over jurisdictional disputes — particularly over the newly evangelized Bulgarian church — and the </w:t>
      </w:r>
      <w:r>
        <w:rPr>
          <w:i/>
          <w:iCs/>
        </w:rPr>
        <w:t>Filioque</w:t>
      </w:r>
      <w:r>
        <w:t xml:space="preserve"> became the theological focal point of the resulting schism. Though the Photian Schism was eventually healed, the theological disagreement remained, and when the Great</w:t>
      </w:r>
      <w:r>
        <w:t xml:space="preserve"> Schism of 1054 formally separated the Eastern and Western churches — in a dispute triggered by the mutual excommunications of Cardinal Humbert and Patriarch Michael Cerularius — the </w:t>
      </w:r>
      <w:r>
        <w:rPr>
          <w:i/>
          <w:iCs/>
        </w:rPr>
        <w:t>Filioque</w:t>
      </w:r>
      <w:r>
        <w:t xml:space="preserve"> was again among the central theological grievances. The theological question at the heart of the controversy is: Is the Holy Spirit's eternal procession </w:t>
      </w:r>
      <w:r>
        <w:rPr>
          <w:i/>
          <w:iCs/>
        </w:rPr>
        <w:t>from the Father alone</w:t>
      </w:r>
      <w:r>
        <w:t xml:space="preserve"> (Greek: </w:t>
      </w:r>
      <w:r>
        <w:rPr>
          <w:i/>
          <w:iCs/>
        </w:rPr>
        <w:t>ek monou tou Patros</w:t>
      </w:r>
      <w:r>
        <w:t xml:space="preserve"> — the Eastern position) or </w:t>
      </w:r>
      <w:r>
        <w:rPr>
          <w:i/>
          <w:iCs/>
        </w:rPr>
        <w:t>from the Father and the Son jointly</w:t>
      </w:r>
      <w:r>
        <w:t xml:space="preserve"> (Latin: </w:t>
      </w:r>
      <w:r>
        <w:rPr>
          <w:i/>
          <w:iCs/>
        </w:rPr>
        <w:t>ex Patre Filioque procedit</w:t>
      </w:r>
      <w:r>
        <w:t xml:space="preserve"> — the Western posit</w:t>
      </w:r>
      <w:r>
        <w:t>ion)?</w:t>
      </w:r>
    </w:p>
    <w:p w14:paraId="3E11D3E9" w14:textId="77777777" w:rsidR="000E133F" w:rsidRDefault="00EC5ECA">
      <w:pPr>
        <w:spacing w:before="60" w:after="140" w:line="360" w:lineRule="auto"/>
      </w:pPr>
      <w:r>
        <w:t xml:space="preserve">For the Reformed tradition, this is not merely a relic of medieval ecclesiastical politics but a live Trinitarian question with direct implications for the confession of who God is. The Second London Baptist Confession, the Westminster Confession of Faith, and the Belgic Confession all explicitly include the </w:t>
      </w:r>
      <w:r>
        <w:rPr>
          <w:i/>
          <w:iCs/>
        </w:rPr>
        <w:t>Filioque</w:t>
      </w:r>
      <w:r>
        <w:t xml:space="preserve"> in their Trinitarian articles, and the Reformed tradition has consistently maintained the Western position on biblical and exegetical grounds. The defense of the </w:t>
      </w:r>
      <w:r>
        <w:rPr>
          <w:i/>
          <w:iCs/>
        </w:rPr>
        <w:t>Filioque</w:t>
      </w:r>
      <w:r>
        <w:t xml:space="preserve"> that follows is therefore not simply a defense of a Western liturgical tradition; it is a defense of what the Reformed tradition regards as the biblically warranted account of the Trinity's eternal life.</w:t>
      </w:r>
    </w:p>
    <w:p w14:paraId="4CFB68C9" w14:textId="77777777" w:rsidR="000E133F" w:rsidRDefault="00EC5ECA">
      <w:pPr>
        <w:pStyle w:val="Heading2"/>
      </w:pPr>
      <w:bookmarkStart w:id="188" w:name="_Toc232765415"/>
      <w:r>
        <w:t>20.2 — The Eastern Objection: The Father's Monarchy</w:t>
      </w:r>
      <w:bookmarkEnd w:id="188"/>
    </w:p>
    <w:p w14:paraId="63EFCA5F" w14:textId="77777777" w:rsidR="000E133F" w:rsidRDefault="00EC5ECA">
      <w:pPr>
        <w:spacing w:before="60" w:after="140" w:line="360" w:lineRule="auto"/>
      </w:pPr>
      <w:r>
        <w:t xml:space="preserve">The Eastern Orthodox objection to the </w:t>
      </w:r>
      <w:r>
        <w:rPr>
          <w:i/>
          <w:iCs/>
        </w:rPr>
        <w:t>Filioque</w:t>
      </w:r>
      <w:r>
        <w:t xml:space="preserve"> is grounded in a rigorous and internally consistent Trinitarian theology that deserves full and fair presentation. The foundational principle of Eastern Trinitarian thought is the </w:t>
      </w:r>
      <w:r>
        <w:rPr>
          <w:i/>
          <w:iCs/>
        </w:rPr>
        <w:t>monarchy</w:t>
      </w:r>
      <w:r>
        <w:t xml:space="preserve"> (</w:t>
      </w:r>
      <w:r>
        <w:rPr>
          <w:i/>
          <w:iCs/>
        </w:rPr>
        <w:t>monarchia</w:t>
      </w:r>
      <w:r>
        <w:t>) of the Father — the doctrine that within the eternal Trinity, the Father alone is the unoriginate source (</w:t>
      </w:r>
      <w:r>
        <w:rPr>
          <w:i/>
          <w:iCs/>
        </w:rPr>
        <w:t>archē</w:t>
      </w:r>
      <w:r>
        <w:t xml:space="preserve">, </w:t>
      </w:r>
      <w:r>
        <w:rPr>
          <w:i/>
          <w:iCs/>
        </w:rPr>
        <w:t>aitia</w:t>
      </w:r>
      <w:r>
        <w:t xml:space="preserve">) and principle of both the Son and the Spirit. The Son is eternally begotten of the Father; the Spirit eternally proceeds from the Father. This is not an economic or </w:t>
      </w:r>
      <w:r>
        <w:lastRenderedPageBreak/>
        <w:t xml:space="preserve">temporal ordering but an </w:t>
      </w:r>
      <w:r>
        <w:t>immanent, eternal ordering of relations within the Godhead. The Father has His divine being from no one (</w:t>
      </w:r>
      <w:r>
        <w:rPr>
          <w:i/>
          <w:iCs/>
        </w:rPr>
        <w:t>ex oudenos</w:t>
      </w:r>
      <w:r>
        <w:t>); the Son has His divine being from the Father by eternal generation; the Spirit has His divine being from the Father by eternal procession. In each case, the Father is the sole causal principle; the unity of the Godhead is grounded in the Father as the single source from which both Son and Spirit derive.</w:t>
      </w:r>
    </w:p>
    <w:p w14:paraId="0133992C" w14:textId="77777777" w:rsidR="000E133F" w:rsidRDefault="00EC5ECA">
      <w:pPr>
        <w:spacing w:before="60" w:after="140" w:line="360" w:lineRule="auto"/>
      </w:pPr>
      <w:r>
        <w:t xml:space="preserve">Photius articulates this position with great rigor in the </w:t>
      </w:r>
      <w:r>
        <w:rPr>
          <w:i/>
          <w:iCs/>
        </w:rPr>
        <w:t>Mystagogy of the Holy Spirit</w:t>
      </w:r>
      <w:r>
        <w:t xml:space="preserve">. His argument against the </w:t>
      </w:r>
      <w:r>
        <w:rPr>
          <w:i/>
          <w:iCs/>
        </w:rPr>
        <w:t>Filioque</w:t>
      </w:r>
      <w:r>
        <w:t xml:space="preserve"> proceeds along two main lines. The first is the argument from the Father's monarchy. If the Spirit proceeds from both Father and Son, then either there are two separate principles of procession in the Godhead — the Father as one principle and the Son as another — which introduces a form of ditheism, a multiplication of first principles; or the Father and Son together constitute a single composite principle, which conflates the persons of Father</w:t>
      </w:r>
      <w:r>
        <w:t xml:space="preserve"> and Son into a single entity in relation to the Spirit, effectively abolishing their personal distinction. Neither horn of this dilemma is acceptable. The orthodox Trinity must maintain both the personal distinction of Father and Son (they are not the same person) and the monarchical unity of the source from which the Spirit proceeds. The only way to satisfy both requirements, Photius argues, is to maintain that the Spirit proceeds from the Father alone — the Father being the single, undivided, monarchical</w:t>
      </w:r>
      <w:r>
        <w:t xml:space="preserve"> source, and the Son being, as to His own derivation, the eternally begotten of that same Father, but not a principle of the Spirit's procession.</w:t>
      </w:r>
    </w:p>
    <w:p w14:paraId="3387EDB9" w14:textId="77777777" w:rsidR="000E133F" w:rsidRDefault="00EC5ECA">
      <w:pPr>
        <w:spacing w:before="60" w:after="140" w:line="360" w:lineRule="auto"/>
      </w:pPr>
      <w:r>
        <w:t>Photius's second argument is canonical: the Council of Ephesus (431) explicitly prohibited the composition of any "different faith" (</w:t>
      </w:r>
      <w:r>
        <w:rPr>
          <w:i/>
          <w:iCs/>
        </w:rPr>
        <w:t>heteron pistin</w:t>
      </w:r>
      <w:r>
        <w:t xml:space="preserve">), and the Niceno-Constantinopolitan Creed (381) does not contain the </w:t>
      </w:r>
      <w:r>
        <w:rPr>
          <w:i/>
          <w:iCs/>
        </w:rPr>
        <w:t>Filioque</w:t>
      </w:r>
      <w:r>
        <w:t>. The Western addition to the creed is therefore a canonical violation regardless of its theological content. Photius further argues that the creed is not merely a liturgical text that can be developed or supplemented; it is the doctrinal standard by which the orthodoxy of all future theological statements is to be measured. To amend it is not to clarify it but to claim an authority over it that only an Ecumenical Co</w:t>
      </w:r>
      <w:r>
        <w:t xml:space="preserve">uncil possesses — and no Ecumenical Council has authorized the </w:t>
      </w:r>
      <w:r>
        <w:rPr>
          <w:i/>
          <w:iCs/>
        </w:rPr>
        <w:t>Filioque</w:t>
      </w:r>
      <w:r>
        <w:t>.</w:t>
      </w:r>
    </w:p>
    <w:p w14:paraId="00B7A9A7" w14:textId="77777777" w:rsidR="000E133F" w:rsidRDefault="00EC5ECA">
      <w:pPr>
        <w:spacing w:before="60" w:after="140" w:line="360" w:lineRule="auto"/>
      </w:pPr>
      <w:r>
        <w:lastRenderedPageBreak/>
        <w:t xml:space="preserve">Contemporary Orthodox theologians, including Vladimir Lossky in </w:t>
      </w:r>
      <w:r>
        <w:rPr>
          <w:i/>
          <w:iCs/>
        </w:rPr>
        <w:t>The Mystical Theology of the Eastern Church</w:t>
      </w:r>
      <w:r>
        <w:t xml:space="preserve"> and John Meyendorff in </w:t>
      </w:r>
      <w:r>
        <w:rPr>
          <w:i/>
          <w:iCs/>
        </w:rPr>
        <w:t>Byzantine Theology</w:t>
      </w:r>
      <w:r>
        <w:t xml:space="preserve">, have continued and deepened this argument. Lossky in particular argues that the </w:t>
      </w:r>
      <w:r>
        <w:rPr>
          <w:i/>
          <w:iCs/>
        </w:rPr>
        <w:t>Filioque</w:t>
      </w:r>
      <w:r>
        <w:t xml:space="preserve"> has deeply distorted Western theology by subordinating the person of the Spirit to the dyadic relation of Father and Son, making the Spirit appear as a tertiary and somewhat derivative member of the Trinity rather than a fully personal, hypostatic reality in His own right. The Eastern insistence on the Spirit's procession from the Fat</w:t>
      </w:r>
      <w:r>
        <w:t>her alone is, on this reading, not merely a technical point about intra-Trinitarian relations but the foundation for a proper understanding of the Spirit's personal dignity and His role as the one who constitutes the Church as the body of Christ.</w:t>
      </w:r>
    </w:p>
    <w:p w14:paraId="20F429AC" w14:textId="77777777" w:rsidR="000E133F" w:rsidRDefault="00EC5ECA">
      <w:pPr>
        <w:spacing w:before="60" w:after="140" w:line="360" w:lineRule="auto"/>
      </w:pPr>
      <w:r>
        <w:t>These are serious arguments, and the Reformed response to them must be correspondingly rigorous. What is required is not merely a rehearsal of the Western tradition but a genuine biblical argument for the double procession that meets the Eastern challenge on its own ground.</w:t>
      </w:r>
    </w:p>
    <w:p w14:paraId="51EF7DF2" w14:textId="77777777" w:rsidR="000E133F" w:rsidRDefault="00EC5ECA">
      <w:pPr>
        <w:pStyle w:val="Heading2"/>
      </w:pPr>
      <w:bookmarkStart w:id="189" w:name="_Toc232765416"/>
      <w:r>
        <w:t>20.3 — The Biblical Case for the Filioque</w:t>
      </w:r>
      <w:bookmarkEnd w:id="189"/>
    </w:p>
    <w:p w14:paraId="6BBF7B10" w14:textId="77777777" w:rsidR="000E133F" w:rsidRDefault="00EC5ECA">
      <w:pPr>
        <w:spacing w:before="60" w:after="140" w:line="360" w:lineRule="auto"/>
      </w:pPr>
      <w:r>
        <w:t xml:space="preserve">The biblical case for the </w:t>
      </w:r>
      <w:r>
        <w:rPr>
          <w:i/>
          <w:iCs/>
        </w:rPr>
        <w:t>Filioque</w:t>
      </w:r>
      <w:r>
        <w:t xml:space="preserve"> rests on a careful examination of the Spirit's relationship to the Son as the New Testament presents it, combined with a principled argument about the relationship between the economic Trinity (the Trinity as revealed in the history of salvation) and the immanent or ontological Trinity (the Trinity as it eternally is in itself). The governing hermeneutical principle — affirmed by both Eastern and Western theologians in different degrees — is that the economic Trinity reveals the immanent Trinity: t</w:t>
      </w:r>
      <w:r>
        <w:t>he way Father, Son, and Spirit relate to one another in the history of redemption reflects, genuinely if not exhaustively, the eternal relations of origin within the divine life.</w:t>
      </w:r>
    </w:p>
    <w:p w14:paraId="2BE0FFF6" w14:textId="77777777" w:rsidR="000E133F" w:rsidRDefault="00EC5ECA">
      <w:pPr>
        <w:spacing w:before="60" w:after="140" w:line="360" w:lineRule="auto"/>
      </w:pPr>
      <w:r>
        <w:t>John 15:26 is the key text in this discussion, and it is important to read it with full exegetical care: "But when the Helper comes, whom I will send to you from the Father, the Spirit of truth, who proceeds from the Father, he will bear witness about me." The Orthodox reading of this verse focuses on the second relative clause: "who proceeds from the Father" (</w:t>
      </w:r>
      <w:r>
        <w:rPr>
          <w:i/>
          <w:iCs/>
        </w:rPr>
        <w:t>ho para tou Patros ekporeuetai</w:t>
      </w:r>
      <w:r>
        <w:t xml:space="preserve">). The verb </w:t>
      </w:r>
      <w:r>
        <w:rPr>
          <w:i/>
          <w:iCs/>
        </w:rPr>
        <w:t>ekporeuetai</w:t>
      </w:r>
      <w:r>
        <w:t xml:space="preserve"> is the present indicative of </w:t>
      </w:r>
      <w:r>
        <w:rPr>
          <w:i/>
          <w:iCs/>
        </w:rPr>
        <w:t>ekporeuomai</w:t>
      </w:r>
      <w:r>
        <w:t xml:space="preserve">, the term that is technically used in John 15:26 and in the </w:t>
      </w:r>
      <w:r>
        <w:lastRenderedPageBreak/>
        <w:t>Niceno-Constantinopolitan Creed for the Spirit's procession. On the Orthodox reading, this clause is a definitive description of the Spirit's eternal origin — He proceeds from the Father — and the verse as a whole should be read as identifying the Father alone as the source of the Spirit. The Western and Reformed response begins by noting what the Orthodo</w:t>
      </w:r>
      <w:r>
        <w:t xml:space="preserve">x reading must ignore: the verse begins with "whom I will send to you from the Father." The subject of the sending is not the Father but the Son: Christ says "I will send him." The Spirit comes "from the Father" in the sense that His procession is from the Father — but He is </w:t>
      </w:r>
      <w:r>
        <w:rPr>
          <w:i/>
          <w:iCs/>
        </w:rPr>
        <w:t>sent</w:t>
      </w:r>
      <w:r>
        <w:t xml:space="preserve"> by the Son. The economic mission of the Spirit — His coming into the world in the history of redemption — is constituted by both the Father's sending and the Son's sending. This double sending in the economy of redemption is, on th</w:t>
      </w:r>
      <w:r>
        <w:t>e Reformed and Augustinian reading, a reliable indication of a double procession in the immanent Trinity. The Spirit is sent by both because He proceeds from both.</w:t>
      </w:r>
    </w:p>
    <w:p w14:paraId="71C8509D" w14:textId="77777777" w:rsidR="000E133F" w:rsidRDefault="00EC5ECA">
      <w:pPr>
        <w:spacing w:before="60" w:after="140" w:line="360" w:lineRule="auto"/>
      </w:pPr>
      <w:r>
        <w:t>The Orthodox will respond that one must distinguish the eternal procession (</w:t>
      </w:r>
      <w:r>
        <w:rPr>
          <w:i/>
          <w:iCs/>
        </w:rPr>
        <w:t>ekporeusis</w:t>
      </w:r>
      <w:r>
        <w:t>) from the temporal mission (</w:t>
      </w:r>
      <w:r>
        <w:rPr>
          <w:i/>
          <w:iCs/>
        </w:rPr>
        <w:t>apostolē</w:t>
      </w:r>
      <w:r>
        <w:t>): Christ may send the Spirit in the economy of redemption without this implying that the Spirit proceeds from the Son eternally. The Reformed response to this distinction acknowledges its partial legitimacy — there is indeed a difference between what God is and what God does in history — while arguing that the distinction cannot be pressed to the point of making the economic Trinity an unreliable guide to the immanent Trinity. The incarnate Son sends the Spiri</w:t>
      </w:r>
      <w:r>
        <w:t>t because there is an immanent relation between Son and Spirit that makes this sending ontologically grounded; if there were no eternal relation of the Spirit to the Son, the Son's economic sending of the Spirit would be an act without divine foundation — a kind of arbitrary appointment that could have been otherwise. The coherence of the economic Trinity — the fact that the Son sends the Spirit rather than, say, the Spirit sending the Son — must be grounded in something eternal about the Son's relationship</w:t>
      </w:r>
      <w:r>
        <w:t xml:space="preserve"> to the Spirit. The </w:t>
      </w:r>
      <w:r>
        <w:rPr>
          <w:i/>
          <w:iCs/>
        </w:rPr>
        <w:t>Filioque</w:t>
      </w:r>
      <w:r>
        <w:t xml:space="preserve"> provides that grounding.</w:t>
      </w:r>
    </w:p>
    <w:p w14:paraId="2CC9857B" w14:textId="77777777" w:rsidR="000E133F" w:rsidRDefault="00EC5ECA">
      <w:pPr>
        <w:spacing w:before="60" w:after="140" w:line="360" w:lineRule="auto"/>
      </w:pPr>
      <w:r>
        <w:t xml:space="preserve">John 16:7 reinforces the Son's role in the Spirit's coming with even greater emphasis: "Nevertheless, I tell you the truth: it is to your advantage that I go away, for if I do not go away, the Helper will not come to you. But if I go, I will send him to you." Here the coming of the Spirit is made entirely conditional on the Son's departure. The causal relationship between Christ's glorification and the Spirit's sending is unique and </w:t>
      </w:r>
      <w:r>
        <w:lastRenderedPageBreak/>
        <w:t>unrepeatable: the Spirit comes because the Son sends Him, and the Son sends Him precisely from the position of His glorified session at the Father's right hand. This economic conditioning of the Spirit's coming on the Son's glorification — a point that John's Gospel emphasizes repeatedly (John 7:39: "the Spirit had not been given, because Jesus was not yet glorified") — implies an immanent relation of the Spirit to the Son that is not merely circumstantial but constitutive of who the Spirit is in His eterna</w:t>
      </w:r>
      <w:r>
        <w:t>l being.</w:t>
      </w:r>
    </w:p>
    <w:p w14:paraId="4A128FA2" w14:textId="77777777" w:rsidR="000E133F" w:rsidRDefault="00EC5ECA">
      <w:pPr>
        <w:spacing w:before="60" w:after="140" w:line="360" w:lineRule="auto"/>
      </w:pPr>
      <w:r>
        <w:t xml:space="preserve">John 16:14–15 provides what is perhaps the most theologically far-reaching text for the </w:t>
      </w:r>
      <w:r>
        <w:rPr>
          <w:i/>
          <w:iCs/>
        </w:rPr>
        <w:t>Filioque</w:t>
      </w:r>
      <w:r>
        <w:t xml:space="preserve"> argument: "He will glorify me, for he will take what is mine and declare it to you. All that the Father has is mine; therefore I said that he will take what is mine and declare it to you." The logic of this passage is remarkable. The Spirit takes from what belongs to Christ — "what is mine" — and declares it to the disciples. But everything the Father has belongs to the Son: "All that the Father has is mine." This means that the Spirit's taking from what is the Son's includes everything that the So</w:t>
      </w:r>
      <w:r>
        <w:t>n has from the Father. If the Spirit's eternal procession from the Father is "what the Father has," then, by the logic of John 16:15, the Spirit's procession is also "what is mine" — it belongs to the Son as well. The Augustinian tradition reads this as a decisive indication that the principle from which the Spirit proceeds — the divine life and nature — belongs to Father and Son together, not to the Father alone.</w:t>
      </w:r>
    </w:p>
    <w:p w14:paraId="451D0C6C" w14:textId="77777777" w:rsidR="000E133F" w:rsidRDefault="00EC5ECA">
      <w:pPr>
        <w:spacing w:before="60" w:after="140" w:line="360" w:lineRule="auto"/>
      </w:pPr>
      <w:r>
        <w:t>Galatians 4:6 introduces the Spirit with a designation that is directly relevant to the procession question: "And because you are sons, God has sent the Spirit of his Son into our hearts, crying, 'Abba! Father!'" The Spirit is called "the Spirit of his Son" — not merely the Spirit sent by the Son or the Spirit who bears witness to the Son but the Spirit who belongs to the Son in the most intimate possible ontological sense: His Spirit. This designation parallels the designation "Spirit of God" in Romans 8:9</w:t>
      </w:r>
      <w:r>
        <w:t>, and Paul's use of both designations interchangeably in the same passage — "the Spirit of God" and "the Spirit of Christ" — is highly significant. Romans 8:9 reads: "You, however, are not in the flesh but in the Spirit, if in fact the Spirit of God dwells in you. Anyone who does not have the Spirit of Christ does not belong to him." The Spirit is simultaneously "the Spirit of God" and "the Spirit of Christ" — a double genitive of possession that implies an equal originary relation to both. If the Spirit we</w:t>
      </w:r>
      <w:r>
        <w:t xml:space="preserve">re the Spirit of the Father alone — proceeding </w:t>
      </w:r>
      <w:r>
        <w:lastRenderedPageBreak/>
        <w:t>from the Father alone and having His eternal being from the Father alone — why would Paul consistently describe Him as "the Spirit of Christ" with the same possessive force as "the Spirit of God"? The possessive genitive in Greek implies an ontological belonging, not merely a functional association. The Spirit is Christ's Spirit because He proceeds from Christ as well as from the Father.</w:t>
      </w:r>
    </w:p>
    <w:p w14:paraId="06726B85" w14:textId="77777777" w:rsidR="000E133F" w:rsidRDefault="00EC5ECA">
      <w:pPr>
        <w:spacing w:before="60" w:after="140" w:line="360" w:lineRule="auto"/>
      </w:pPr>
      <w:r>
        <w:t xml:space="preserve">These five texts together — John 15:26, 16:7, 16:14–15, Galatians 4:6, and Romans 8:9 — constitute a genuinely impressive biblical case for the </w:t>
      </w:r>
      <w:r>
        <w:rPr>
          <w:i/>
          <w:iCs/>
        </w:rPr>
        <w:t>Filioque</w:t>
      </w:r>
      <w:r>
        <w:t xml:space="preserve">. They do not, taken individually, provide a knockdown proof of the doctrine; each one admits of an Eastern interpretation that stops short of the full Western conclusion. But together they build a cumulative picture of the Spirit's relationship to the Son that is most naturally read as implying an eternal relation of origin — not merely functional association — between Spirit and Son. The Reformed tradition is justified in including the </w:t>
      </w:r>
      <w:r>
        <w:rPr>
          <w:i/>
          <w:iCs/>
        </w:rPr>
        <w:t>Filioque</w:t>
      </w:r>
      <w:r>
        <w:t xml:space="preserve"> in its confessions as an expression of what Scripture</w:t>
      </w:r>
      <w:r>
        <w:t xml:space="preserve"> teaches about the Holy Spirit's place within the Trinity.</w:t>
      </w:r>
    </w:p>
    <w:p w14:paraId="6E939073" w14:textId="77777777" w:rsidR="000E133F" w:rsidRDefault="00EC5ECA">
      <w:pPr>
        <w:pStyle w:val="Heading2"/>
      </w:pPr>
      <w:bookmarkStart w:id="190" w:name="_Toc232765417"/>
      <w:r>
        <w:t>20.4 — The Patristic Case for the Filioque</w:t>
      </w:r>
      <w:bookmarkEnd w:id="190"/>
    </w:p>
    <w:p w14:paraId="2E198264" w14:textId="77777777" w:rsidR="000E133F" w:rsidRDefault="00EC5ECA">
      <w:pPr>
        <w:spacing w:before="60" w:after="140" w:line="360" w:lineRule="auto"/>
      </w:pPr>
      <w:r>
        <w:t xml:space="preserve">The Reformed defense of the </w:t>
      </w:r>
      <w:r>
        <w:rPr>
          <w:i/>
          <w:iCs/>
        </w:rPr>
        <w:t>Filioque</w:t>
      </w:r>
      <w:r>
        <w:t xml:space="preserve"> does not rest solely on exegetical arguments from the New Testament; it also appeals to a substantial body of patristic evidence that demonstrates the double procession was not a ninth-century Western innovation but a broadly attested theological conviction with roots in both Western and Eastern sources from the patristic period. This patristic evidence is important not only because it strengthens the Reformed position but because it directly challenges the Orthodox narrative that the </w:t>
      </w:r>
      <w:r>
        <w:rPr>
          <w:i/>
          <w:iCs/>
        </w:rPr>
        <w:t>Filioque</w:t>
      </w:r>
      <w:r>
        <w:t xml:space="preserve"> is a</w:t>
      </w:r>
      <w:r>
        <w:t xml:space="preserve"> Western aberration from the universal patristic consensus.</w:t>
      </w:r>
    </w:p>
    <w:p w14:paraId="23ABFE7C" w14:textId="77777777" w:rsidR="000E133F" w:rsidRDefault="00EC5ECA">
      <w:pPr>
        <w:spacing w:before="60" w:after="140" w:line="360" w:lineRule="auto"/>
      </w:pPr>
      <w:r>
        <w:t xml:space="preserve">Augustine of Hippo is, of course, the towering figure in the Western patristic argument for the </w:t>
      </w:r>
      <w:r>
        <w:rPr>
          <w:i/>
          <w:iCs/>
        </w:rPr>
        <w:t>Filioque</w:t>
      </w:r>
      <w:r>
        <w:t xml:space="preserve">. His treatise </w:t>
      </w:r>
      <w:r>
        <w:rPr>
          <w:i/>
          <w:iCs/>
        </w:rPr>
        <w:t>De Trinitate</w:t>
      </w:r>
      <w:r>
        <w:t>, particularly Books V and XV, contains the fullest and most philosophically sophisticated argument for the double procession. In Book V, Section 14, Augustine articulates his position: the Holy Spirit proceeds from both Father and Son "as from one principle" (</w:t>
      </w:r>
      <w:r>
        <w:rPr>
          <w:i/>
          <w:iCs/>
        </w:rPr>
        <w:t>tamquam ex uno principio</w:t>
      </w:r>
      <w:r>
        <w:t xml:space="preserve">). This formulation is carefully crafted to avoid the charge of ditheism: Augustine does not say the Spirit proceeds from two separate principles but from Father and Son as from a </w:t>
      </w:r>
      <w:r>
        <w:lastRenderedPageBreak/>
        <w:t>single princ</w:t>
      </w:r>
      <w:r>
        <w:t>iple. The Father and Son together constitute one principle of the Spirit's procession, not two. The divine essence shared equally by Father and Son is the one principle from which the Spirit eternally proceeds. Augustine's psychological analogy for the Trinity — Father as the one who remembers, Son as the Word or self-knowledge generated in that remembering, Spirit as the love or will that proceeds from the act of self-knowing — entails the double procession structurally: love proceeds between the one who k</w:t>
      </w:r>
      <w:r>
        <w:t>nows and the one who is known, not from the knower alone. Whatever the limitations of this analogy (and there are significant limitations), it demonstrates the deep structural connection between Augustine's understanding of the Trinity and the double procession.</w:t>
      </w:r>
    </w:p>
    <w:p w14:paraId="184EB1D1" w14:textId="77777777" w:rsidR="000E133F" w:rsidRDefault="00EC5ECA">
      <w:pPr>
        <w:spacing w:before="60" w:after="140" w:line="360" w:lineRule="auto"/>
      </w:pPr>
      <w:r>
        <w:t xml:space="preserve">The most significant patristic evidence for the Eastern Orthodox position on the </w:t>
      </w:r>
      <w:r>
        <w:rPr>
          <w:i/>
          <w:iCs/>
        </w:rPr>
        <w:t>Filioque</w:t>
      </w:r>
      <w:r>
        <w:t xml:space="preserve"> comes, surprisingly, from the West — from the dominance of Augustinian Trinitarian theology in the Latin church. But what is less frequently noted is that substantial support for the </w:t>
      </w:r>
      <w:r>
        <w:rPr>
          <w:i/>
          <w:iCs/>
        </w:rPr>
        <w:t>Filioque</w:t>
      </w:r>
      <w:r>
        <w:t xml:space="preserve"> also exists in Eastern patristic sources — sources whose Eastern credentials the Orthodox cannot easily dismiss.</w:t>
      </w:r>
    </w:p>
    <w:p w14:paraId="1E085F71" w14:textId="77777777" w:rsidR="000E133F" w:rsidRDefault="00EC5ECA">
      <w:pPr>
        <w:spacing w:before="60" w:after="140" w:line="360" w:lineRule="auto"/>
      </w:pPr>
      <w:r>
        <w:t xml:space="preserve">Cyril of Alexandria (c. 376–444), the great champion of the </w:t>
      </w:r>
      <w:r>
        <w:rPr>
          <w:i/>
          <w:iCs/>
        </w:rPr>
        <w:t>Theotokos</w:t>
      </w:r>
      <w:r>
        <w:t xml:space="preserve"> and the driving force behind the Council of Ephesus, is one of the most theologically authoritative Eastern Fathers. His testimony on the </w:t>
      </w:r>
      <w:r>
        <w:rPr>
          <w:i/>
          <w:iCs/>
        </w:rPr>
        <w:t>Filioque</w:t>
      </w:r>
      <w:r>
        <w:t xml:space="preserve"> is therefore of particular significance. In his </w:t>
      </w:r>
      <w:r>
        <w:rPr>
          <w:i/>
          <w:iCs/>
        </w:rPr>
        <w:t>Thesaurus de Sancta et Consubstantiali Trinitate</w:t>
      </w:r>
      <w:r>
        <w:t xml:space="preserve"> (Treasury on the Holy and Consubstantial Trinity), Cyril writes that the Spirit "flows naturally from the Son" as He also flows from the Father, and that the Spirit is the Spirit "proper to the Son" (</w:t>
      </w:r>
      <w:r>
        <w:rPr>
          <w:i/>
          <w:iCs/>
        </w:rPr>
        <w:t>idios tou Huiou</w:t>
      </w:r>
      <w:r>
        <w:t xml:space="preserve">). The Greek phrase </w:t>
      </w:r>
      <w:r>
        <w:rPr>
          <w:i/>
          <w:iCs/>
        </w:rPr>
        <w:t>idios</w:t>
      </w:r>
      <w:r>
        <w:t xml:space="preserve"> — "proper to" or </w:t>
      </w:r>
      <w:r>
        <w:t xml:space="preserve">"one's own" — is a strong possessive indicating an intrinsic ontological belonging, not merely a functional relationship. The Spirit belongs to the Son in the same way He belongs to the Father because He proceeds from both. That Cyril — one of the most revered Fathers of the East, whose Christology is universally accepted as orthodox and whose theological authority the Eastern church unquestioningly affirms — held this position is a datum that the Orthodox case against the </w:t>
      </w:r>
      <w:r>
        <w:rPr>
          <w:i/>
          <w:iCs/>
        </w:rPr>
        <w:t>Filioque</w:t>
      </w:r>
      <w:r>
        <w:t xml:space="preserve"> must reckon with seriousl</w:t>
      </w:r>
      <w:r>
        <w:t>y.</w:t>
      </w:r>
    </w:p>
    <w:p w14:paraId="42423496" w14:textId="77777777" w:rsidR="000E133F" w:rsidRDefault="00EC5ECA">
      <w:pPr>
        <w:spacing w:before="60" w:after="140" w:line="360" w:lineRule="auto"/>
      </w:pPr>
      <w:r>
        <w:t xml:space="preserve">Epiphanius of Salamis (c. 315–403), another Eastern Father of impeccable orthodox credentials, wrote in his </w:t>
      </w:r>
      <w:r>
        <w:rPr>
          <w:i/>
          <w:iCs/>
        </w:rPr>
        <w:t>Ancoratus</w:t>
      </w:r>
      <w:r>
        <w:t xml:space="preserve"> (§67): "the Holy Spirit who is from the Father and </w:t>
      </w:r>
      <w:r>
        <w:lastRenderedPageBreak/>
        <w:t>the Son" (</w:t>
      </w:r>
      <w:r>
        <w:rPr>
          <w:i/>
          <w:iCs/>
        </w:rPr>
        <w:t>ho ek Patros kai Huiou</w:t>
      </w:r>
      <w:r>
        <w:t xml:space="preserve">). The preposition </w:t>
      </w:r>
      <w:r>
        <w:rPr>
          <w:i/>
          <w:iCs/>
        </w:rPr>
        <w:t>ek</w:t>
      </w:r>
      <w:r>
        <w:t xml:space="preserve"> is the same one used in John 15:26 for the Spirit's procession from the Father, and its application here to both Father and Son in a natural and unforced way suggests that Epiphanius regarded the double procession as the normal expression of the Spirit's relation to the other two persons. Hilary of Poitiers (c. 315–368), the most important fourth-century Western theologian before Augustine and </w:t>
      </w:r>
      <w:r>
        <w:t xml:space="preserve">one whose Eastern contacts were extensive (he spent several years in exile in Phrygia), writes in his </w:t>
      </w:r>
      <w:r>
        <w:rPr>
          <w:i/>
          <w:iCs/>
        </w:rPr>
        <w:t>De Trinitate</w:t>
      </w:r>
      <w:r>
        <w:t xml:space="preserve"> (II.29): "the Spirit of God, who is also the Spirit of Christ." The consistent Hilarian usage — always treating the Spirit as equally the Spirit of the Father and the Spirit of the Son — reflects an implicit double-procession theology. Hilary also writes (VIII.20): "I will ask the Father, and he will give you another Paraclete. I will ask, and the same Father will give. Not that he will ask who</w:t>
      </w:r>
      <w:r>
        <w:t xml:space="preserve"> does not give, since he himself is also sent by the Son, just as he is also from the Father." The phrase "sent by the Son" as parallel to "from the Father" implies an ontological relation to the Son's sending not reducible to mere economic appointment.</w:t>
      </w:r>
    </w:p>
    <w:p w14:paraId="00E843B9" w14:textId="77777777" w:rsidR="000E133F" w:rsidRDefault="00EC5ECA">
      <w:pPr>
        <w:spacing w:before="60" w:after="140" w:line="360" w:lineRule="auto"/>
      </w:pPr>
      <w:r>
        <w:t xml:space="preserve">Even more striking is the evidence from John of Damascus himself — the theologian whose </w:t>
      </w:r>
      <w:r>
        <w:rPr>
          <w:i/>
          <w:iCs/>
        </w:rPr>
        <w:t>Three Treatises on Divine Images</w:t>
      </w:r>
      <w:r>
        <w:t xml:space="preserve"> provides the normative Orthodox defense of icon-veneration. In his </w:t>
      </w:r>
      <w:r>
        <w:rPr>
          <w:i/>
          <w:iCs/>
        </w:rPr>
        <w:t>Exact Exposition of the Orthodox Faith</w:t>
      </w:r>
      <w:r>
        <w:t xml:space="preserve"> (I.12), John of Damascus writes: "We say that the Holy Spirit is from the Father and that He is the Spirit of the Son, but not from the Son." The first clause — "we say that the Holy Spirit is...the Spirit of the Son" — is precisely the possessive formulation that the </w:t>
      </w:r>
      <w:r>
        <w:rPr>
          <w:i/>
          <w:iCs/>
        </w:rPr>
        <w:t>Filioque</w:t>
      </w:r>
      <w:r>
        <w:t xml:space="preserve"> tradition appeals to. John of Damascus wants to maintain the Spirit's intimate ontological rela</w:t>
      </w:r>
      <w:r>
        <w:t xml:space="preserve">tion to the Son (He is the Son's Spirit) while denying the full Western conclusion of procession from the Son. But the tension within his formulation is palpable: if the Spirit is the Son's Spirit in an ontological sense — not merely functionally but in terms of His eternal being — it is difficult to explain how He can be the Son's Spirit without deriving His being from the Son as well as from the Father. The Eastern theological response to this tension is to appeal to the </w:t>
      </w:r>
      <w:r>
        <w:rPr>
          <w:i/>
          <w:iCs/>
        </w:rPr>
        <w:t>dia tou Huiou</w:t>
      </w:r>
      <w:r>
        <w:t xml:space="preserve"> formula ("through th</w:t>
      </w:r>
      <w:r>
        <w:t xml:space="preserve">e Son") — a formula that some Eastern Fathers use to describe a relationship of mediation or instrumentality in the Spirit's procession, distinct from the </w:t>
      </w:r>
      <w:r>
        <w:rPr>
          <w:i/>
          <w:iCs/>
        </w:rPr>
        <w:t>ex Filio</w:t>
      </w:r>
      <w:r>
        <w:t xml:space="preserve"> (from the Son) of the West. But whether </w:t>
      </w:r>
      <w:r>
        <w:rPr>
          <w:i/>
          <w:iCs/>
        </w:rPr>
        <w:t>dia tou Huiou</w:t>
      </w:r>
      <w:r>
        <w:t xml:space="preserve"> is genuinely different in theological substance from </w:t>
      </w:r>
      <w:r>
        <w:rPr>
          <w:i/>
          <w:iCs/>
        </w:rPr>
        <w:t>ex Filio</w:t>
      </w:r>
      <w:r>
        <w:t xml:space="preserve">, or merely </w:t>
      </w:r>
      <w:r>
        <w:lastRenderedPageBreak/>
        <w:t>different in linguistic convention, is a matter that the Reformed tradition regards as less clear than the Eastern tradition insists.</w:t>
      </w:r>
    </w:p>
    <w:p w14:paraId="697AD2E4" w14:textId="77777777" w:rsidR="000E133F" w:rsidRDefault="00EC5ECA">
      <w:pPr>
        <w:spacing w:before="60" w:after="140" w:line="360" w:lineRule="auto"/>
      </w:pPr>
      <w:r>
        <w:t xml:space="preserve">The cumulative patristic evidence therefore does not support the Orthodox narrative of a unanimous pre-Augustinian Eastern consensus against the </w:t>
      </w:r>
      <w:r>
        <w:rPr>
          <w:i/>
          <w:iCs/>
        </w:rPr>
        <w:t>Filioque</w:t>
      </w:r>
      <w:r>
        <w:t>. What it supports is a more complex picture: a clear Western tradition of double procession running from Tertullian and Hilary through Augustine and his successors; a strand of Eastern theology (Cyril, Epiphanius, and others) that expresses the Spirit's relation to the Son in terms functionally equivalent to the Western formula; and an Eastern theological development, crystallized in Photius, that specifically and systematically rejects the double procession. The Reformed tradition places itself in</w:t>
      </w:r>
      <w:r>
        <w:t xml:space="preserve"> the line of the Western tradition and the Eastern witnesses who anticipated it, arguing that this tradition is the more faithful expression of what the New Testament teaches about the Spirit's eternal relation to the Son.</w:t>
      </w:r>
    </w:p>
    <w:p w14:paraId="27F967FF" w14:textId="77777777" w:rsidR="000E133F" w:rsidRDefault="00EC5ECA">
      <w:pPr>
        <w:pStyle w:val="Heading2"/>
      </w:pPr>
      <w:bookmarkStart w:id="191" w:name="_Toc232765418"/>
      <w:r>
        <w:t>20.5 — The Confessional Filioque: Reformed Trinitarian Standards</w:t>
      </w:r>
      <w:bookmarkEnd w:id="191"/>
    </w:p>
    <w:p w14:paraId="2617678C" w14:textId="77777777" w:rsidR="000E133F" w:rsidRDefault="00EC5ECA">
      <w:pPr>
        <w:spacing w:before="60" w:after="140" w:line="360" w:lineRule="auto"/>
      </w:pPr>
      <w:r>
        <w:t xml:space="preserve">The Reformed confessional tradition has been entirely consistent and unanimous in its affirmation of the </w:t>
      </w:r>
      <w:r>
        <w:rPr>
          <w:i/>
          <w:iCs/>
        </w:rPr>
        <w:t>Filioque</w:t>
      </w:r>
      <w:r>
        <w:t xml:space="preserve">. This unanimity across confessional traditions and national churches is itself a significant theological datum: the </w:t>
      </w:r>
      <w:r>
        <w:rPr>
          <w:i/>
          <w:iCs/>
        </w:rPr>
        <w:t>Filioque</w:t>
      </w:r>
      <w:r>
        <w:t xml:space="preserve"> was not a contested question within the Reformation; it was a shared conviction that the Western tradition had preserved, on biblical and exegetical grounds, a truth about the Trinity that the Eastern church had wrongly rejected.</w:t>
      </w:r>
    </w:p>
    <w:p w14:paraId="6AEC2B64" w14:textId="77777777" w:rsidR="000E133F" w:rsidRDefault="00EC5ECA">
      <w:pPr>
        <w:spacing w:before="60" w:after="140" w:line="360" w:lineRule="auto"/>
      </w:pPr>
      <w:r>
        <w:t>The Second London Baptist Confession of Faith (1689), Chapter 2, Paragraph 3, states the doctrine in language that is both precise and comprehensive: "In this divine and infinite Being there are three subsistences, the Father, the Word or Son, and Holy Spirit, of one substance, power, and eternity, each having the whole divine essence, yet the essence undivided: the Father is of none, neither begotten nor proceeding; the Son is eternally begotten of the Father; the Holy Spirit proceeding from the Father and</w:t>
      </w:r>
      <w:r>
        <w:t xml:space="preserve"> the Son; all infinite, without beginning, therefore but one God, who is not to be divided in nature and being, but distinguished by several peculiar relative properties and personal relations; which doctrine of the Trinity is the foundation of all our communion with </w:t>
      </w:r>
      <w:r>
        <w:lastRenderedPageBreak/>
        <w:t>God, and comfortable dependence on Him." The structure of this paragraph is instructive. It states the classical doctrines of eternal generation (Son from Father) and eternal procession (Spirit from Father and Son) in direct parallel. The Son's</w:t>
      </w:r>
      <w:r>
        <w:t xml:space="preserve"> eternal begetting from the Father and the Spirit's eternal procession from Father and Son are presented as equally certain, equally confessable, and equally grounded in the same divine being. The Confession affirms both the homoousios (each having the whole divine essence) and the distinctions of the three persons (their several peculiar relative properties), and within this framework, the double procession is presented as the natural, biblically warranted expression of the Spirit's personal distinctivenes</w:t>
      </w:r>
      <w:r>
        <w:t>s.</w:t>
      </w:r>
    </w:p>
    <w:p w14:paraId="01498AC0" w14:textId="77777777" w:rsidR="000E133F" w:rsidRDefault="00EC5ECA">
      <w:pPr>
        <w:spacing w:before="60" w:after="140" w:line="360" w:lineRule="auto"/>
      </w:pPr>
      <w:r>
        <w:t>The Westminster Confession of Faith (1647), Chapter 2, Paragraph 3, employs identical language: "In the unity of the Godhead there be three Persons of one substance, power, and eternity: God the Father, God the Son, and God the Holy Ghost. The Father is of none, neither begotten nor proceeding; the Son is eternally begotten of the Father; the Holy Ghost eternally proceeding from the Father and the Son." The adverb "eternally" (</w:t>
      </w:r>
      <w:r>
        <w:rPr>
          <w:i/>
          <w:iCs/>
        </w:rPr>
        <w:t>aeternaliter</w:t>
      </w:r>
      <w:r>
        <w:t xml:space="preserve"> in the Latin tradition) is applied to both the generation of the Son and the procession of the Spirit — specifying that this is not an economic or temporal relation but an eternal, immanent one. The Spirit's procession from the Father and the Son is as eternal as the Son's generation from the Father; both are features of the divine life as it has eternally been, not as it has been constituted by the events of redemptive history.</w:t>
      </w:r>
    </w:p>
    <w:p w14:paraId="7D5C9F1E" w14:textId="77777777" w:rsidR="000E133F" w:rsidRDefault="00EC5ECA">
      <w:pPr>
        <w:spacing w:before="60" w:after="140" w:line="360" w:lineRule="auto"/>
      </w:pPr>
      <w:r>
        <w:t>The Belgic Confession (1561), Article 11 — "Of the Holy Ghost" — states: "We believe and confess also that the Holy Ghost proceeds eternally from the Father and the Son, neither made, nor created, nor begotten, but only proceeding from both; who in order is the third Person of the Holy Trinity; of one and the same essence, majesty, and glory, with the Father and the Son; and therefore is the true and eternal God, as the Holy Scriptures teach us." The phrase "proceeding from both" (</w:t>
      </w:r>
      <w:r>
        <w:rPr>
          <w:i/>
          <w:iCs/>
        </w:rPr>
        <w:t>van beiden voortkomende</w:t>
      </w:r>
      <w:r>
        <w:t xml:space="preserve">) is entirely unambiguous: the </w:t>
      </w:r>
      <w:r>
        <w:rPr>
          <w:i/>
          <w:iCs/>
        </w:rPr>
        <w:t>Filioque</w:t>
      </w:r>
      <w:r>
        <w:t xml:space="preserve"> is a confessional conviction of the Reformed tradition expressed in its most basic doctrinal standards.</w:t>
      </w:r>
    </w:p>
    <w:p w14:paraId="65514B04" w14:textId="77777777" w:rsidR="000E133F" w:rsidRDefault="00EC5ECA">
      <w:pPr>
        <w:pStyle w:val="Heading2"/>
      </w:pPr>
      <w:bookmarkStart w:id="192" w:name="_Toc232765419"/>
      <w:r>
        <w:t>20.6 — Response to the Canonical Objection</w:t>
      </w:r>
      <w:bookmarkEnd w:id="192"/>
    </w:p>
    <w:p w14:paraId="7AB7CD43" w14:textId="77777777" w:rsidR="000E133F" w:rsidRDefault="00EC5ECA">
      <w:pPr>
        <w:spacing w:before="60" w:after="140" w:line="360" w:lineRule="auto"/>
      </w:pPr>
      <w:r>
        <w:t xml:space="preserve">The Eastern canonical objection to the </w:t>
      </w:r>
      <w:r>
        <w:rPr>
          <w:i/>
          <w:iCs/>
        </w:rPr>
        <w:t>Filioque</w:t>
      </w:r>
      <w:r>
        <w:t xml:space="preserve"> — that the Council of Ephesus (431) forbade the composition of any "different creed" (</w:t>
      </w:r>
      <w:r>
        <w:rPr>
          <w:i/>
          <w:iCs/>
        </w:rPr>
        <w:t>heteron pistin</w:t>
      </w:r>
      <w:r>
        <w:t xml:space="preserve">) and that the Western </w:t>
      </w:r>
      <w:r>
        <w:lastRenderedPageBreak/>
        <w:t>addition therefore violates this prohibition regardless of its theological content — is an argument that the Reformed tradition has the resources to answer at several levels.</w:t>
      </w:r>
    </w:p>
    <w:p w14:paraId="784A8A5C" w14:textId="77777777" w:rsidR="000E133F" w:rsidRDefault="00EC5ECA">
      <w:pPr>
        <w:spacing w:before="60" w:after="140" w:line="360" w:lineRule="auto"/>
      </w:pPr>
      <w:r>
        <w:t>The first response is historical and textual: the prohibition at Ephesus was directed at a specific crisis, namely the attempt by followers of Nestorius and Apollinaris to promulgate rival creedal formulas that would undermine the theological work of Nicaea and Constantinople. The canon reads: "It is not permitted to introduce any other faith (</w:t>
      </w:r>
      <w:r>
        <w:rPr>
          <w:i/>
          <w:iCs/>
        </w:rPr>
        <w:t>heteron pistin</w:t>
      </w:r>
      <w:r>
        <w:t>) different from that defined by the holy Fathers who assembled at Nicaea with the Holy Spirit." The "different faith" that is forbidden is a faith that contradicts the Nicene settlement on the person of Christ — a faith in a different Christ, a lesser Christ, a divided Christ. The canon was not intended to prevent any subsequent theological development or clarification of Trinitarian theology; it was intended to prevent the Nestorian and Apollinarian movements from achieving creedal legitimac</w:t>
      </w:r>
      <w:r>
        <w:t xml:space="preserve">y for their Christological heresies. To apply this canon to the </w:t>
      </w:r>
      <w:r>
        <w:rPr>
          <w:i/>
          <w:iCs/>
        </w:rPr>
        <w:t>Filioque</w:t>
      </w:r>
      <w:r>
        <w:t xml:space="preserve"> — which does not contradict the Nicene Christology but supplements the Trinitarian theology of the 381 Creed with a Western specification — is to apply it beyond its intended scope.</w:t>
      </w:r>
    </w:p>
    <w:p w14:paraId="5EAAD18C" w14:textId="77777777" w:rsidR="000E133F" w:rsidRDefault="00EC5ECA">
      <w:pPr>
        <w:spacing w:before="60" w:after="140" w:line="360" w:lineRule="auto"/>
      </w:pPr>
      <w:r>
        <w:t>The second response is theological: the Reformed tradition does not hold the Niceno-Constantinopolitan Creed to be above criticism or beyond supplementation. This is a direct consequence of the supremacy of Scripture over all human councils and confessions, as stated in 2LBC 1.10 and WCF 31.3. The creeds are authoritative insofar as they faithfully express the teaching of Scripture; they are not authoritative in themselves or by virtue of conciliar promulgation. WCF 31.3 states explicitly: "All synods or co</w:t>
      </w:r>
      <w:r>
        <w:t xml:space="preserve">uncils since the Apostles' times, whether general or particular, may err, and many have erred: therefore they are not to be made the rule of faith or practice, but to be used as a help in both." The Orthodox canonical argument assumes that the ecumenical councils are infallible — an assumption the Reformed tradition categorically rejects. If the </w:t>
      </w:r>
      <w:r>
        <w:rPr>
          <w:i/>
          <w:iCs/>
        </w:rPr>
        <w:t>Filioque</w:t>
      </w:r>
      <w:r>
        <w:t xml:space="preserve"> is scripturally warranted — as the Reformed tradition argues it is — then the canonical prohibition of Ephesus cannot override the teaching of Scripture. T</w:t>
      </w:r>
      <w:r>
        <w:t>he biblical case for the double procession, developed in section 20.3 above, is the governing consideration; the canonical argument from Ephesus is a secondary procedural objection that cannot determine a question of revealed truth.</w:t>
      </w:r>
    </w:p>
    <w:p w14:paraId="5A35D7E0" w14:textId="77777777" w:rsidR="000E133F" w:rsidRDefault="00EC5ECA">
      <w:pPr>
        <w:spacing w:before="60" w:after="140" w:line="360" w:lineRule="auto"/>
      </w:pPr>
      <w:r>
        <w:lastRenderedPageBreak/>
        <w:t>The third response is to note the internal inconsistency of the Orthodox canonical argument. The Eastern church itself made doctrinal developments and creedal elaborations after 381 that went beyond the text of the Niceno-Constantinopolitan Creed — not least the entire doctrinal system of Palamite theology (the essence-energies distinction), which was formally promulgated as dogma by the Councils of Constantinople in 1341 and 1351. If the prohibition of Ephesus is to be applied with strict literalism to the</w:t>
      </w:r>
      <w:r>
        <w:t xml:space="preserve"> Western </w:t>
      </w:r>
      <w:r>
        <w:rPr>
          <w:i/>
          <w:iCs/>
        </w:rPr>
        <w:t>Filioque</w:t>
      </w:r>
      <w:r>
        <w:t xml:space="preserve">, consistency would require that it be applied with equal strictness to Palamite dogma, which is equally an elaboration of the theological content of the 381 Creed not found in the creed's text. The Orthodox cannot selectively invoke the Ephesian canon against the </w:t>
      </w:r>
      <w:r>
        <w:rPr>
          <w:i/>
          <w:iCs/>
        </w:rPr>
        <w:t>Filioque</w:t>
      </w:r>
      <w:r>
        <w:t xml:space="preserve"> while ignoring its implications for their own post-381 doctrinal developments. The Reformed tradition, which subjects all conciliar pronouncements to the authority of Scripture, is at least consistent in this regard: both</w:t>
      </w:r>
      <w:r>
        <w:t xml:space="preserve"> the </w:t>
      </w:r>
      <w:r>
        <w:rPr>
          <w:i/>
          <w:iCs/>
        </w:rPr>
        <w:t>Filioque</w:t>
      </w:r>
      <w:r>
        <w:t xml:space="preserve"> and any post-Nicene Eastern doctrinal elaboration are evaluated by the same standard — whether they faithfully express what Scripture teaches.</w:t>
      </w:r>
    </w:p>
    <w:p w14:paraId="5EA79B6B" w14:textId="77777777" w:rsidR="000E133F" w:rsidRDefault="00EC5ECA">
      <w:pPr>
        <w:pStyle w:val="Heading1"/>
        <w:pageBreakBefore/>
      </w:pPr>
      <w:bookmarkStart w:id="193" w:name="_Toc232765420"/>
      <w:r>
        <w:lastRenderedPageBreak/>
        <w:t>CHAPTER TWENTY-ONE: SYNTHESIS — THE GOSPEL QUESTION AND THE CALL TO ORTHODOXY</w:t>
      </w:r>
      <w:bookmarkEnd w:id="193"/>
    </w:p>
    <w:p w14:paraId="5F02390D" w14:textId="77777777" w:rsidR="000E133F" w:rsidRDefault="00EC5ECA">
      <w:pPr>
        <w:pStyle w:val="Heading2"/>
      </w:pPr>
      <w:bookmarkStart w:id="194" w:name="_Toc232765421"/>
      <w:r>
        <w:t>21.1 — The Doctrinal Comparison Table</w:t>
      </w:r>
      <w:bookmarkEnd w:id="194"/>
    </w:p>
    <w:p w14:paraId="7353981D" w14:textId="77777777" w:rsidR="000E133F" w:rsidRDefault="00EC5ECA">
      <w:pPr>
        <w:spacing w:before="60" w:after="140" w:line="360" w:lineRule="auto"/>
      </w:pPr>
      <w:r>
        <w:t>The following table presents, in compressed form, the comprehensive comparison between Eastern Orthodox and Reformed Protestant theology as developed in this treatise. Each category represents a point of genuine and substantive theological difference, grounded in the primary-source analysis undertaken throughout.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380"/>
        <w:gridCol w:w="3380"/>
      </w:tblGrid>
      <w:tr w:rsidR="000E133F" w14:paraId="1405A939" w14:textId="77777777">
        <w:tblPrEx>
          <w:tblCellMar>
            <w:top w:w="0" w:type="dxa"/>
            <w:bottom w:w="0" w:type="dxa"/>
          </w:tblCellMar>
        </w:tblPrEx>
        <w:tc>
          <w:tcPr>
            <w:tcW w:w="2600" w:type="dxa"/>
            <w:tcBorders>
              <w:top w:val="single" w:sz="4" w:space="0" w:color="AAAAAA"/>
              <w:left w:val="single" w:sz="4" w:space="0" w:color="AAAAAA"/>
              <w:bottom w:val="single" w:sz="4" w:space="0" w:color="AAAAAA"/>
              <w:right w:val="single" w:sz="4" w:space="0" w:color="AAAAAA"/>
            </w:tcBorders>
            <w:shd w:val="clear" w:color="auto" w:fill="1E3A4F"/>
            <w:tcMar>
              <w:top w:w="80" w:type="dxa"/>
              <w:left w:w="120" w:type="dxa"/>
              <w:bottom w:w="80" w:type="dxa"/>
              <w:right w:w="120" w:type="dxa"/>
            </w:tcMar>
          </w:tcPr>
          <w:p w14:paraId="68FF7C0E" w14:textId="77777777" w:rsidR="000E133F" w:rsidRDefault="00EC5ECA">
            <w:r>
              <w:rPr>
                <w:b/>
                <w:bCs/>
                <w:color w:val="FFFFFF"/>
                <w:sz w:val="20"/>
                <w:szCs w:val="20"/>
              </w:rPr>
              <w:t>Doctrinal Category</w:t>
            </w:r>
          </w:p>
        </w:tc>
        <w:tc>
          <w:tcPr>
            <w:tcW w:w="3380" w:type="dxa"/>
            <w:tcBorders>
              <w:top w:val="single" w:sz="4" w:space="0" w:color="AAAAAA"/>
              <w:left w:val="single" w:sz="4" w:space="0" w:color="AAAAAA"/>
              <w:bottom w:val="single" w:sz="4" w:space="0" w:color="AAAAAA"/>
              <w:right w:val="single" w:sz="4" w:space="0" w:color="AAAAAA"/>
            </w:tcBorders>
            <w:shd w:val="clear" w:color="auto" w:fill="1E3A4F"/>
            <w:tcMar>
              <w:top w:w="80" w:type="dxa"/>
              <w:left w:w="120" w:type="dxa"/>
              <w:bottom w:w="80" w:type="dxa"/>
              <w:right w:w="120" w:type="dxa"/>
            </w:tcMar>
          </w:tcPr>
          <w:p w14:paraId="2C47181A" w14:textId="77777777" w:rsidR="000E133F" w:rsidRDefault="00EC5ECA">
            <w:r>
              <w:rPr>
                <w:b/>
                <w:bCs/>
                <w:color w:val="FFFFFF"/>
                <w:sz w:val="20"/>
                <w:szCs w:val="20"/>
              </w:rPr>
              <w:t>Eastern Orthodox Position</w:t>
            </w:r>
          </w:p>
        </w:tc>
        <w:tc>
          <w:tcPr>
            <w:tcW w:w="3380" w:type="dxa"/>
            <w:tcBorders>
              <w:top w:val="single" w:sz="4" w:space="0" w:color="AAAAAA"/>
              <w:left w:val="single" w:sz="4" w:space="0" w:color="AAAAAA"/>
              <w:bottom w:val="single" w:sz="4" w:space="0" w:color="AAAAAA"/>
              <w:right w:val="single" w:sz="4" w:space="0" w:color="AAAAAA"/>
            </w:tcBorders>
            <w:shd w:val="clear" w:color="auto" w:fill="1E3A4F"/>
            <w:tcMar>
              <w:top w:w="80" w:type="dxa"/>
              <w:left w:w="120" w:type="dxa"/>
              <w:bottom w:w="80" w:type="dxa"/>
              <w:right w:w="120" w:type="dxa"/>
            </w:tcMar>
          </w:tcPr>
          <w:p w14:paraId="3E747051" w14:textId="77777777" w:rsidR="000E133F" w:rsidRDefault="00EC5ECA">
            <w:r>
              <w:rPr>
                <w:b/>
                <w:bCs/>
                <w:color w:val="FFFFFF"/>
                <w:sz w:val="20"/>
                <w:szCs w:val="20"/>
              </w:rPr>
              <w:t>Reformed Position (2LBC 1689)</w:t>
            </w:r>
          </w:p>
        </w:tc>
      </w:tr>
      <w:tr w:rsidR="000E133F" w14:paraId="063FB14B" w14:textId="77777777">
        <w:tblPrEx>
          <w:tblCellMar>
            <w:top w:w="0" w:type="dxa"/>
            <w:bottom w:w="0" w:type="dxa"/>
          </w:tblCellMar>
        </w:tblPrEx>
        <w:tc>
          <w:tcPr>
            <w:tcW w:w="26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3839A25C" w14:textId="77777777" w:rsidR="000E133F" w:rsidRDefault="00EC5ECA">
            <w:r>
              <w:t>Epistemological Authority</w:t>
            </w:r>
          </w:p>
        </w:tc>
        <w:tc>
          <w:tcPr>
            <w:tcW w:w="33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1616752C" w14:textId="77777777" w:rsidR="000E133F" w:rsidRDefault="00EC5ECA">
            <w:r>
              <w:t>Scripture within Holy Tradition; councils have interpretive supremacy; the living Church is the authoritative context for reading Scripture</w:t>
            </w:r>
          </w:p>
        </w:tc>
        <w:tc>
          <w:tcPr>
            <w:tcW w:w="33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699D2FA" w14:textId="77777777" w:rsidR="000E133F" w:rsidRDefault="00EC5ECA">
            <w:r>
              <w:t>Scripture alone (sola Scriptura) as the supreme, sufficient, self-authenticating norm; councils fallible; Tradition subordinate to Scripture</w:t>
            </w:r>
          </w:p>
        </w:tc>
      </w:tr>
      <w:tr w:rsidR="000E133F" w14:paraId="2825F363" w14:textId="77777777">
        <w:tblPrEx>
          <w:tblCellMar>
            <w:top w:w="0" w:type="dxa"/>
            <w:bottom w:w="0" w:type="dxa"/>
          </w:tblCellMar>
        </w:tblPrEx>
        <w:tc>
          <w:tcPr>
            <w:tcW w:w="260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54813015" w14:textId="77777777" w:rsidR="000E133F" w:rsidRDefault="00EC5ECA">
            <w:r>
              <w:t>Biblical Canon</w:t>
            </w:r>
          </w:p>
        </w:tc>
        <w:tc>
          <w:tcPr>
            <w:tcW w:w="338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7B1E8B6A" w14:textId="77777777" w:rsidR="000E133F" w:rsidRDefault="00EC5ECA">
            <w:r>
              <w:t>LXX deuterocanonical books (Tobit, Judith, Sirach, Wisdom, 1–2 Maccabees, etc.) included; the Jerusalem Synod of 1672 affirmed their canonicity</w:t>
            </w:r>
          </w:p>
        </w:tc>
        <w:tc>
          <w:tcPr>
            <w:tcW w:w="338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5DD75007" w14:textId="77777777" w:rsidR="000E133F" w:rsidRDefault="00EC5ECA">
            <w:r>
              <w:t>66 books of the Hebrew canon; Apocrypha not canonical (2LBC 1.3); Jesus and the apostles never cite the deuterocanonical books as Scripture</w:t>
            </w:r>
          </w:p>
        </w:tc>
      </w:tr>
      <w:tr w:rsidR="000E133F" w14:paraId="51923BF2" w14:textId="77777777">
        <w:tblPrEx>
          <w:tblCellMar>
            <w:top w:w="0" w:type="dxa"/>
            <w:bottom w:w="0" w:type="dxa"/>
          </w:tblCellMar>
        </w:tblPrEx>
        <w:tc>
          <w:tcPr>
            <w:tcW w:w="26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52F6E472" w14:textId="77777777" w:rsidR="000E133F" w:rsidRDefault="00EC5ECA">
            <w:r>
              <w:t>Human Condition</w:t>
            </w:r>
          </w:p>
        </w:tc>
        <w:tc>
          <w:tcPr>
            <w:tcW w:w="33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4A6CE31" w14:textId="77777777" w:rsidR="000E133F" w:rsidRDefault="00EC5ECA">
            <w:r>
              <w:t>Ancestral sin (protopatoria): inherited mortality and tendency to sin, but not inherited guilt; humans are weakened, not totally depraved; libertarian free will preserved</w:t>
            </w:r>
          </w:p>
        </w:tc>
        <w:tc>
          <w:tcPr>
            <w:tcW w:w="33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E411367" w14:textId="77777777" w:rsidR="000E133F" w:rsidRDefault="00EC5ECA">
            <w:r>
              <w:t>Original sin: inherited guilt and total depravity (2LBC 6); "wholly defiled in all the faculties and parts of soul and body"; total inability to perform spiritual good</w:t>
            </w:r>
          </w:p>
        </w:tc>
      </w:tr>
      <w:tr w:rsidR="000E133F" w14:paraId="70AD9016" w14:textId="77777777">
        <w:tblPrEx>
          <w:tblCellMar>
            <w:top w:w="0" w:type="dxa"/>
            <w:bottom w:w="0" w:type="dxa"/>
          </w:tblCellMar>
        </w:tblPrEx>
        <w:tc>
          <w:tcPr>
            <w:tcW w:w="260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7212918C" w14:textId="77777777" w:rsidR="000E133F" w:rsidRDefault="00EC5ECA">
            <w:r>
              <w:t>Salvation</w:t>
            </w:r>
          </w:p>
        </w:tc>
        <w:tc>
          <w:tcPr>
            <w:tcW w:w="338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4D669182" w14:textId="77777777" w:rsidR="000E133F" w:rsidRDefault="00EC5ECA">
            <w:r>
              <w:t>Theosis (θέωσις): progressive deification, participation in divine energies; synergistic cooperation with grace; lifelong process toward union with God</w:t>
            </w:r>
          </w:p>
        </w:tc>
        <w:tc>
          <w:tcPr>
            <w:tcW w:w="338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72E9068F" w14:textId="77777777" w:rsidR="000E133F" w:rsidRDefault="00EC5ECA">
            <w:r>
              <w:t>Definite forensic declaration of justification by grace alone through faith alone; monergistic grace; salvation a completed legal act, not an ongoing process</w:t>
            </w:r>
          </w:p>
        </w:tc>
      </w:tr>
      <w:tr w:rsidR="000E133F" w14:paraId="01FC136E" w14:textId="77777777">
        <w:tblPrEx>
          <w:tblCellMar>
            <w:top w:w="0" w:type="dxa"/>
            <w:bottom w:w="0" w:type="dxa"/>
          </w:tblCellMar>
        </w:tblPrEx>
        <w:tc>
          <w:tcPr>
            <w:tcW w:w="26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D7D8AD0" w14:textId="77777777" w:rsidR="000E133F" w:rsidRDefault="00EC5ECA">
            <w:r>
              <w:t>Atonement</w:t>
            </w:r>
          </w:p>
        </w:tc>
        <w:tc>
          <w:tcPr>
            <w:tcW w:w="33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44319EA" w14:textId="77777777" w:rsidR="000E133F" w:rsidRDefault="00EC5ECA">
            <w:r>
              <w:t xml:space="preserve">Christus Victor and recapitulation primary; Penal </w:t>
            </w:r>
            <w:r>
              <w:lastRenderedPageBreak/>
              <w:t>Substitutionary Atonement largely rejected as juridical imposition; healing of human nature the governing category</w:t>
            </w:r>
          </w:p>
        </w:tc>
        <w:tc>
          <w:tcPr>
            <w:tcW w:w="33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D46035D" w14:textId="77777777" w:rsidR="000E133F" w:rsidRDefault="00EC5ECA">
            <w:r>
              <w:lastRenderedPageBreak/>
              <w:t xml:space="preserve">PSA biblically necessary and primary (2LBC 11.3); </w:t>
            </w:r>
            <w:r>
              <w:lastRenderedPageBreak/>
              <w:t>Christus Victor is a derived consequence of the legal cancellation of debt achieved in PSA</w:t>
            </w:r>
          </w:p>
        </w:tc>
      </w:tr>
      <w:tr w:rsidR="000E133F" w14:paraId="0F103E01" w14:textId="77777777">
        <w:tblPrEx>
          <w:tblCellMar>
            <w:top w:w="0" w:type="dxa"/>
            <w:bottom w:w="0" w:type="dxa"/>
          </w:tblCellMar>
        </w:tblPrEx>
        <w:tc>
          <w:tcPr>
            <w:tcW w:w="260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3E821430" w14:textId="77777777" w:rsidR="000E133F" w:rsidRDefault="00EC5ECA">
            <w:r>
              <w:lastRenderedPageBreak/>
              <w:t>Justification</w:t>
            </w:r>
          </w:p>
        </w:tc>
        <w:tc>
          <w:tcPr>
            <w:tcW w:w="338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1F4D5C3E" w14:textId="77777777" w:rsidR="000E133F" w:rsidRDefault="00EC5ECA">
            <w:r>
              <w:t>Not by faith alone; justification is participatory and synergistic (Dositheus Decree XIII); faith working through love; not a forensic imputation of alien righteousness</w:t>
            </w:r>
          </w:p>
        </w:tc>
        <w:tc>
          <w:tcPr>
            <w:tcW w:w="338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75D88917" w14:textId="77777777" w:rsidR="000E133F" w:rsidRDefault="00EC5ECA">
            <w:r>
              <w:t>Forensic justification by imputed righteousness of Christ; sola fide; not infused but imputed; not moral transformation but judicial declaration (2LBC 11.1)</w:t>
            </w:r>
          </w:p>
        </w:tc>
      </w:tr>
      <w:tr w:rsidR="000E133F" w14:paraId="51A0DD74" w14:textId="77777777">
        <w:tblPrEx>
          <w:tblCellMar>
            <w:top w:w="0" w:type="dxa"/>
            <w:bottom w:w="0" w:type="dxa"/>
          </w:tblCellMar>
        </w:tblPrEx>
        <w:tc>
          <w:tcPr>
            <w:tcW w:w="26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D276F92" w14:textId="77777777" w:rsidR="000E133F" w:rsidRDefault="00EC5ECA">
            <w:r>
              <w:t>Grace and Human Will</w:t>
            </w:r>
          </w:p>
        </w:tc>
        <w:tc>
          <w:tcPr>
            <w:tcW w:w="33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CF0319E" w14:textId="77777777" w:rsidR="000E133F" w:rsidRDefault="00EC5ECA">
            <w:r>
              <w:t>Synergistic: human free will cooperates with divine grace in salvation; God wills all to be saved and provides grace that can be resisted</w:t>
            </w:r>
          </w:p>
        </w:tc>
        <w:tc>
          <w:tcPr>
            <w:tcW w:w="33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55AC64B8" w14:textId="77777777" w:rsidR="000E133F" w:rsidRDefault="00EC5ECA">
            <w:r>
              <w:t>Monergistic: election is unconditional; grace is efficacious and irresistible for the elect; total inability of fallen will to cooperate in regeneration (2LBC 9.3)</w:t>
            </w:r>
          </w:p>
        </w:tc>
      </w:tr>
      <w:tr w:rsidR="000E133F" w14:paraId="38BB1444" w14:textId="77777777">
        <w:tblPrEx>
          <w:tblCellMar>
            <w:top w:w="0" w:type="dxa"/>
            <w:bottom w:w="0" w:type="dxa"/>
          </w:tblCellMar>
        </w:tblPrEx>
        <w:tc>
          <w:tcPr>
            <w:tcW w:w="260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235C9996" w14:textId="77777777" w:rsidR="000E133F" w:rsidRDefault="00EC5ECA">
            <w:r>
              <w:t>The Church</w:t>
            </w:r>
          </w:p>
        </w:tc>
        <w:tc>
          <w:tcPr>
            <w:tcW w:w="338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327CDF4B" w14:textId="77777777" w:rsidR="000E133F" w:rsidRDefault="00EC5ECA">
            <w:r>
              <w:t>One visible, hierarchical institution in continuous apostolic succession; the Church is the pillar and ground of truth; no salvation outside the Orthodox Church</w:t>
            </w:r>
          </w:p>
        </w:tc>
        <w:tc>
          <w:tcPr>
            <w:tcW w:w="338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7B8F04E1" w14:textId="77777777" w:rsidR="000E133F" w:rsidRDefault="00EC5ECA">
            <w:r>
              <w:t>Invisible Church (total elect of all ages) + visible Church (professing believers under the Word); no visible institution is infallible; Christ alone is Head (2LBC 26.4)</w:t>
            </w:r>
          </w:p>
        </w:tc>
      </w:tr>
      <w:tr w:rsidR="000E133F" w14:paraId="23395CDF" w14:textId="77777777">
        <w:tblPrEx>
          <w:tblCellMar>
            <w:top w:w="0" w:type="dxa"/>
            <w:bottom w:w="0" w:type="dxa"/>
          </w:tblCellMar>
        </w:tblPrEx>
        <w:tc>
          <w:tcPr>
            <w:tcW w:w="26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C053729" w14:textId="77777777" w:rsidR="000E133F" w:rsidRDefault="00EC5ECA">
            <w:r>
              <w:t>Councils</w:t>
            </w:r>
          </w:p>
        </w:tc>
        <w:tc>
          <w:tcPr>
            <w:tcW w:w="33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F222484" w14:textId="77777777" w:rsidR="000E133F" w:rsidRDefault="00EC5ECA">
            <w:r>
              <w:t>Seven Ecumenical Councils are infallible expressions of the Spirit's guidance; binding on all Christians; define dogma</w:t>
            </w:r>
          </w:p>
        </w:tc>
        <w:tc>
          <w:tcPr>
            <w:tcW w:w="33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BDFC947" w14:textId="77777777" w:rsidR="000E133F" w:rsidRDefault="00EC5ECA">
            <w:r>
              <w:t>All councils may err and many have erred (WCF 31.3; 2LBC 1.10); councils are authoritative only insofar as they agree with Scripture</w:t>
            </w:r>
          </w:p>
        </w:tc>
      </w:tr>
      <w:tr w:rsidR="000E133F" w14:paraId="4E6F20FB" w14:textId="77777777">
        <w:tblPrEx>
          <w:tblCellMar>
            <w:top w:w="0" w:type="dxa"/>
            <w:bottom w:w="0" w:type="dxa"/>
          </w:tblCellMar>
        </w:tblPrEx>
        <w:tc>
          <w:tcPr>
            <w:tcW w:w="260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6AAC93B4" w14:textId="77777777" w:rsidR="000E133F" w:rsidRDefault="00EC5ECA">
            <w:r>
              <w:t>Ordinances / Mysteries</w:t>
            </w:r>
          </w:p>
        </w:tc>
        <w:tc>
          <w:tcPr>
            <w:tcW w:w="338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79AB3F2C" w14:textId="77777777" w:rsidR="000E133F" w:rsidRDefault="00EC5ECA">
            <w:r>
              <w:t>Seven Holy Mysteries: Baptism, Chrismation, Eucharist, Confession, Holy Unction, Matrimony, Holy Orders — all sacramental channels of sanctifying grace</w:t>
            </w:r>
          </w:p>
        </w:tc>
        <w:tc>
          <w:tcPr>
            <w:tcW w:w="338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39A37292" w14:textId="77777777" w:rsidR="000E133F" w:rsidRDefault="00EC5ECA">
            <w:r>
              <w:t>Two ordinances: Baptism and the Lord's Supper (2LBC 28.1); signs and seals of covenant grace; not automatic channels of saving grace</w:t>
            </w:r>
          </w:p>
        </w:tc>
      </w:tr>
      <w:tr w:rsidR="000E133F" w14:paraId="2CDC3234" w14:textId="77777777">
        <w:tblPrEx>
          <w:tblCellMar>
            <w:top w:w="0" w:type="dxa"/>
            <w:bottom w:w="0" w:type="dxa"/>
          </w:tblCellMar>
        </w:tblPrEx>
        <w:tc>
          <w:tcPr>
            <w:tcW w:w="26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18512423" w14:textId="77777777" w:rsidR="000E133F" w:rsidRDefault="00EC5ECA">
            <w:r>
              <w:t>Eucharist</w:t>
            </w:r>
          </w:p>
        </w:tc>
        <w:tc>
          <w:tcPr>
            <w:tcW w:w="33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BE41C37" w14:textId="77777777" w:rsidR="000E133F" w:rsidRDefault="00EC5ECA">
            <w:r>
              <w:t>True ontological transformation of the elements into Christ's Body and Blood; the Eucharist is a propitiatory sacrifice; the center of ecclesial and sacramental life</w:t>
            </w:r>
          </w:p>
        </w:tc>
        <w:tc>
          <w:tcPr>
            <w:tcW w:w="33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91B7173" w14:textId="77777777" w:rsidR="000E133F" w:rsidRDefault="00EC5ECA">
            <w:r>
              <w:t>Memorial and covenant meal; Christ's one sacrifice on Calvary is unrepeatable and once-for-all (Heb. 10:10–14; 2LBC 30.2); no corporeal presence in the elements</w:t>
            </w:r>
          </w:p>
        </w:tc>
      </w:tr>
      <w:tr w:rsidR="000E133F" w14:paraId="2AB570A5" w14:textId="77777777">
        <w:tblPrEx>
          <w:tblCellMar>
            <w:top w:w="0" w:type="dxa"/>
            <w:bottom w:w="0" w:type="dxa"/>
          </w:tblCellMar>
        </w:tblPrEx>
        <w:tc>
          <w:tcPr>
            <w:tcW w:w="260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167EBE40" w14:textId="77777777" w:rsidR="000E133F" w:rsidRDefault="00EC5ECA">
            <w:r>
              <w:lastRenderedPageBreak/>
              <w:t>Worship Principle</w:t>
            </w:r>
          </w:p>
        </w:tc>
        <w:tc>
          <w:tcPr>
            <w:tcW w:w="338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17554A0F" w14:textId="77777777" w:rsidR="000E133F" w:rsidRDefault="00EC5ECA">
            <w:r>
              <w:t>Positive principle: what is not explicitly forbidden may be used in worship; the liturgical tradition represents Spirit-guided development of apostolic worship</w:t>
            </w:r>
          </w:p>
        </w:tc>
        <w:tc>
          <w:tcPr>
            <w:tcW w:w="338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3E06ECC1" w14:textId="77777777" w:rsidR="000E133F" w:rsidRDefault="00EC5ECA">
            <w:r>
              <w:t>Regulative Principle: only what God has commanded in Scripture is permissible in worship (2LBC 22.1; WCF 21.1); human additions to worship are not authorized</w:t>
            </w:r>
          </w:p>
        </w:tc>
      </w:tr>
      <w:tr w:rsidR="000E133F" w14:paraId="232A3CAA" w14:textId="77777777">
        <w:tblPrEx>
          <w:tblCellMar>
            <w:top w:w="0" w:type="dxa"/>
            <w:bottom w:w="0" w:type="dxa"/>
          </w:tblCellMar>
        </w:tblPrEx>
        <w:tc>
          <w:tcPr>
            <w:tcW w:w="26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DAF3D31" w14:textId="77777777" w:rsidR="000E133F" w:rsidRDefault="00EC5ECA">
            <w:r>
              <w:t>Icons and Images</w:t>
            </w:r>
          </w:p>
        </w:tc>
        <w:tc>
          <w:tcPr>
            <w:tcW w:w="33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16CB2CB6" w14:textId="77777777" w:rsidR="000E133F" w:rsidRDefault="00EC5ECA">
            <w:r>
              <w:t>Mandated by Nicaea II (787); icons confess the Incarnation; veneration (proskynesis) distinct from worship (latreia); "honor passes to the prototype"</w:t>
            </w:r>
          </w:p>
        </w:tc>
        <w:tc>
          <w:tcPr>
            <w:tcW w:w="33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B7F0688" w14:textId="77777777" w:rsidR="000E133F" w:rsidRDefault="00EC5ECA">
            <w:r>
              <w:t>Forbidden by the Second Commandment (Exod. 20:4–6); Nicaea II anathematized those who apply Scripture to icons, which exceeds conciliar authority; no valid latreia/proskynesis distinction in practice</w:t>
            </w:r>
          </w:p>
        </w:tc>
      </w:tr>
      <w:tr w:rsidR="000E133F" w14:paraId="2DD80395" w14:textId="77777777">
        <w:tblPrEx>
          <w:tblCellMar>
            <w:top w:w="0" w:type="dxa"/>
            <w:bottom w:w="0" w:type="dxa"/>
          </w:tblCellMar>
        </w:tblPrEx>
        <w:tc>
          <w:tcPr>
            <w:tcW w:w="260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26661482" w14:textId="77777777" w:rsidR="000E133F" w:rsidRDefault="00EC5ECA">
            <w:r>
              <w:t>Mariology</w:t>
            </w:r>
          </w:p>
        </w:tc>
        <w:tc>
          <w:tcPr>
            <w:tcW w:w="338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352D9565" w14:textId="77777777" w:rsidR="000E133F" w:rsidRDefault="00EC5ECA">
            <w:r>
              <w:t>Mary is Theotokos (God-bearer), Aeiparthenos (Ever-Virgin), and Panagia (All-Holy); she receives hyperdulia and is the supreme intercessor; prayers addressed to her</w:t>
            </w:r>
          </w:p>
        </w:tc>
        <w:tc>
          <w:tcPr>
            <w:tcW w:w="338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30C91930" w14:textId="77777777" w:rsidR="000E133F" w:rsidRDefault="00EC5ECA">
            <w:r>
              <w:t>Mary is honored as the mother of the incarnate Son of God (2LBC 8.2); the term Theotokos is acceptable in its original Christological sense; no perpetual virginity; no mediating or intercessory role; 1 Tim. 2:5</w:t>
            </w:r>
          </w:p>
        </w:tc>
      </w:tr>
      <w:tr w:rsidR="000E133F" w14:paraId="6C810356" w14:textId="77777777">
        <w:tblPrEx>
          <w:tblCellMar>
            <w:top w:w="0" w:type="dxa"/>
            <w:bottom w:w="0" w:type="dxa"/>
          </w:tblCellMar>
        </w:tblPrEx>
        <w:tc>
          <w:tcPr>
            <w:tcW w:w="26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530E26FF" w14:textId="77777777" w:rsidR="000E133F" w:rsidRDefault="00EC5ECA">
            <w:r>
              <w:t>Prayer to Saints</w:t>
            </w:r>
          </w:p>
        </w:tc>
        <w:tc>
          <w:tcPr>
            <w:tcW w:w="33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0FAE37F" w14:textId="77777777" w:rsidR="000E133F" w:rsidRDefault="00EC5ECA">
            <w:r>
              <w:t>The saints in glory are alive, aware, and effective intercessors; the Church on earth and the Church in glory are one body; prayer to saints is the heavenly extension of mutual intercession</w:t>
            </w:r>
          </w:p>
        </w:tc>
        <w:tc>
          <w:tcPr>
            <w:tcW w:w="338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13F65755" w14:textId="77777777" w:rsidR="000E133F" w:rsidRDefault="00EC5ECA">
            <w:r>
              <w:t>No invocation of saints; Christ alone is mediator and intercessor (Heb. 7:25; 1 Tim. 2:5); Scripture nowhere commands or authorizes prayer to departed saints; direct access to God through Christ for every believer</w:t>
            </w:r>
          </w:p>
        </w:tc>
      </w:tr>
      <w:tr w:rsidR="000E133F" w14:paraId="6B2C968C" w14:textId="77777777">
        <w:tblPrEx>
          <w:tblCellMar>
            <w:top w:w="0" w:type="dxa"/>
            <w:bottom w:w="0" w:type="dxa"/>
          </w:tblCellMar>
        </w:tblPrEx>
        <w:tc>
          <w:tcPr>
            <w:tcW w:w="260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2C69E192" w14:textId="77777777" w:rsidR="000E133F" w:rsidRDefault="00EC5ECA">
            <w:r>
              <w:t>Filioque</w:t>
            </w:r>
          </w:p>
        </w:tc>
        <w:tc>
          <w:tcPr>
            <w:tcW w:w="338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74FF6418" w14:textId="77777777" w:rsidR="000E133F" w:rsidRDefault="00EC5ECA">
            <w:r>
              <w:t>The Holy Spirit proceeds from the Father alone (ek monou tou Patros); the Filioque is a theological error and a canonical violation</w:t>
            </w:r>
          </w:p>
        </w:tc>
        <w:tc>
          <w:tcPr>
            <w:tcW w:w="3380" w:type="dxa"/>
            <w:tcBorders>
              <w:top w:val="single" w:sz="4" w:space="0" w:color="AAAAAA"/>
              <w:left w:val="single" w:sz="4" w:space="0" w:color="AAAAAA"/>
              <w:bottom w:val="single" w:sz="4" w:space="0" w:color="AAAAAA"/>
              <w:right w:val="single" w:sz="4" w:space="0" w:color="AAAAAA"/>
            </w:tcBorders>
            <w:shd w:val="clear" w:color="auto" w:fill="F2EFE9"/>
            <w:tcMar>
              <w:top w:w="80" w:type="dxa"/>
              <w:left w:w="120" w:type="dxa"/>
              <w:bottom w:w="80" w:type="dxa"/>
              <w:right w:w="120" w:type="dxa"/>
            </w:tcMar>
          </w:tcPr>
          <w:p w14:paraId="04AFE68E" w14:textId="77777777" w:rsidR="000E133F" w:rsidRDefault="00EC5ECA">
            <w:r>
              <w:t>The Holy Spirit proceeds from the Father and the Son (2LBC 2.3; WCF 2.3; Belgic Confession Art. 11); scripturally warranted; councils cannot override Scripture</w:t>
            </w:r>
          </w:p>
        </w:tc>
      </w:tr>
    </w:tbl>
    <w:p w14:paraId="28986535" w14:textId="77777777" w:rsidR="000E133F" w:rsidRDefault="00EC5ECA">
      <w:r>
        <w:t xml:space="preserve"> </w:t>
      </w:r>
    </w:p>
    <w:p w14:paraId="796F6EE7" w14:textId="77777777" w:rsidR="000E133F" w:rsidRDefault="00EC5ECA">
      <w:pPr>
        <w:pStyle w:val="Heading2"/>
      </w:pPr>
      <w:bookmarkStart w:id="195" w:name="_Toc232765422"/>
      <w:r>
        <w:t>21.2 — The Root of All Differences: The Epistemological Divide</w:t>
      </w:r>
      <w:bookmarkEnd w:id="195"/>
    </w:p>
    <w:p w14:paraId="42FE8D27" w14:textId="77777777" w:rsidR="000E133F" w:rsidRDefault="00EC5ECA">
      <w:pPr>
        <w:spacing w:before="60" w:after="140" w:line="360" w:lineRule="auto"/>
      </w:pPr>
      <w:r>
        <w:lastRenderedPageBreak/>
        <w:t xml:space="preserve">The table above presents seventeen doctrinal categories in which Eastern Orthodoxy and Reformed Protestantism differ; and while each category represents a genuine theological disagreement that requires its own exegetical analysis, it would be a serious error to treat these seventeen differences as seventeen independent problems requiring seventeen separate solutions. They are not independent variables; they are the downstream consequences of a single, fundamental disagreement about the nature and authority </w:t>
      </w:r>
      <w:r>
        <w:t xml:space="preserve">of divine revelation. Every specific doctrinal difference traced in this treatise — from the canon of Scripture to the veneration of icons, from the theology of theosis to the </w:t>
      </w:r>
      <w:r>
        <w:rPr>
          <w:i/>
          <w:iCs/>
        </w:rPr>
        <w:t>Filioque</w:t>
      </w:r>
      <w:r>
        <w:t>, from the invocation of saints to the number of sacraments — finds its deepest explanation in the epistemological question: How do we know what God requires?</w:t>
      </w:r>
    </w:p>
    <w:p w14:paraId="3A79E71D" w14:textId="77777777" w:rsidR="000E133F" w:rsidRDefault="00EC5ECA">
      <w:pPr>
        <w:spacing w:before="60" w:after="140" w:line="360" w:lineRule="auto"/>
      </w:pPr>
      <w:r>
        <w:t>The Eastern Orthodox answer to this question is that God's revelation is mediated through the living tradition of the Church. Scripture is not rejected, nor is it regarded as unimportant; it is, in the Orthodox understanding, the most concentrated and authoritative expression of the apostolic deposit. But Scripture is embedded within, and properly understood only within, the broader matrix of Holy Tradition — the continuous, Spirit-guided, liturgical, conciliar, and patristic life of the one Church. The Cou</w:t>
      </w:r>
      <w:r>
        <w:t>ncils do not merely interpret Scripture; they define what Scripture means for the whole Church, and their definitions cannot be revised by individual scriptural argument. The Fathers do not merely illuminate Scripture; they transmit the living tradition from which the Scripture itself arose and within which it is properly understood. The icon is not a human addition to apostolic practice; it is the living visual confession of the same faith that the Scriptures express in written form. The invocation of sain</w:t>
      </w:r>
      <w:r>
        <w:t>ts is not a post-biblical innovation; it is the natural extension into the heavenly dimension of the corporate prayer life that the apostolic community practiced and the Scriptures describe. On the Orthodox model, none of these practices is a human invention; they are all, in different ways, expressions of the one apostolic faith preserved in its fullness by the one holy, catholic, and apostolic Church.</w:t>
      </w:r>
    </w:p>
    <w:p w14:paraId="71A4041F" w14:textId="77777777" w:rsidR="000E133F" w:rsidRDefault="00EC5ECA">
      <w:pPr>
        <w:spacing w:before="60" w:after="140" w:line="360" w:lineRule="auto"/>
      </w:pPr>
      <w:r>
        <w:t xml:space="preserve">The Reformed answer — the answer of the Second London Baptist Confession of Faith — is that God's completed revelation is contained fully and sufficiently in the sixty-six books of Holy Scripture. The Confession states with categorical clarity: "The whole </w:t>
      </w:r>
      <w:r>
        <w:lastRenderedPageBreak/>
        <w:t>counsel of God concerning all things necessary for His own glory, man's salvation, faith, and life is either expressly set down or necessarily contained in the Holy Scripture: unto which nothing is at any time to be added, whether by new revelation of the Spirit, or traditions of men" (2LBC 1.6). This is not a claim that the Scriptures are easy to understand or that no interpretive tradition is useful; the Confession explicitly acknowledges the value of creeds, confessions, and the commentary of the church.</w:t>
      </w:r>
      <w:r>
        <w:t xml:space="preserve"> But it insists that the church's interpretive tradition possesses only a derivative and fallible authority — always subject to, always capable of being corrected by, the original and supreme authority of the written Word. The phrase "nothing is at any time to be added" is the crucial one: it forecloses the entire Orthodox epistemological framework, which depends on the capacity of post-apostolic Tradition to add genuinely new content to the apostolic deposit. The Confession does not merely say that traditi</w:t>
      </w:r>
      <w:r>
        <w:t>on is a helpful tool; it says that nothing is ever to be added to Scripture — not by new revelation of the Spirit (excluding pneumatic traditionalism) and not by the traditions of men (excluding historical traditionalism).</w:t>
      </w:r>
    </w:p>
    <w:p w14:paraId="3C3F0921" w14:textId="77777777" w:rsidR="000E133F" w:rsidRDefault="00EC5ECA">
      <w:pPr>
        <w:spacing w:before="60" w:after="140" w:line="360" w:lineRule="auto"/>
      </w:pPr>
      <w:r>
        <w:t>This epistemological disagreement is not merely an abstract theoretical dispute; it generates, with internal logical necessity, every subsequent doctrinal difference. If Holy Tradition is a valid supplement to Scripture — if the councils can define dogma with binding force on all Christians, if the Fathers can articulate doctrines not explicitly present in Scripture but genuinely preserving the apostolic deposit — then the Orthodox doctrinal system follows with considerable internal coherence. The developme</w:t>
      </w:r>
      <w:r>
        <w:t xml:space="preserve">nt of icon-veneration, the elaboration of saintly intercession, the theology of theosis, the </w:t>
      </w:r>
      <w:r>
        <w:rPr>
          <w:i/>
          <w:iCs/>
        </w:rPr>
        <w:t>ek monou tou Patros</w:t>
      </w:r>
      <w:r>
        <w:t xml:space="preserve"> formula — all of these can be coherently presented as traditional developments authentically rooted in the apostolic faith when the epistemological framework of Holy Tradition is granted. But if Scripture is the sole sufficient and supreme norm — as the 2LBC asserts, as Calvin taught, as the Reformation recovered from the prophets and apostles — then each of these doctrines must be evaluated by S</w:t>
      </w:r>
      <w:r>
        <w:t xml:space="preserve">cripture alone. And when each is so evaluated, the exegetical arguments assembled throughout this treatise demonstrate that they cannot withstand the scrutiny that Scripture applies to them. The epistemological divide is the master key that explains all the specific locks; and the Reformed tradition's insistence on </w:t>
      </w:r>
      <w:r>
        <w:rPr>
          <w:i/>
          <w:iCs/>
        </w:rPr>
        <w:t>sola Scriptura</w:t>
      </w:r>
      <w:r>
        <w:t xml:space="preserve"> is not a </w:t>
      </w:r>
      <w:r>
        <w:lastRenderedPageBreak/>
        <w:t>Protestant peculiarity but the faithful echo of what Scripture itself teaches about its own authority and sufficiency.</w:t>
      </w:r>
    </w:p>
    <w:p w14:paraId="594E182B" w14:textId="77777777" w:rsidR="000E133F" w:rsidRDefault="00EC5ECA">
      <w:pPr>
        <w:pStyle w:val="Heading2"/>
      </w:pPr>
      <w:bookmarkStart w:id="196" w:name="_Toc232765423"/>
      <w:r>
        <w:t>21.3 — The Gospel Question: Assurance, Justification, and the Throne of Grace</w:t>
      </w:r>
      <w:bookmarkEnd w:id="196"/>
    </w:p>
    <w:p w14:paraId="24021A04" w14:textId="77777777" w:rsidR="000E133F" w:rsidRDefault="00EC5ECA">
      <w:pPr>
        <w:spacing w:before="60" w:after="140" w:line="360" w:lineRule="auto"/>
      </w:pPr>
      <w:r>
        <w:t xml:space="preserve">All of the foregoing theological analysis — the discussion of icons and images, of prayer to saints, of the </w:t>
      </w:r>
      <w:r>
        <w:rPr>
          <w:i/>
          <w:iCs/>
        </w:rPr>
        <w:t>Filioque</w:t>
      </w:r>
      <w:r>
        <w:t>, of atonement and justification in the earlier chapters of this treatise — converges on a single question that the Reformation regarded as the hinge of everything: Can a sinner know, with the settled certainty that the New Testament itself offers and holds out as normative, that he or she is accepted by God and possesses eternal life? This is not merely a question about psychological comfort or existential peace; it is a question about the objective reality of the believer's standing before the hol</w:t>
      </w:r>
      <w:r>
        <w:t>y God — a question about whether the gospel is, at its center, a declaration or a process, a completed act or an ongoing project.</w:t>
      </w:r>
    </w:p>
    <w:p w14:paraId="7FACD09C" w14:textId="77777777" w:rsidR="000E133F" w:rsidRDefault="00EC5ECA">
      <w:pPr>
        <w:spacing w:before="60" w:after="140" w:line="360" w:lineRule="auto"/>
      </w:pPr>
      <w:r>
        <w:t xml:space="preserve">The text that most sharply focuses this question is 1 John 5:13: "I write these things to you who believe in the name of the Son of God, that you may know that you have eternal life." The Apostle John explicitly identifies the purpose of his letter: to produce </w:t>
      </w:r>
      <w:r>
        <w:rPr>
          <w:i/>
          <w:iCs/>
        </w:rPr>
        <w:t>knowledge</w:t>
      </w:r>
      <w:r>
        <w:t xml:space="preserve"> — not hope, not probability, not devout aspiration, but actual, present-tense, reliable </w:t>
      </w:r>
      <w:r>
        <w:rPr>
          <w:i/>
          <w:iCs/>
        </w:rPr>
        <w:t>knowledge</w:t>
      </w:r>
      <w:r>
        <w:t xml:space="preserve"> — that the believing reader </w:t>
      </w:r>
      <w:r>
        <w:rPr>
          <w:i/>
          <w:iCs/>
        </w:rPr>
        <w:t>has</w:t>
      </w:r>
      <w:r>
        <w:t xml:space="preserve"> eternal life. The verb "have" (</w:t>
      </w:r>
      <w:r>
        <w:rPr>
          <w:i/>
          <w:iCs/>
        </w:rPr>
        <w:t>echete</w:t>
      </w:r>
      <w:r>
        <w:t>) is present indicative: the knowledge is not of a future possession contingently dependent on perseverance but of a present reality already possessed. John writes not to produce assurance of eventual salvation but to clarify that those who believe in the name of the Son of God already have eternal life — now, not at the conclusion o</w:t>
      </w:r>
      <w:r>
        <w:t>f a process of theosis.</w:t>
      </w:r>
    </w:p>
    <w:p w14:paraId="23CBE39D" w14:textId="77777777" w:rsidR="000E133F" w:rsidRDefault="00EC5ECA">
      <w:pPr>
        <w:spacing w:before="60" w:after="140" w:line="360" w:lineRule="auto"/>
      </w:pPr>
      <w:r>
        <w:t>The Eastern Orthodox tradition has a thoughtful answer to this question. The Orthodox understand that genuine assurance is not available in this life as a matter of certain knowledge — and they regard this as the theologically appropriate position, not a deficiency. Theosis is a lifelong process of progressive union with God; the human person is always in transit between the state of fallen nature and the fullness of divine life. To claim settled assurance in this life is, in the Orthodox view, a form of sp</w:t>
      </w:r>
      <w:r>
        <w:t xml:space="preserve">iritual pride — the presumption that one has already arrived where only the saints in glory can truly stand. The Orthodox tradition cultivates instead what might be called a holy </w:t>
      </w:r>
      <w:r>
        <w:lastRenderedPageBreak/>
        <w:t xml:space="preserve">uncertainty: the believer hopes, strives, confesses, repents, receives the sacraments, and trusts in God's mercy — but he does not claim to </w:t>
      </w:r>
      <w:r>
        <w:rPr>
          <w:i/>
          <w:iCs/>
        </w:rPr>
        <w:t>know</w:t>
      </w:r>
      <w:r>
        <w:t xml:space="preserve"> his final state. The fear of God, in the sense of holy awe and appropriate uncertainty about one's spiritual trajectory, is the proper disposition of the Christian in via.</w:t>
      </w:r>
    </w:p>
    <w:p w14:paraId="5FE7CA16" w14:textId="77777777" w:rsidR="000E133F" w:rsidRDefault="00EC5ECA">
      <w:pPr>
        <w:spacing w:before="60" w:after="140" w:line="360" w:lineRule="auto"/>
      </w:pPr>
      <w:r>
        <w:t>The Reformed tradition regards this answer with deep pastoral concern, because it locates the believer's peace with God in the progress of theosis rather than in the objective ground of Christ's completed work. The Reformed answer to the question of assurance begins not with self-examination but with the objective declaration of justification: "There is therefore now no condemnation for those who are in Christ Jesus" (Romans 8:1). The word "now" (</w:t>
      </w:r>
      <w:r>
        <w:rPr>
          <w:i/>
          <w:iCs/>
        </w:rPr>
        <w:t>nyn</w:t>
      </w:r>
      <w:r>
        <w:t xml:space="preserve">) is decisive: the absence of condemnation is not a future hope but a present reality. The absence of condemnation does not wait for the completion of theosis; it is the present legal status of every person who is in Christ Jesus. The ground of this assurance is not the quality of one's spiritual progress but the forensic declaration of justification that God pronounced at the moment of faith. As the Second London Baptist Confession states, in its chapter on assurance (Chapter 18): "Although hypocrites, </w:t>
      </w:r>
      <w:r>
        <w:t>and other unregenerate men, may vainly deceive themselves with false hopes and carnal presumptions of being in the favour of God and state of salvation; which hope of theirs shall perish: yet such as truly believe in the Lord Jesus, and love him in sincerity, endeavouring to walk in all good conscience before him, may in this life be certainly assured that they are in the state of grace, and may rejoice in the hope of the glory of God; which hope shall never make them ashamed." The contrast between false ho</w:t>
      </w:r>
      <w:r>
        <w:t>pe and genuine assurance is not the distinction between having assurance and not having it; it is the distinction between assurance grounded on false premises (self-deception, carnal presumption) and assurance grounded on the true premises of genuine faith and the objective work of Christ.</w:t>
      </w:r>
    </w:p>
    <w:p w14:paraId="5A4095D7" w14:textId="77777777" w:rsidR="000E133F" w:rsidRDefault="00EC5ECA">
      <w:pPr>
        <w:spacing w:before="60" w:after="140" w:line="360" w:lineRule="auto"/>
      </w:pPr>
      <w:r>
        <w:t>Galatians 2:20 is the locus classicus for this evangelical certainty in Paul: "I have been crucified with Christ. It is no longer I who live, but Christ who lives in me. And the life I now live in the flesh I live by faith in the Son of God, who loved me and gave himself for me." The certainty that "he loved me and gave himself for me" — the personal singular that makes the great cosmic transaction of the atonement individually and immediately applicable — is not a theological inference that awaits experien</w:t>
      </w:r>
      <w:r>
        <w:t xml:space="preserve">tial confirmation; it is a </w:t>
      </w:r>
      <w:r>
        <w:lastRenderedPageBreak/>
        <w:t>present-tense conviction of faith, a settled trust in the objective love and substitutionary self-giving of Christ that constitutes the Christian life from its first moment. Philippians 4:7 promises "the peace of God, which surpasses all understanding" — a peace that "will guard your hearts and your minds in Christ Jesus." This peace is not the peace of those who have progressed far in theosis; it is the peace of those who have "made their requests known to God" — who have approac</w:t>
      </w:r>
      <w:r>
        <w:t>hed the throne of grace with confidence and received the divine guarantee of care. The contrast with the Orthodox disposition is instructive: the Orthodox cultivate a holy fear that maintains appropriate uncertainty about one's spiritual state; the Reformed tradition cultivates a bold confidence grounded not in one's own spiritual progress but in the once-for-all, perfectly sufficient, forensically completed work of Jesus Christ.</w:t>
      </w:r>
    </w:p>
    <w:p w14:paraId="7AC14FDD" w14:textId="77777777" w:rsidR="000E133F" w:rsidRDefault="00EC5ECA">
      <w:pPr>
        <w:spacing w:before="60" w:after="140" w:line="360" w:lineRule="auto"/>
      </w:pPr>
      <w:r>
        <w:t>The pastoral stakes of this difference are immense. A theology that cannot offer certainty of present acceptance before God is a theology that has not fully reckoned with either the radical depth of human sinfulness (which makes any self-generated merit impossible) or the radical completeness of Christ's atonement (which makes any additional human contribution unnecessary and in fact insulting). The person who stands before God with the uncertainty that theosis-as-process produces is not demonstrating appro</w:t>
      </w:r>
      <w:r>
        <w:t>priate humility; he is demonstrating inadequate trust in the finished work of Christ. The Epistle to the Hebrews commands boldness — not the reckless boldness of the self-righteous, but the bold confidence of those who know their high priest is fully qualified, fully sympathetic, and fully present before the throne on their behalf. Hebrews 10:19–22 brings the entire priestly argument of the epistle to its pastoral application: "Therefore, brothers, since we have confidence to enter the holy places by the bl</w:t>
      </w:r>
      <w:r>
        <w:t>ood of Jesus, by the new and living way that he opened for us through the curtain, that is, through his flesh, and since we have a great priest over the house of God, let us draw near with a true heart in full assurance of faith, with our hearts sprinkled clean from an evil conscience and our bodies washed with pure water." "Full assurance of faith" (</w:t>
      </w:r>
      <w:r>
        <w:rPr>
          <w:i/>
          <w:iCs/>
        </w:rPr>
        <w:t>plērophoria pisteōs</w:t>
      </w:r>
      <w:r>
        <w:t>) is not presumption; it is the believer's proper response to the unprecedented access that Christ's blood has opened. To approach with anyt</w:t>
      </w:r>
      <w:r>
        <w:t>hing less than full assurance is not a mark of humility before God; it is a failure to take with full seriousness the radical completeness of what Christ has done.</w:t>
      </w:r>
    </w:p>
    <w:p w14:paraId="6521CDAA" w14:textId="77777777" w:rsidR="000E133F" w:rsidRDefault="00EC5ECA">
      <w:pPr>
        <w:pStyle w:val="Heading2"/>
      </w:pPr>
      <w:bookmarkStart w:id="197" w:name="_Toc232765424"/>
      <w:r>
        <w:lastRenderedPageBreak/>
        <w:t>21.4 — A Direct Address to Eastern Orthodox Believers</w:t>
      </w:r>
      <w:bookmarkEnd w:id="197"/>
    </w:p>
    <w:p w14:paraId="5CDBE0AD" w14:textId="77777777" w:rsidR="000E133F" w:rsidRDefault="00EC5ECA">
      <w:pPr>
        <w:spacing w:before="60" w:after="140" w:line="360" w:lineRule="auto"/>
      </w:pPr>
      <w:r>
        <w:t>What follows in this section is written not in the detached tone of academic disputation but with the pastoral earnestness that the gospel requires. This treatise has proceeded through seventeen doctrinal categories and engaged Orthodox theology at the level of primary sources — the Councils, the Fathers, the confessional standards, the biblical texts. The purpose of all that analysis has not been to score theological points or to demonstrate Reformed superiority in argumentative skill; it has been to pursu</w:t>
      </w:r>
      <w:r>
        <w:t>e, with the rigor and care that the subject deserves, the truth about the God who has revealed Himself in the Scriptures of the Old and New Testaments, and about the way in which sinful human beings may stand accepted before Him. Having pursued that analysis as honestly and rigorously as this writer knows how, this section turns from argument to appeal.</w:t>
      </w:r>
    </w:p>
    <w:p w14:paraId="7A473897" w14:textId="77777777" w:rsidR="000E133F" w:rsidRDefault="00EC5ECA">
      <w:pPr>
        <w:spacing w:before="60" w:after="140" w:line="360" w:lineRule="auto"/>
      </w:pPr>
      <w:r>
        <w:t xml:space="preserve">To the Eastern Orthodox Christian who has read this far: the beauty of the Orthodox tradition is genuine and must be acknowledged without condescension. The Divine Liturgy, with its ancient words and its movements between earth and heaven, possesses a theological seriousness and an aesthetic gravity that much of Western Christianity has lost. The Orthodox commitment to the Trinitarian faith of Nicaea, to the full humanity and full divinity of Christ confessed at Chalcedon, to the reality of the Holy Spirit </w:t>
      </w:r>
      <w:r>
        <w:t>as Lord and Life-giver, to the centrality of the Eucharist as the gathering of the people of God around the body and blood of Christ — these are not nothing. They represent a continuity with the patristic faith that any honest Reformed theologian must acknowledge and respect. The Orthodox tradition has preserved, through centuries of extraordinary historical pressure, the Trinitarian and Christological orthodoxy without which there is no Christianity worth the name. The agreement between Reformed and Orthod</w:t>
      </w:r>
      <w:r>
        <w:t>ox Christianity on the great dogmatic foundations of the faith — Father, Son, and Holy Spirit, one God in three persons; Jesus Christ, fully divine and fully human, born of the Virgin, crucified under Pontius Pilate, risen on the third day, ascended to the right hand of the Father — is deep and genuine, and it forms the basis for a conversation between traditions that share far more than they differ.</w:t>
      </w:r>
    </w:p>
    <w:p w14:paraId="195300B4" w14:textId="77777777" w:rsidR="000E133F" w:rsidRDefault="00EC5ECA">
      <w:pPr>
        <w:spacing w:before="60" w:after="140" w:line="360" w:lineRule="auto"/>
      </w:pPr>
      <w:r>
        <w:t xml:space="preserve">And yet — and this "and yet" is the burden of the entire Reformation — all of that beauty, all of that liturgical depth, all of that patristic heritage, all of that Trinitarian </w:t>
      </w:r>
      <w:r>
        <w:lastRenderedPageBreak/>
        <w:t>orthodoxy, cannot substitute for the one thing that every sinner most desperately needs: the certainty of standing forgiven, accepted, and declared righteous before the holy God, clothed not in the partial and imperfect garment of one's own theotic progress, but in the perfect, complete, alien righteousness of Jesus Christ. Paul writes in Romans 1:16–17: "For I am not ashamed of the gospel, for it is the power of God for salvation to everyone who believes, to the Jew first and also to the Greek. For in it t</w:t>
      </w:r>
      <w:r>
        <w:t xml:space="preserve">he righteousness of God is revealed from faith for faith, as it is written, 'The righteous shall live by faith.'" The gospel about which Paul is not ashamed is not a program of theotic transformation; it is "the power of God for salvation" — an effective, immediate, and complete divine act. The "righteousness of God" that is revealed in it is not the divine justice that condemns sinners but, as Luther discovered, the righteousness that God </w:t>
      </w:r>
      <w:r>
        <w:rPr>
          <w:i/>
          <w:iCs/>
        </w:rPr>
        <w:t>gives</w:t>
      </w:r>
      <w:r>
        <w:t xml:space="preserve"> to sinners as a free gift through faith. This is the word that</w:t>
      </w:r>
      <w:r>
        <w:t xml:space="preserve"> the Reformation recovered from the dust of centuries of religious complication, and it is the word that continues to distinguish the Reformed gospel from every synergistic alternative.</w:t>
      </w:r>
    </w:p>
    <w:p w14:paraId="204EB902" w14:textId="77777777" w:rsidR="000E133F" w:rsidRDefault="00EC5ECA">
      <w:pPr>
        <w:spacing w:before="60" w:after="140" w:line="360" w:lineRule="auto"/>
      </w:pPr>
      <w:r>
        <w:t>Romans 10:4 declares that "Christ is the end (</w:t>
      </w:r>
      <w:r>
        <w:rPr>
          <w:i/>
          <w:iCs/>
        </w:rPr>
        <w:t>telos</w:t>
      </w:r>
      <w:r>
        <w:t xml:space="preserve">) of the law for righteousness to everyone who believes." The Greek </w:t>
      </w:r>
      <w:r>
        <w:rPr>
          <w:i/>
          <w:iCs/>
        </w:rPr>
        <w:t>telos</w:t>
      </w:r>
      <w:r>
        <w:t xml:space="preserve"> carries the sense of both termination and goal: Christ is simultaneously the termination of the law's condemning function and the attainment of what the law always pointed toward, namely righteousness before God. The Orthodox tradition, with its emphasis on theosis, tends to present salvation as the believer's ascent toward God — a beautiful and biblically grounded vision in many respects. The Reformed tradition would press the c</w:t>
      </w:r>
      <w:r>
        <w:t xml:space="preserve">omplementary truth: before any ascent can begin, the descent of God's righteousness to the sinner must have occurred. Before the sinner can begin the journey of progressive transformation, he must first stand on solid ground — and that ground is not his own progress but the imputed righteousness of Christ, received by faith, declared by God in the moment of justification, and never subsequently revoked. Romans 5:1–2: "Therefore, since we have been justified by faith, we have peace with God through our Lord </w:t>
      </w:r>
      <w:r>
        <w:t xml:space="preserve">Jesus Christ. Through him we have also obtained access by faith into this grace in which we stand, and we rejoice in hope of the glory of God." "We stand" — </w:t>
      </w:r>
      <w:r>
        <w:rPr>
          <w:i/>
          <w:iCs/>
        </w:rPr>
        <w:t>hesteekamen</w:t>
      </w:r>
      <w:r>
        <w:t xml:space="preserve">, the perfect tense indicating a state that has been achieved and continues: the believer stands, now and permanently, in the grace of justification. This standing does not fluctuate with the </w:t>
      </w:r>
      <w:r>
        <w:lastRenderedPageBreak/>
        <w:t>believer's progress in holiness; it is the fixed, objective ground on which all subsequent growth in grace occurs.</w:t>
      </w:r>
    </w:p>
    <w:p w14:paraId="071C3D60" w14:textId="77777777" w:rsidR="000E133F" w:rsidRDefault="00EC5ECA">
      <w:pPr>
        <w:spacing w:before="60" w:after="140" w:line="360" w:lineRule="auto"/>
      </w:pPr>
      <w:r>
        <w:t>The Apostle Paul's warning in Galatians 1:6–9 must be heard with the seriousness it demands, and the present writer applies it not as a weapon against Orthodox brothers and sisters but as the most solemn possible pastoral charge: "I am astonished that you are so quickly deserting him who called you in the grace of Christ and are turning to a different gospel — not that there is another one, but there are some who trouble you and want to distort the gospel of Christ. But even if we or an angel from heaven sh</w:t>
      </w:r>
      <w:r>
        <w:t>ould preach to you a gospel contrary to the one we preached to you, let him be accursed. As we have said before, so now I say again: If anyone is preaches to you a gospel contrary to the one you received, let him be accursed." Paul is writing about the Galatian church's drift toward the addition of legal works to the gospel of grace. The Eastern Orthodox tradition does not impose circumcision, but it does impose a framework in which the sinner's acceptance before God is conditioned on participation in the s</w:t>
      </w:r>
      <w:r>
        <w:t>acramental system, ongoing cooperation with grace, and the progressive process of theosis. The structural parallel to the Galatian situation — in which the ground of justification was being supplemented by human religious performance — is not superficial. The Galatian error was not crass self-reliance; it was the apparently reasonable, traditionally grounded, religiously serious proposal that faith in Christ was insufficient by itself and needed to be completed by something additional. Paul's response is no</w:t>
      </w:r>
      <w:r>
        <w:t>t measured or diplomatic; it is among the most forceful statements in the New Testament: "let him be accursed" (</w:t>
      </w:r>
      <w:r>
        <w:rPr>
          <w:i/>
          <w:iCs/>
        </w:rPr>
        <w:t>anathema esto</w:t>
      </w:r>
      <w:r>
        <w:t>). The gospel of free justification by faith alone in Christ alone is not a doctrinal preference that may be modified by subsequent theological development; it is the fixed center around which every true church either does or does not organize itself.</w:t>
      </w:r>
    </w:p>
    <w:p w14:paraId="616B2F77" w14:textId="77777777" w:rsidR="000E133F" w:rsidRDefault="00EC5ECA">
      <w:pPr>
        <w:spacing w:before="60" w:after="140" w:line="360" w:lineRule="auto"/>
      </w:pPr>
      <w:r>
        <w:t xml:space="preserve">To the Orthodox Christian: the invitation of the gospel is to receive, by faith alone, the righteousness of Christ alone — not as the culminating achievement of a lifelong process of theosis, but as the free gift of a God who "justifies the ungodly" (Romans 4:5) and who is both just and the justifier of the one who has faith in Jesus (Romans 3:26). This is not a diminishment of the Christian life; it is its foundation. The believer who knows himself justified by grace alone, through faith alone, on account </w:t>
      </w:r>
      <w:r>
        <w:t xml:space="preserve">of Christ alone does not </w:t>
      </w:r>
      <w:r>
        <w:lastRenderedPageBreak/>
        <w:t xml:space="preserve">thereby lose the incentive for growth in holiness; he gains, for the first time, the proper ground from which holiness grows — not the anxious striving of one who does not know whether he has been accepted, but the grateful and confident obedience of one who knows that the great matter of his standing before God has been settled by Another, and settled perfectly, and settled permanently. The invitation is to come — with all one's liturgical beauty, all one's patristic heritage, all </w:t>
      </w:r>
      <w:r>
        <w:t>one's Trinitarian orthodoxy — and rest, finally and completely, in the one who says: "Come to me, all who labor and are heavy laden, and I will give you rest" (Matthew 11:28).</w:t>
      </w:r>
    </w:p>
    <w:p w14:paraId="6808CCC8" w14:textId="77777777" w:rsidR="000E133F" w:rsidRDefault="00EC5ECA">
      <w:pPr>
        <w:pStyle w:val="Heading2"/>
      </w:pPr>
      <w:bookmarkStart w:id="198" w:name="_Toc232765425"/>
      <w:r>
        <w:t>21.5 — Closing Doxology</w:t>
      </w:r>
      <w:bookmarkEnd w:id="198"/>
    </w:p>
    <w:p w14:paraId="34A50BB8" w14:textId="77777777" w:rsidR="000E133F" w:rsidRDefault="00EC5ECA">
      <w:pPr>
        <w:spacing w:before="60" w:after="140" w:line="360" w:lineRule="auto"/>
      </w:pPr>
      <w:r>
        <w:t>The Apostle Paul, at the conclusion of eleven chapters of the most sustained and rigorous theological argument in the New Testament corpus — chapters in which he has worked out the doctrine of justification, the problem of Israel, the sovereignty of divine election, and the mystery of God's redemptive purposes for Jew and Gentile alike — erupts into a doxology that is the only adequate response to what has preceded it. Romans 11:33–36: "Oh, the depth of the riches and wisdom and knowledge of God! How unsear</w:t>
      </w:r>
      <w:r>
        <w:t>chable are his judgments and how inscrutable his ways! 'For who has known the mind of the Lord, or who has been his counselor? Or who has given a gift to him that he might be repaid?' For from him and through him and to him are all things. To him be glory forever. Amen."</w:t>
      </w:r>
    </w:p>
    <w:p w14:paraId="3ABF5D5F" w14:textId="77777777" w:rsidR="000E133F" w:rsidRDefault="00EC5ECA">
      <w:pPr>
        <w:spacing w:before="60" w:after="140" w:line="360" w:lineRule="auto"/>
      </w:pPr>
      <w:r>
        <w:t>This doxology is the appropriate close for any serious theology, and it is the appropriate close for this treatise. Everything that has been argued here — the second commandment and its comprehensive prohibition of image-worship; the exclusive intercession of Christ and its sufficiency for every need of every believer; the eternal procession of the Spirit from Father and Son and the Trinitarian life it describes; the forensic justification of the ungodly by the imputed righteousness of Christ received throu</w:t>
      </w:r>
      <w:r>
        <w:t xml:space="preserve">gh faith alone — all of it flows from and returns to this single overwhelming truth: "from him and through him and to him are all things." God is the source of all things; God is the means by which all things are sustained; God is the goal toward which all things move. This leaves no room for any human religious system that would </w:t>
      </w:r>
      <w:r>
        <w:lastRenderedPageBreak/>
        <w:t>supplement God's self-disclosure with human tradition, God's appointed mode of worship with human invention, or God's appointed Mediator with human intercessors.</w:t>
      </w:r>
    </w:p>
    <w:p w14:paraId="5A6DE2F2" w14:textId="77777777" w:rsidR="000E133F" w:rsidRDefault="00EC5ECA">
      <w:pPr>
        <w:spacing w:before="60" w:after="140" w:line="360" w:lineRule="auto"/>
      </w:pPr>
      <w:r>
        <w:t>Ephesians 1:3–14, Paul's great opening benediction of blessing, locates all the riches of the Christian life in the sovereign grace of the God who has "blessed us in Christ with every spiritual blessing in the heavenly places" — who chose us in Christ before the foundation of the world, who predestined us for adoption as sons through Christ Jesus, "to the praise of his glorious grace, with which he has blessed us in the Beloved." The refrain of this passage — "to the praise of his glorious grace" and "to th</w:t>
      </w:r>
      <w:r>
        <w:t xml:space="preserve">e praise of his glory" — is the purpose toward which all of God's redemptive work is directed. The glory of God's grace: this is the </w:t>
      </w:r>
      <w:r>
        <w:rPr>
          <w:i/>
          <w:iCs/>
        </w:rPr>
        <w:t>telos</w:t>
      </w:r>
      <w:r>
        <w:t xml:space="preserve"> of the Triune God's saving work, the goal for which election was decreed, the cross endured, the Spirit sent, and the Word proclaimed. Both Eastern Orthodox and Reformed Protestant traditions affirm, at the level of their deepest commitments, that all things exist for the glory of God. Where they differ — and where the differences are genuine, deep, and of eternal conseq</w:t>
      </w:r>
      <w:r>
        <w:t xml:space="preserve">uence — is in where that glory is most perfectly displayed. The Reformed tradition locates it here: in the free, forensic, sovereign grace of the Triune God who justifies the ungodly, who imputes the righteousness of His Son to those who have no righteousness of their own, who admits believing sinners directly and boldly to the throne of grace without any human mediator or earthly institution standing between them and the glory of the God who loves them in Christ. "He has told you, O man, what is good; and </w:t>
      </w:r>
      <w:r>
        <w:t>what does the LORD require of you but to do justice, and to love kindness, and to walk humbly with your God?" (Micah 6:8). Humble walking with this God — the God who has spoken in His Word, who has acted in His Son, who dwells in His people by His Spirit — is the whole of the Christian life, its ground, its content, and its glory.</w:t>
      </w:r>
    </w:p>
    <w:p w14:paraId="44A84B29" w14:textId="77777777" w:rsidR="000E133F" w:rsidRDefault="00EC5ECA">
      <w:pPr>
        <w:spacing w:before="60" w:after="140" w:line="360" w:lineRule="auto"/>
      </w:pPr>
      <w:r>
        <w:t xml:space="preserve">To God alone be the glory. </w:t>
      </w:r>
      <w:r>
        <w:rPr>
          <w:i/>
          <w:iCs/>
        </w:rPr>
        <w:t>Soli Deo gloria.</w:t>
      </w:r>
    </w:p>
    <w:p w14:paraId="0758374B" w14:textId="77777777" w:rsidR="000E133F" w:rsidRDefault="00EC5ECA">
      <w:pPr>
        <w:spacing w:before="60" w:after="140" w:line="360" w:lineRule="auto"/>
      </w:pPr>
      <w:r>
        <w:rPr>
          <w:i/>
          <w:iCs/>
        </w:rPr>
        <w:t>End of Chapters 18–21</w:t>
      </w:r>
    </w:p>
    <w:sectPr w:rsidR="000E133F">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87122" w14:textId="77777777" w:rsidR="00EC5ECA" w:rsidRDefault="00EC5ECA">
      <w:r>
        <w:separator/>
      </w:r>
    </w:p>
  </w:endnote>
  <w:endnote w:type="continuationSeparator" w:id="0">
    <w:p w14:paraId="55F266CC" w14:textId="77777777" w:rsidR="00EC5ECA" w:rsidRDefault="00EC5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484C3" w14:textId="77777777" w:rsidR="000E133F" w:rsidRDefault="00EC5ECA">
    <w:pPr>
      <w:pBdr>
        <w:top w:val="single" w:sz="4" w:space="0" w:color="DDDDDD"/>
      </w:pBdr>
      <w:spacing w:before="60"/>
      <w:jc w:val="center"/>
    </w:pPr>
    <w:r>
      <w:rPr>
        <w:color w:val="BBBBBB"/>
        <w:sz w:val="18"/>
        <w:szCs w:val="18"/>
      </w:rPr>
      <w:t xml:space="preserve">— </w:t>
    </w:r>
    <w:r>
      <w:rPr>
        <w:color w:val="666666"/>
        <w:sz w:val="18"/>
        <w:szCs w:val="18"/>
      </w:rPr>
      <w:fldChar w:fldCharType="begin"/>
    </w:r>
    <w:r>
      <w:rPr>
        <w:color w:val="666666"/>
        <w:sz w:val="18"/>
        <w:szCs w:val="18"/>
      </w:rPr>
      <w:instrText>PAGE</w:instrText>
    </w:r>
    <w:r>
      <w:rPr>
        <w:color w:val="666666"/>
        <w:sz w:val="18"/>
        <w:szCs w:val="18"/>
      </w:rPr>
      <w:fldChar w:fldCharType="separate"/>
    </w:r>
    <w:r w:rsidR="00104ABC">
      <w:rPr>
        <w:noProof/>
        <w:color w:val="666666"/>
        <w:sz w:val="18"/>
        <w:szCs w:val="18"/>
      </w:rPr>
      <w:t>1</w:t>
    </w:r>
    <w:r>
      <w:rPr>
        <w:color w:val="666666"/>
        <w:sz w:val="18"/>
        <w:szCs w:val="18"/>
      </w:rPr>
      <w:fldChar w:fldCharType="end"/>
    </w:r>
    <w:r>
      <w:rPr>
        <w:color w:val="BBBBBB"/>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5FD10" w14:textId="77777777" w:rsidR="00EC5ECA" w:rsidRDefault="00EC5ECA">
      <w:r>
        <w:separator/>
      </w:r>
    </w:p>
  </w:footnote>
  <w:footnote w:type="continuationSeparator" w:id="0">
    <w:p w14:paraId="16FC2A7D" w14:textId="77777777" w:rsidR="00EC5ECA" w:rsidRDefault="00EC5E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1D5D7" w14:textId="77777777" w:rsidR="000E133F" w:rsidRDefault="00EC5ECA">
    <w:pPr>
      <w:pBdr>
        <w:bottom w:val="single" w:sz="4" w:space="0" w:color="CCCCCC"/>
      </w:pBdr>
      <w:spacing w:after="60"/>
      <w:jc w:val="right"/>
    </w:pPr>
    <w:r>
      <w:rPr>
        <w:i/>
        <w:iCs/>
        <w:color w:val="999999"/>
        <w:sz w:val="18"/>
        <w:szCs w:val="18"/>
      </w:rPr>
      <w:t>Eastern Orthodoxy and the Reformed Faith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23C71"/>
    <w:multiLevelType w:val="hybridMultilevel"/>
    <w:tmpl w:val="650C1BB0"/>
    <w:lvl w:ilvl="0" w:tplc="89D4F27E">
      <w:start w:val="1"/>
      <w:numFmt w:val="bullet"/>
      <w:lvlText w:val="●"/>
      <w:lvlJc w:val="left"/>
      <w:pPr>
        <w:ind w:left="720" w:hanging="360"/>
      </w:pPr>
    </w:lvl>
    <w:lvl w:ilvl="1" w:tplc="631E123A">
      <w:start w:val="1"/>
      <w:numFmt w:val="bullet"/>
      <w:lvlText w:val="○"/>
      <w:lvlJc w:val="left"/>
      <w:pPr>
        <w:ind w:left="1440" w:hanging="360"/>
      </w:pPr>
    </w:lvl>
    <w:lvl w:ilvl="2" w:tplc="78D4BCAE">
      <w:start w:val="1"/>
      <w:numFmt w:val="bullet"/>
      <w:lvlText w:val="■"/>
      <w:lvlJc w:val="left"/>
      <w:pPr>
        <w:ind w:left="2160" w:hanging="360"/>
      </w:pPr>
    </w:lvl>
    <w:lvl w:ilvl="3" w:tplc="0E54E9EE">
      <w:start w:val="1"/>
      <w:numFmt w:val="bullet"/>
      <w:lvlText w:val="●"/>
      <w:lvlJc w:val="left"/>
      <w:pPr>
        <w:ind w:left="2880" w:hanging="360"/>
      </w:pPr>
    </w:lvl>
    <w:lvl w:ilvl="4" w:tplc="17C44044">
      <w:start w:val="1"/>
      <w:numFmt w:val="bullet"/>
      <w:lvlText w:val="○"/>
      <w:lvlJc w:val="left"/>
      <w:pPr>
        <w:ind w:left="3600" w:hanging="360"/>
      </w:pPr>
    </w:lvl>
    <w:lvl w:ilvl="5" w:tplc="C67639A8">
      <w:start w:val="1"/>
      <w:numFmt w:val="bullet"/>
      <w:lvlText w:val="■"/>
      <w:lvlJc w:val="left"/>
      <w:pPr>
        <w:ind w:left="4320" w:hanging="360"/>
      </w:pPr>
    </w:lvl>
    <w:lvl w:ilvl="6" w:tplc="73CA8146">
      <w:start w:val="1"/>
      <w:numFmt w:val="bullet"/>
      <w:lvlText w:val="●"/>
      <w:lvlJc w:val="left"/>
      <w:pPr>
        <w:ind w:left="5040" w:hanging="360"/>
      </w:pPr>
    </w:lvl>
    <w:lvl w:ilvl="7" w:tplc="EC74B1E0">
      <w:start w:val="1"/>
      <w:numFmt w:val="bullet"/>
      <w:lvlText w:val="●"/>
      <w:lvlJc w:val="left"/>
      <w:pPr>
        <w:ind w:left="5760" w:hanging="360"/>
      </w:pPr>
    </w:lvl>
    <w:lvl w:ilvl="8" w:tplc="8CF643C4">
      <w:start w:val="1"/>
      <w:numFmt w:val="bullet"/>
      <w:lvlText w:val="●"/>
      <w:lvlJc w:val="left"/>
      <w:pPr>
        <w:ind w:left="6480" w:hanging="360"/>
      </w:pPr>
    </w:lvl>
  </w:abstractNum>
  <w:num w:numId="1" w16cid:durableId="42823304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33F"/>
    <w:rsid w:val="000E133F"/>
    <w:rsid w:val="00104ABC"/>
    <w:rsid w:val="003F7DAB"/>
    <w:rsid w:val="00EC5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2A2CA"/>
  <w15:docId w15:val="{D0898DA4-02A4-4E52-8C31-A8BD9D066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color w:val="1A1A1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560" w:after="280"/>
      <w:outlineLvl w:val="0"/>
    </w:pPr>
    <w:rPr>
      <w:b/>
      <w:bCs/>
      <w:sz w:val="38"/>
      <w:szCs w:val="38"/>
    </w:rPr>
  </w:style>
  <w:style w:type="paragraph" w:styleId="Heading2">
    <w:name w:val="heading 2"/>
    <w:uiPriority w:val="9"/>
    <w:unhideWhenUsed/>
    <w:qFormat/>
    <w:pPr>
      <w:spacing w:before="400" w:after="200"/>
      <w:outlineLvl w:val="1"/>
    </w:pPr>
    <w:rPr>
      <w:b/>
      <w:bCs/>
      <w:color w:val="1E3A4F"/>
      <w:sz w:val="30"/>
      <w:szCs w:val="30"/>
    </w:rPr>
  </w:style>
  <w:style w:type="paragraph" w:styleId="Heading3">
    <w:name w:val="heading 3"/>
    <w:uiPriority w:val="9"/>
    <w:unhideWhenUsed/>
    <w:qFormat/>
    <w:pPr>
      <w:spacing w:before="300" w:after="150"/>
      <w:outlineLvl w:val="2"/>
    </w:pPr>
    <w:rPr>
      <w:b/>
      <w:bCs/>
      <w:i/>
      <w:iCs/>
      <w:color w:val="3A4A5A"/>
      <w:sz w:val="26"/>
      <w:szCs w:val="26"/>
    </w:rPr>
  </w:style>
  <w:style w:type="paragraph" w:styleId="Heading4">
    <w:name w:val="heading 4"/>
    <w:uiPriority w:val="9"/>
    <w:unhideWhenUsed/>
    <w:qFormat/>
    <w:pPr>
      <w:spacing w:before="240" w:after="120"/>
      <w:outlineLvl w:val="3"/>
    </w:pPr>
    <w:rPr>
      <w:b/>
      <w:bCs/>
      <w:i/>
      <w:iCs/>
      <w:color w:val="55555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104ABC"/>
    <w:pPr>
      <w:spacing w:after="100"/>
    </w:pPr>
  </w:style>
  <w:style w:type="paragraph" w:styleId="TOC2">
    <w:name w:val="toc 2"/>
    <w:basedOn w:val="Normal"/>
    <w:next w:val="Normal"/>
    <w:autoRedefine/>
    <w:uiPriority w:val="39"/>
    <w:unhideWhenUsed/>
    <w:rsid w:val="00104ABC"/>
    <w:pPr>
      <w:spacing w:after="100"/>
      <w:ind w:left="240"/>
    </w:pPr>
  </w:style>
  <w:style w:type="paragraph" w:styleId="TOC3">
    <w:name w:val="toc 3"/>
    <w:basedOn w:val="Normal"/>
    <w:next w:val="Normal"/>
    <w:autoRedefine/>
    <w:uiPriority w:val="39"/>
    <w:unhideWhenUsed/>
    <w:rsid w:val="00104ABC"/>
    <w:pPr>
      <w:spacing w:after="100"/>
      <w:ind w:left="480"/>
    </w:pPr>
  </w:style>
  <w:style w:type="paragraph" w:styleId="TOC4">
    <w:name w:val="toc 4"/>
    <w:basedOn w:val="Normal"/>
    <w:next w:val="Normal"/>
    <w:autoRedefine/>
    <w:uiPriority w:val="39"/>
    <w:unhideWhenUsed/>
    <w:rsid w:val="00104ABC"/>
    <w:pPr>
      <w:spacing w:after="100" w:line="278" w:lineRule="auto"/>
      <w:ind w:left="720"/>
    </w:pPr>
    <w:rPr>
      <w:rFonts w:asciiTheme="minorHAnsi" w:eastAsiaTheme="minorEastAsia" w:hAnsiTheme="minorHAnsi" w:cstheme="minorBidi"/>
      <w:color w:val="auto"/>
      <w:kern w:val="2"/>
      <w14:ligatures w14:val="standardContextual"/>
    </w:rPr>
  </w:style>
  <w:style w:type="paragraph" w:styleId="TOC5">
    <w:name w:val="toc 5"/>
    <w:basedOn w:val="Normal"/>
    <w:next w:val="Normal"/>
    <w:autoRedefine/>
    <w:uiPriority w:val="39"/>
    <w:unhideWhenUsed/>
    <w:rsid w:val="00104ABC"/>
    <w:pPr>
      <w:spacing w:after="100" w:line="278" w:lineRule="auto"/>
      <w:ind w:left="960"/>
    </w:pPr>
    <w:rPr>
      <w:rFonts w:asciiTheme="minorHAnsi" w:eastAsiaTheme="minorEastAsia" w:hAnsiTheme="minorHAnsi" w:cstheme="minorBidi"/>
      <w:color w:val="auto"/>
      <w:kern w:val="2"/>
      <w14:ligatures w14:val="standardContextual"/>
    </w:rPr>
  </w:style>
  <w:style w:type="paragraph" w:styleId="TOC6">
    <w:name w:val="toc 6"/>
    <w:basedOn w:val="Normal"/>
    <w:next w:val="Normal"/>
    <w:autoRedefine/>
    <w:uiPriority w:val="39"/>
    <w:unhideWhenUsed/>
    <w:rsid w:val="00104ABC"/>
    <w:pPr>
      <w:spacing w:after="100" w:line="278" w:lineRule="auto"/>
      <w:ind w:left="1200"/>
    </w:pPr>
    <w:rPr>
      <w:rFonts w:asciiTheme="minorHAnsi" w:eastAsiaTheme="minorEastAsia" w:hAnsiTheme="minorHAnsi" w:cstheme="minorBidi"/>
      <w:color w:val="auto"/>
      <w:kern w:val="2"/>
      <w14:ligatures w14:val="standardContextual"/>
    </w:rPr>
  </w:style>
  <w:style w:type="paragraph" w:styleId="TOC7">
    <w:name w:val="toc 7"/>
    <w:basedOn w:val="Normal"/>
    <w:next w:val="Normal"/>
    <w:autoRedefine/>
    <w:uiPriority w:val="39"/>
    <w:unhideWhenUsed/>
    <w:rsid w:val="00104ABC"/>
    <w:pPr>
      <w:spacing w:after="100" w:line="278" w:lineRule="auto"/>
      <w:ind w:left="1440"/>
    </w:pPr>
    <w:rPr>
      <w:rFonts w:asciiTheme="minorHAnsi" w:eastAsiaTheme="minorEastAsia" w:hAnsiTheme="minorHAnsi" w:cstheme="minorBidi"/>
      <w:color w:val="auto"/>
      <w:kern w:val="2"/>
      <w14:ligatures w14:val="standardContextual"/>
    </w:rPr>
  </w:style>
  <w:style w:type="paragraph" w:styleId="TOC8">
    <w:name w:val="toc 8"/>
    <w:basedOn w:val="Normal"/>
    <w:next w:val="Normal"/>
    <w:autoRedefine/>
    <w:uiPriority w:val="39"/>
    <w:unhideWhenUsed/>
    <w:rsid w:val="00104ABC"/>
    <w:pPr>
      <w:spacing w:after="100" w:line="278" w:lineRule="auto"/>
      <w:ind w:left="1680"/>
    </w:pPr>
    <w:rPr>
      <w:rFonts w:asciiTheme="minorHAnsi" w:eastAsiaTheme="minorEastAsia" w:hAnsiTheme="minorHAnsi" w:cstheme="minorBidi"/>
      <w:color w:val="auto"/>
      <w:kern w:val="2"/>
      <w14:ligatures w14:val="standardContextual"/>
    </w:rPr>
  </w:style>
  <w:style w:type="paragraph" w:styleId="TOC9">
    <w:name w:val="toc 9"/>
    <w:basedOn w:val="Normal"/>
    <w:next w:val="Normal"/>
    <w:autoRedefine/>
    <w:uiPriority w:val="39"/>
    <w:unhideWhenUsed/>
    <w:rsid w:val="00104ABC"/>
    <w:pPr>
      <w:spacing w:after="100" w:line="278" w:lineRule="auto"/>
      <w:ind w:left="1920"/>
    </w:pPr>
    <w:rPr>
      <w:rFonts w:asciiTheme="minorHAnsi" w:eastAsiaTheme="minorEastAsia" w:hAnsiTheme="minorHAnsi" w:cstheme="minorBidi"/>
      <w:color w:val="auto"/>
      <w:kern w:val="2"/>
      <w14:ligatures w14:val="standardContextual"/>
    </w:rPr>
  </w:style>
  <w:style w:type="character" w:styleId="UnresolvedMention">
    <w:name w:val="Unresolved Mention"/>
    <w:basedOn w:val="DefaultParagraphFont"/>
    <w:uiPriority w:val="99"/>
    <w:semiHidden/>
    <w:unhideWhenUsed/>
    <w:rsid w:val="00104A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391</Pages>
  <Words>133371</Words>
  <Characters>760220</Characters>
  <Application>Microsoft Office Word</Application>
  <DocSecurity>0</DocSecurity>
  <Lines>6335</Lines>
  <Paragraphs>1783</Paragraphs>
  <ScaleCrop>false</ScaleCrop>
  <Company/>
  <LinksUpToDate>false</LinksUpToDate>
  <CharactersWithSpaces>891808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jeffrey delee</cp:lastModifiedBy>
  <cp:revision>2</cp:revision>
  <dcterms:created xsi:type="dcterms:W3CDTF">2026-06-19T17:40:00Z</dcterms:created>
  <dcterms:modified xsi:type="dcterms:W3CDTF">2026-06-19T17:40:00Z</dcterms:modified>
</cp:coreProperties>
</file>