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966AA" w14:textId="77777777" w:rsidR="009C7F52" w:rsidRDefault="00731002">
      <w:pPr>
        <w:pStyle w:val="TOCHeading"/>
        <w:spacing w:after="40"/>
      </w:pPr>
      <w:r>
        <w:rPr>
          <w:rFonts w:ascii="Bitstream Charter" w:hAnsi="Bitstream Charter"/>
          <w:sz w:val="21"/>
        </w:rPr>
        <w:t>Table of Contents</w:t>
      </w:r>
    </w:p>
    <w:p w14:paraId="0F846858" w14:textId="77777777" w:rsidR="009C7F52" w:rsidRDefault="00731002">
      <w:pPr>
        <w:spacing w:after="40"/>
        <w:rPr>
          <w:color w:val="28251D"/>
        </w:rPr>
      </w:pPr>
      <w:hyperlink w:anchor="preface-why-this-book-exists" w:history="1">
        <w:r>
          <w:rPr>
            <w:color w:val="01696F"/>
            <w:u w:val="single"/>
          </w:rPr>
          <w:t>Preface: Why This Book Exists</w:t>
        </w:r>
      </w:hyperlink>
    </w:p>
    <w:p w14:paraId="65A3B09D" w14:textId="77777777" w:rsidR="009C7F52" w:rsidRDefault="00731002">
      <w:pPr>
        <w:spacing w:after="40"/>
        <w:rPr>
          <w:color w:val="28251D"/>
        </w:rPr>
      </w:pPr>
      <w:hyperlink w:anchor="how-to-read-this-book" w:history="1">
        <w:r>
          <w:rPr>
            <w:color w:val="01696F"/>
            <w:u w:val="single"/>
          </w:rPr>
          <w:t>How to Read This Book</w:t>
        </w:r>
      </w:hyperlink>
    </w:p>
    <w:p w14:paraId="53BB5D29" w14:textId="77777777" w:rsidR="009C7F52" w:rsidRDefault="00731002">
      <w:pPr>
        <w:spacing w:before="160" w:after="40"/>
        <w:rPr>
          <w:b/>
          <w:color w:val="01696F"/>
          <w:sz w:val="24"/>
        </w:rPr>
      </w:pPr>
      <w:hyperlink w:anchor="X828c8caecd5e1dfe23cf3395954920b3db3af30" w:history="1">
        <w:r>
          <w:rPr>
            <w:b/>
            <w:color w:val="01696F"/>
            <w:sz w:val="24"/>
          </w:rPr>
          <w:t>Part I: Yahweh and the Old Testament Foundation</w:t>
        </w:r>
      </w:hyperlink>
    </w:p>
    <w:p w14:paraId="55F1DDD6" w14:textId="77777777" w:rsidR="009C7F52" w:rsidRDefault="00731002">
      <w:pPr>
        <w:spacing w:after="40"/>
        <w:ind w:left="259"/>
        <w:rPr>
          <w:color w:val="28251D"/>
        </w:rPr>
      </w:pPr>
      <w:hyperlink w:anchor="X06bb7f0af4f864cf6fc712d244a7a82dbcf8505" w:history="1">
        <w:r>
          <w:rPr>
            <w:color w:val="01696F"/>
            <w:u w:val="single"/>
          </w:rPr>
          <w:t>Chapter 1: The LORD Is One: Yahweh and the Shema</w:t>
        </w:r>
      </w:hyperlink>
    </w:p>
    <w:p w14:paraId="3AD842D1" w14:textId="77777777" w:rsidR="009C7F52" w:rsidRDefault="00731002">
      <w:pPr>
        <w:spacing w:after="40"/>
        <w:ind w:left="259"/>
        <w:rPr>
          <w:color w:val="28251D"/>
        </w:rPr>
      </w:pPr>
      <w:hyperlink w:anchor="Xe0371d772e6646d3587b881b7c045aba88b51ba" w:history="1">
        <w:r>
          <w:rPr>
            <w:color w:val="01696F"/>
            <w:u w:val="single"/>
          </w:rPr>
          <w:t>Chapter 2: Elohim and the Language of Plurality</w:t>
        </w:r>
      </w:hyperlink>
    </w:p>
    <w:p w14:paraId="1588313B" w14:textId="77777777" w:rsidR="009C7F52" w:rsidRDefault="00731002">
      <w:pPr>
        <w:spacing w:after="40"/>
        <w:ind w:left="259"/>
        <w:rPr>
          <w:color w:val="28251D"/>
        </w:rPr>
      </w:pPr>
      <w:hyperlink w:anchor="chapter-3-the-angel-of-the-lord" w:history="1">
        <w:r>
          <w:rPr>
            <w:color w:val="01696F"/>
            <w:u w:val="single"/>
          </w:rPr>
          <w:t>Chapter 3: The Angel of the LORD</w:t>
        </w:r>
      </w:hyperlink>
    </w:p>
    <w:p w14:paraId="24D56E17" w14:textId="77777777" w:rsidR="009C7F52" w:rsidRDefault="00731002">
      <w:pPr>
        <w:spacing w:after="40"/>
        <w:ind w:left="259"/>
        <w:rPr>
          <w:color w:val="28251D"/>
        </w:rPr>
      </w:pPr>
      <w:hyperlink w:anchor="X2d31affd2c3d0f554244e351664167b5ed19197" w:history="1">
        <w:r>
          <w:rPr>
            <w:color w:val="01696F"/>
            <w:u w:val="single"/>
          </w:rPr>
          <w:t>Chapter 4: Two Powers in Heaven: Second Temple Jewish Thought</w:t>
        </w:r>
      </w:hyperlink>
    </w:p>
    <w:p w14:paraId="2AED310A" w14:textId="77777777" w:rsidR="009C7F52" w:rsidRDefault="00731002">
      <w:pPr>
        <w:spacing w:after="40"/>
        <w:ind w:left="259"/>
        <w:rPr>
          <w:color w:val="28251D"/>
        </w:rPr>
      </w:pPr>
      <w:hyperlink w:anchor="Xc835dd7952bb36720fc4a759f39ced1ef8c254d" w:history="1">
        <w:r>
          <w:rPr>
            <w:color w:val="01696F"/>
            <w:u w:val="single"/>
          </w:rPr>
          <w:t>Chapter 5: Wisdom, Word, and Spirit: The Personified Attributes of God</w:t>
        </w:r>
      </w:hyperlink>
    </w:p>
    <w:p w14:paraId="687F0773" w14:textId="77777777" w:rsidR="009C7F52" w:rsidRDefault="00731002">
      <w:pPr>
        <w:spacing w:after="40"/>
        <w:ind w:left="259"/>
        <w:rPr>
          <w:color w:val="28251D"/>
        </w:rPr>
      </w:pPr>
      <w:hyperlink w:anchor="Xfc6b9ec70c1c1232f8ae420522882431c4e4c7c" w:history="1">
        <w:r>
          <w:rPr>
            <w:color w:val="01696F"/>
            <w:u w:val="single"/>
          </w:rPr>
          <w:t>Chapter 6: What the Old Testament Does — and Does Not — Prove</w:t>
        </w:r>
      </w:hyperlink>
    </w:p>
    <w:p w14:paraId="6C4DB72B" w14:textId="77777777" w:rsidR="009C7F52" w:rsidRDefault="00731002">
      <w:pPr>
        <w:spacing w:before="160" w:after="40"/>
        <w:rPr>
          <w:b/>
          <w:color w:val="01696F"/>
          <w:sz w:val="24"/>
        </w:rPr>
      </w:pPr>
      <w:hyperlink w:anchor="X028d9dd7ab72a10ef510aff8da9b1b75cd68fe3" w:history="1">
        <w:r>
          <w:rPr>
            <w:b/>
            <w:color w:val="01696F"/>
            <w:sz w:val="24"/>
          </w:rPr>
          <w:t>Part II: The Full Revelation in the New Testament</w:t>
        </w:r>
      </w:hyperlink>
    </w:p>
    <w:p w14:paraId="7C78D824" w14:textId="77777777" w:rsidR="009C7F52" w:rsidRDefault="00731002">
      <w:pPr>
        <w:spacing w:after="40"/>
        <w:ind w:left="259"/>
        <w:rPr>
          <w:color w:val="28251D"/>
        </w:rPr>
      </w:pPr>
      <w:hyperlink w:anchor="X4336149a2def3f51e39553630b0e22a3447498c" w:history="1">
        <w:r>
          <w:rPr>
            <w:color w:val="01696F"/>
            <w:u w:val="single"/>
          </w:rPr>
          <w:t>Chapter 7: The God Who Sends: The Father and the Son in the Gospels</w:t>
        </w:r>
      </w:hyperlink>
    </w:p>
    <w:p w14:paraId="4308D018" w14:textId="77777777" w:rsidR="009C7F52" w:rsidRDefault="00731002">
      <w:pPr>
        <w:spacing w:after="40"/>
        <w:ind w:left="259"/>
        <w:rPr>
          <w:color w:val="28251D"/>
        </w:rPr>
      </w:pPr>
      <w:hyperlink w:anchor="X81b2bf8f524726a37e4ff6d7c321c8cf520171f" w:history="1">
        <w:r>
          <w:rPr>
            <w:color w:val="01696F"/>
            <w:u w:val="single"/>
          </w:rPr>
          <w:t>Chapter 8: Jesus and the Claim to Deity in the Gospels</w:t>
        </w:r>
      </w:hyperlink>
    </w:p>
    <w:p w14:paraId="4423FBAA" w14:textId="77777777" w:rsidR="009C7F52" w:rsidRDefault="00731002">
      <w:pPr>
        <w:spacing w:after="40"/>
        <w:ind w:left="259"/>
        <w:rPr>
          <w:color w:val="28251D"/>
        </w:rPr>
      </w:pPr>
      <w:hyperlink w:anchor="X3c8279e0240423125df32717dcbaf78c6bf4efc" w:history="1">
        <w:r>
          <w:rPr>
            <w:color w:val="01696F"/>
            <w:u w:val="single"/>
          </w:rPr>
          <w:t>Chapter 9: The Holy Spirit as a Divine Person</w:t>
        </w:r>
      </w:hyperlink>
    </w:p>
    <w:p w14:paraId="337A8585" w14:textId="77777777" w:rsidR="009C7F52" w:rsidRDefault="00731002">
      <w:pPr>
        <w:spacing w:after="40"/>
        <w:ind w:left="259"/>
        <w:rPr>
          <w:color w:val="28251D"/>
        </w:rPr>
      </w:pPr>
      <w:hyperlink w:anchor="chapter-10-pauls-trinitarian-grammar" w:history="1">
        <w:r>
          <w:rPr>
            <w:color w:val="01696F"/>
            <w:u w:val="single"/>
          </w:rPr>
          <w:t>Chapter 10: Paul’s Trinitarian Grammar</w:t>
        </w:r>
      </w:hyperlink>
    </w:p>
    <w:p w14:paraId="7E611435" w14:textId="77777777" w:rsidR="009C7F52" w:rsidRDefault="00731002">
      <w:pPr>
        <w:spacing w:after="40"/>
        <w:ind w:left="259"/>
        <w:rPr>
          <w:color w:val="28251D"/>
        </w:rPr>
      </w:pPr>
      <w:hyperlink w:anchor="X75fc267931d1f6e55d5fa1af669c9a0086f28fe" w:history="1">
        <w:r>
          <w:rPr>
            <w:color w:val="01696F"/>
            <w:u w:val="single"/>
          </w:rPr>
          <w:t>Chapter 11: John, Hebrews, and the Rest of the Apostolic Witness</w:t>
        </w:r>
      </w:hyperlink>
    </w:p>
    <w:p w14:paraId="6D512DBC" w14:textId="77777777" w:rsidR="009C7F52" w:rsidRDefault="00731002">
      <w:pPr>
        <w:spacing w:after="40"/>
        <w:ind w:left="259"/>
        <w:rPr>
          <w:color w:val="28251D"/>
        </w:rPr>
      </w:pPr>
      <w:hyperlink w:anchor="X3cb55f4af674b94d74624ff836ab55535d2f747" w:history="1">
        <w:r>
          <w:rPr>
            <w:color w:val="01696F"/>
            <w:u w:val="single"/>
          </w:rPr>
          <w:t>Chapter 12: The Greek Text and the Grammar of Deity</w:t>
        </w:r>
      </w:hyperlink>
    </w:p>
    <w:p w14:paraId="5E54887F" w14:textId="77777777" w:rsidR="009C7F52" w:rsidRDefault="00731002">
      <w:pPr>
        <w:spacing w:after="40"/>
        <w:ind w:left="259"/>
        <w:rPr>
          <w:color w:val="28251D"/>
        </w:rPr>
      </w:pPr>
      <w:hyperlink w:anchor="Xbcdb6aa4bfa780fbf26b658afdf04adb873fbbd" w:history="1">
        <w:r>
          <w:rPr>
            <w:color w:val="01696F"/>
            <w:u w:val="single"/>
          </w:rPr>
          <w:t>Chapter 13: One God, Three Persons: How the New Testament Completes the Picture</w:t>
        </w:r>
      </w:hyperlink>
    </w:p>
    <w:p w14:paraId="6C054C12" w14:textId="77777777" w:rsidR="009C7F52" w:rsidRDefault="00731002">
      <w:pPr>
        <w:spacing w:before="160" w:after="40"/>
        <w:rPr>
          <w:b/>
          <w:color w:val="01696F"/>
          <w:sz w:val="24"/>
        </w:rPr>
      </w:pPr>
      <w:hyperlink w:anchor="part-iii-from-the-apostles-to-the-creeds" w:history="1">
        <w:r>
          <w:rPr>
            <w:b/>
            <w:color w:val="01696F"/>
            <w:sz w:val="24"/>
          </w:rPr>
          <w:t>Part III: From the Apostles to the Creeds</w:t>
        </w:r>
      </w:hyperlink>
    </w:p>
    <w:p w14:paraId="224449E0" w14:textId="77777777" w:rsidR="009C7F52" w:rsidRDefault="00731002">
      <w:pPr>
        <w:spacing w:after="40"/>
        <w:ind w:left="259"/>
        <w:rPr>
          <w:color w:val="28251D"/>
        </w:rPr>
      </w:pPr>
      <w:hyperlink w:anchor="Xf5ebab78e81a04dae9aa8cd241e5b9271a72530" w:history="1">
        <w:r>
          <w:rPr>
            <w:color w:val="01696F"/>
            <w:u w:val="single"/>
          </w:rPr>
          <w:t>Chapter 14: The Apostolic Fathers and the First Apologists</w:t>
        </w:r>
      </w:hyperlink>
    </w:p>
    <w:p w14:paraId="30D2C91A" w14:textId="77777777" w:rsidR="009C7F52" w:rsidRDefault="00731002">
      <w:pPr>
        <w:spacing w:after="40"/>
        <w:ind w:left="259"/>
        <w:rPr>
          <w:color w:val="28251D"/>
        </w:rPr>
      </w:pPr>
      <w:hyperlink w:anchor="X75c70eed7e9224d68a637a610fe45ba7167b9ea" w:history="1">
        <w:r>
          <w:rPr>
            <w:color w:val="01696F"/>
            <w:u w:val="single"/>
          </w:rPr>
          <w:t>Chapter 15: The First Great Denials — Ebionism, Docetism, and the Gnostic Christ</w:t>
        </w:r>
      </w:hyperlink>
    </w:p>
    <w:p w14:paraId="2179C32A" w14:textId="77777777" w:rsidR="009C7F52" w:rsidRDefault="00731002">
      <w:pPr>
        <w:spacing w:after="40"/>
        <w:ind w:left="259"/>
        <w:rPr>
          <w:color w:val="28251D"/>
        </w:rPr>
      </w:pPr>
      <w:hyperlink w:anchor="X5a622dea1eb7986b5f7912256cecda5c9b95408" w:history="1">
        <w:r>
          <w:rPr>
            <w:color w:val="01696F"/>
            <w:u w:val="single"/>
          </w:rPr>
          <w:t>Chapter 16: Modalism and the Monarchian Crisis</w:t>
        </w:r>
      </w:hyperlink>
    </w:p>
    <w:p w14:paraId="5740D821" w14:textId="77777777" w:rsidR="009C7F52" w:rsidRDefault="00731002">
      <w:pPr>
        <w:spacing w:after="40"/>
        <w:ind w:left="259"/>
        <w:rPr>
          <w:color w:val="28251D"/>
        </w:rPr>
      </w:pPr>
      <w:hyperlink w:anchor="X2908a3440ad467a8dee2a7c09914d8731e2f38a" w:history="1">
        <w:r>
          <w:rPr>
            <w:color w:val="01696F"/>
            <w:u w:val="single"/>
          </w:rPr>
          <w:t>Chapter 17: Arius and the Crisis Over the Son</w:t>
        </w:r>
      </w:hyperlink>
    </w:p>
    <w:p w14:paraId="6DB05AD4" w14:textId="77777777" w:rsidR="009C7F52" w:rsidRDefault="00731002">
      <w:pPr>
        <w:spacing w:after="40"/>
        <w:ind w:left="259"/>
        <w:rPr>
          <w:color w:val="28251D"/>
        </w:rPr>
      </w:pPr>
      <w:hyperlink w:anchor="X2d76d19087a4f1f4e563f53dd97508f8b9ebb4a" w:history="1">
        <w:r>
          <w:rPr>
            <w:color w:val="01696F"/>
            <w:u w:val="single"/>
          </w:rPr>
          <w:t>Chapter 18: Nicaea (325) and the Nicene Creed</w:t>
        </w:r>
      </w:hyperlink>
    </w:p>
    <w:p w14:paraId="219965FD" w14:textId="77777777" w:rsidR="009C7F52" w:rsidRDefault="00731002">
      <w:pPr>
        <w:spacing w:after="40"/>
        <w:ind w:left="259"/>
        <w:rPr>
          <w:color w:val="28251D"/>
        </w:rPr>
      </w:pPr>
      <w:hyperlink w:anchor="X256c4beab0b1efb7a65308592ee4297319aae5a" w:history="1">
        <w:r>
          <w:rPr>
            <w:color w:val="01696F"/>
            <w:u w:val="single"/>
          </w:rPr>
          <w:t>Chapter 19: The Cappadocian Fathers, Constantinople (381), and Augustine in the West</w:t>
        </w:r>
      </w:hyperlink>
    </w:p>
    <w:p w14:paraId="14EA4ED7" w14:textId="77777777" w:rsidR="009C7F52" w:rsidRDefault="00731002">
      <w:pPr>
        <w:spacing w:before="160" w:after="40"/>
        <w:rPr>
          <w:b/>
          <w:color w:val="01696F"/>
          <w:sz w:val="24"/>
        </w:rPr>
      </w:pPr>
      <w:hyperlink w:anchor="Xa5b01257403288045c2bdbecc7d92964eab8ce6" w:history="1">
        <w:r>
          <w:rPr>
            <w:b/>
            <w:color w:val="01696F"/>
            <w:sz w:val="24"/>
          </w:rPr>
          <w:t>Part IV — The Hypostatic Union and the Person of Christ</w:t>
        </w:r>
      </w:hyperlink>
    </w:p>
    <w:p w14:paraId="7BDF3CDB" w14:textId="77777777" w:rsidR="009C7F52" w:rsidRDefault="00731002">
      <w:pPr>
        <w:spacing w:after="40"/>
        <w:ind w:left="259"/>
        <w:rPr>
          <w:color w:val="28251D"/>
        </w:rPr>
      </w:pPr>
      <w:hyperlink w:anchor="X4a29a33ce5f62c23d5b40b8791293ee49006475" w:history="1">
        <w:r>
          <w:rPr>
            <w:color w:val="01696F"/>
            <w:u w:val="single"/>
          </w:rPr>
          <w:t>Chapter 20: Apollinarius and the Question of Christ’s Humanity</w:t>
        </w:r>
      </w:hyperlink>
    </w:p>
    <w:p w14:paraId="3E2EAAF3" w14:textId="77777777" w:rsidR="009C7F52" w:rsidRDefault="00731002">
      <w:pPr>
        <w:spacing w:after="40"/>
        <w:ind w:left="259"/>
        <w:rPr>
          <w:color w:val="28251D"/>
        </w:rPr>
      </w:pPr>
      <w:hyperlink w:anchor="Xe68fdda86c0fd5362566ee4f1ae212662936a05" w:history="1">
        <w:r>
          <w:rPr>
            <w:color w:val="01696F"/>
            <w:u w:val="single"/>
          </w:rPr>
          <w:t>Chapter 21: Nestorius, Cyril, and the Council of Ephesus (431)</w:t>
        </w:r>
      </w:hyperlink>
    </w:p>
    <w:p w14:paraId="1F60FCD4" w14:textId="77777777" w:rsidR="009C7F52" w:rsidRDefault="00731002">
      <w:pPr>
        <w:spacing w:after="40"/>
        <w:ind w:left="259"/>
        <w:rPr>
          <w:color w:val="28251D"/>
        </w:rPr>
      </w:pPr>
      <w:hyperlink w:anchor="X60881847f089f21a28adc50657c2a903cd02a14" w:history="1">
        <w:r>
          <w:rPr>
            <w:color w:val="01696F"/>
            <w:u w:val="single"/>
          </w:rPr>
          <w:t>Chapter 22: Eutyches, Chalcedon (451), and the Definition of Two Natures</w:t>
        </w:r>
      </w:hyperlink>
    </w:p>
    <w:p w14:paraId="66D00E9B" w14:textId="77777777" w:rsidR="009C7F52" w:rsidRDefault="00731002">
      <w:pPr>
        <w:spacing w:after="40"/>
        <w:ind w:left="259"/>
        <w:rPr>
          <w:color w:val="28251D"/>
        </w:rPr>
      </w:pPr>
      <w:hyperlink w:anchor="Xa12a901e5c013a05bccf3ca929d755ebbd77d8c" w:history="1">
        <w:r>
          <w:rPr>
            <w:color w:val="01696F"/>
            <w:u w:val="single"/>
          </w:rPr>
          <w:t>Chapter 23: Monothelitism, Constantinople III, and What the Hypostatic Union Means Today</w:t>
        </w:r>
      </w:hyperlink>
    </w:p>
    <w:p w14:paraId="56CD35FC" w14:textId="77777777" w:rsidR="009C7F52" w:rsidRDefault="00731002">
      <w:pPr>
        <w:spacing w:before="160" w:after="40"/>
        <w:rPr>
          <w:b/>
          <w:color w:val="01696F"/>
          <w:sz w:val="24"/>
        </w:rPr>
      </w:pPr>
      <w:hyperlink w:anchor="Xe376c898a9bf84d8874da4bfc758a19c2998307" w:history="1">
        <w:r>
          <w:rPr>
            <w:b/>
            <w:color w:val="01696F"/>
            <w:sz w:val="24"/>
          </w:rPr>
          <w:t>Part V: Medieval Development and the Reformation</w:t>
        </w:r>
      </w:hyperlink>
    </w:p>
    <w:p w14:paraId="199CF10C" w14:textId="77777777" w:rsidR="009C7F52" w:rsidRDefault="00731002">
      <w:pPr>
        <w:spacing w:after="40"/>
        <w:ind w:left="259"/>
        <w:rPr>
          <w:color w:val="28251D"/>
        </w:rPr>
      </w:pPr>
      <w:hyperlink w:anchor="Xe433f7b2acd2ba9b02ca389d4620febf7106550" w:history="1">
        <w:r>
          <w:rPr>
            <w:color w:val="01696F"/>
            <w:u w:val="single"/>
          </w:rPr>
          <w:t>Chapter 24: The Doctrine Through the Medieval Church</w:t>
        </w:r>
      </w:hyperlink>
    </w:p>
    <w:p w14:paraId="34D80D70" w14:textId="77777777" w:rsidR="009C7F52" w:rsidRDefault="00731002">
      <w:pPr>
        <w:spacing w:after="40"/>
        <w:ind w:left="259"/>
        <w:rPr>
          <w:color w:val="28251D"/>
        </w:rPr>
      </w:pPr>
      <w:hyperlink w:anchor="chapter-25-the-reformers-and-the-trinity" w:history="1">
        <w:r>
          <w:rPr>
            <w:color w:val="01696F"/>
            <w:u w:val="single"/>
          </w:rPr>
          <w:t>Chapter 25: The Reformers and the Trinity</w:t>
        </w:r>
      </w:hyperlink>
    </w:p>
    <w:p w14:paraId="5F883E61" w14:textId="77777777" w:rsidR="009C7F52" w:rsidRDefault="00731002">
      <w:pPr>
        <w:spacing w:after="40"/>
        <w:ind w:left="259"/>
        <w:rPr>
          <w:color w:val="28251D"/>
        </w:rPr>
      </w:pPr>
      <w:hyperlink w:anchor="Xb604c3fb2a636bce246c25c28c25ccf44846884" w:history="1">
        <w:r>
          <w:rPr>
            <w:color w:val="01696F"/>
            <w:u w:val="single"/>
          </w:rPr>
          <w:t>Chapter 26: Confessions, Catechisms, and the Consolidation of the Doctrine</w:t>
        </w:r>
      </w:hyperlink>
    </w:p>
    <w:p w14:paraId="08CDEE07" w14:textId="77777777" w:rsidR="009C7F52" w:rsidRDefault="00731002">
      <w:pPr>
        <w:spacing w:before="160" w:after="40"/>
        <w:rPr>
          <w:b/>
          <w:color w:val="01696F"/>
          <w:sz w:val="24"/>
        </w:rPr>
      </w:pPr>
      <w:hyperlink w:anchor="Xcea7b4244a66359f9367f1cdaa48546db5319ac" w:history="1">
        <w:r>
          <w:rPr>
            <w:b/>
            <w:color w:val="01696F"/>
            <w:sz w:val="24"/>
          </w:rPr>
          <w:t>Part VI: Challenges to the Doctrine, Ancient and Modern</w:t>
        </w:r>
      </w:hyperlink>
    </w:p>
    <w:p w14:paraId="5F312D66" w14:textId="77777777" w:rsidR="009C7F52" w:rsidRDefault="00731002">
      <w:pPr>
        <w:spacing w:after="40"/>
        <w:ind w:left="259"/>
        <w:rPr>
          <w:color w:val="28251D"/>
        </w:rPr>
      </w:pPr>
      <w:hyperlink w:anchor="Xbb3082add7f829367f87b594dd4d761b319dfd6" w:history="1">
        <w:r>
          <w:rPr>
            <w:color w:val="01696F"/>
            <w:u w:val="single"/>
          </w:rPr>
          <w:t>Chapter 27: Modalism Revisited: Oneness Pentecostalism</w:t>
        </w:r>
      </w:hyperlink>
    </w:p>
    <w:p w14:paraId="7CA79E5B" w14:textId="77777777" w:rsidR="009C7F52" w:rsidRDefault="00731002">
      <w:pPr>
        <w:spacing w:after="40"/>
        <w:ind w:left="259"/>
        <w:rPr>
          <w:color w:val="28251D"/>
        </w:rPr>
      </w:pPr>
      <w:hyperlink w:anchor="X8eb020c8b45a4c4c78baf679f4bb0fb02852836" w:history="1">
        <w:r>
          <w:rPr>
            <w:color w:val="01696F"/>
            <w:u w:val="single"/>
          </w:rPr>
          <w:t>Chapter 28: Arianism Revisited: Jehovah’s Witnesses</w:t>
        </w:r>
      </w:hyperlink>
    </w:p>
    <w:p w14:paraId="45731660" w14:textId="77777777" w:rsidR="009C7F52" w:rsidRDefault="00731002">
      <w:pPr>
        <w:spacing w:after="40"/>
        <w:ind w:left="259"/>
        <w:rPr>
          <w:color w:val="28251D"/>
        </w:rPr>
      </w:pPr>
      <w:hyperlink w:anchor="X497794677a0ca05ec3ea8d57a6ddf89eb807903" w:history="1">
        <w:r>
          <w:rPr>
            <w:color w:val="01696F"/>
            <w:u w:val="single"/>
          </w:rPr>
          <w:t>Chapter 29: Tritheism Revisited: Mormonism and the LDS Godhead</w:t>
        </w:r>
      </w:hyperlink>
    </w:p>
    <w:p w14:paraId="6B2E2A61" w14:textId="77777777" w:rsidR="009C7F52" w:rsidRDefault="00731002">
      <w:pPr>
        <w:spacing w:after="40"/>
        <w:ind w:left="259"/>
        <w:rPr>
          <w:color w:val="28251D"/>
        </w:rPr>
      </w:pPr>
      <w:hyperlink w:anchor="chapter-30-islam-and-the-charge-of-shirk" w:history="1">
        <w:r>
          <w:rPr>
            <w:color w:val="01696F"/>
            <w:u w:val="single"/>
          </w:rPr>
          <w:t>Chapter 30: Islam and the Charge of Shirk</w:t>
        </w:r>
      </w:hyperlink>
    </w:p>
    <w:p w14:paraId="651CAC58" w14:textId="77777777" w:rsidR="009C7F52" w:rsidRDefault="00731002">
      <w:pPr>
        <w:spacing w:after="40"/>
        <w:ind w:left="259"/>
        <w:rPr>
          <w:color w:val="28251D"/>
        </w:rPr>
      </w:pPr>
      <w:hyperlink w:anchor="X5010fb2d1e4b2bc7946a21768ae3bb04870cd54" w:history="1">
        <w:r>
          <w:rPr>
            <w:color w:val="01696F"/>
            <w:u w:val="single"/>
          </w:rPr>
          <w:t>Chapter 31: Biblical Unitarianism and Modern Skepticism</w:t>
        </w:r>
      </w:hyperlink>
    </w:p>
    <w:p w14:paraId="180C9565" w14:textId="77777777" w:rsidR="009C7F52" w:rsidRDefault="00731002">
      <w:pPr>
        <w:spacing w:after="40"/>
        <w:ind w:left="259"/>
        <w:rPr>
          <w:color w:val="28251D"/>
        </w:rPr>
      </w:pPr>
      <w:hyperlink w:anchor="X064b3bdc52b5744f8b5d90ca6dbb37e397ab7de" w:history="1">
        <w:r>
          <w:rPr>
            <w:color w:val="01696F"/>
            <w:u w:val="single"/>
          </w:rPr>
          <w:t>Chapter 32: Why the Doctrine Still Matters: Worship, Salvation, and the Christian Life</w:t>
        </w:r>
      </w:hyperlink>
    </w:p>
    <w:p w14:paraId="35CC0CF9" w14:textId="77777777" w:rsidR="009C7F52" w:rsidRDefault="00731002">
      <w:pPr>
        <w:spacing w:after="40"/>
        <w:rPr>
          <w:color w:val="28251D"/>
        </w:rPr>
      </w:pPr>
      <w:hyperlink w:anchor="X18533f28758ab3603510caf576963d8324e836f" w:history="1">
        <w:r>
          <w:rPr>
            <w:color w:val="01696F"/>
            <w:u w:val="single"/>
          </w:rPr>
          <w:t>Conclusion: The God Who Is One and the God Who Is Three</w:t>
        </w:r>
      </w:hyperlink>
    </w:p>
    <w:p w14:paraId="701A78A8" w14:textId="77777777" w:rsidR="009C7F52" w:rsidRDefault="00731002">
      <w:pPr>
        <w:spacing w:before="160" w:after="40"/>
        <w:rPr>
          <w:b/>
          <w:color w:val="01696F"/>
          <w:sz w:val="24"/>
        </w:rPr>
      </w:pPr>
      <w:hyperlink w:anchor="appendices" w:history="1">
        <w:r>
          <w:rPr>
            <w:b/>
            <w:color w:val="01696F"/>
            <w:sz w:val="24"/>
          </w:rPr>
          <w:t>Appendices</w:t>
        </w:r>
      </w:hyperlink>
    </w:p>
    <w:p w14:paraId="4293BAD2" w14:textId="77777777" w:rsidR="009C7F52" w:rsidRDefault="00731002">
      <w:pPr>
        <w:spacing w:after="40"/>
        <w:ind w:left="259"/>
        <w:rPr>
          <w:color w:val="28251D"/>
        </w:rPr>
      </w:pPr>
      <w:hyperlink w:anchor="appendix-a-the-ecumenical-creeds" w:history="1">
        <w:r>
          <w:rPr>
            <w:color w:val="01696F"/>
            <w:u w:val="single"/>
          </w:rPr>
          <w:t>Appendix A: The Ecumenical Creeds</w:t>
        </w:r>
      </w:hyperlink>
    </w:p>
    <w:p w14:paraId="3872D272" w14:textId="77777777" w:rsidR="009C7F52" w:rsidRDefault="00731002">
      <w:pPr>
        <w:spacing w:after="40"/>
        <w:ind w:left="259"/>
        <w:rPr>
          <w:color w:val="28251D"/>
        </w:rPr>
      </w:pPr>
      <w:hyperlink w:anchor="appendix-b-glossary-of-key-terms" w:history="1">
        <w:r>
          <w:rPr>
            <w:color w:val="01696F"/>
            <w:u w:val="single"/>
          </w:rPr>
          <w:t>Appendix B: Glossary of Key Terms</w:t>
        </w:r>
      </w:hyperlink>
    </w:p>
    <w:p w14:paraId="2800362F" w14:textId="77777777" w:rsidR="009C7F52" w:rsidRDefault="00731002">
      <w:pPr>
        <w:spacing w:after="40"/>
        <w:ind w:left="259"/>
        <w:rPr>
          <w:color w:val="28251D"/>
        </w:rPr>
      </w:pPr>
      <w:hyperlink w:anchor="appendix-c-for-further-study" w:history="1">
        <w:r>
          <w:rPr>
            <w:color w:val="01696F"/>
            <w:u w:val="single"/>
          </w:rPr>
          <w:t>Appendix C: For Further Study</w:t>
        </w:r>
      </w:hyperlink>
    </w:p>
    <w:p w14:paraId="2B2B6997" w14:textId="77777777" w:rsidR="009C7F52" w:rsidRDefault="00731002">
      <w:r>
        <w:br w:type="page"/>
      </w:r>
    </w:p>
    <w:p w14:paraId="3B7E8864" w14:textId="77777777" w:rsidR="009C7F52" w:rsidRDefault="00731002">
      <w:pPr>
        <w:keepNext/>
        <w:spacing w:before="360" w:after="200"/>
        <w:jc w:val="center"/>
      </w:pPr>
      <w:bookmarkStart w:id="0" w:name="one-god-three-persons"/>
      <w:r>
        <w:rPr>
          <w:noProof/>
        </w:rPr>
        <w:drawing>
          <wp:inline distT="0" distB="0" distL="0" distR="0" wp14:anchorId="2CD9ECFD" wp14:editId="3F65635A">
            <wp:extent cx="4160520" cy="739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0043498F" w14:textId="77777777" w:rsidR="009C7F52" w:rsidRDefault="00731002">
      <w:pPr>
        <w:pStyle w:val="Heading1"/>
        <w:spacing w:before="680" w:after="240"/>
      </w:pPr>
      <w:r>
        <w:rPr>
          <w:smallCaps/>
          <w:sz w:val="60"/>
        </w:rPr>
        <w:t>ONE GOD, THREE PERSONS</w:t>
      </w:r>
    </w:p>
    <w:p w14:paraId="3069B5A3" w14:textId="77777777" w:rsidR="009C7F52" w:rsidRDefault="00731002">
      <w:pPr>
        <w:pStyle w:val="Heading3"/>
        <w:pBdr>
          <w:bottom w:val="single" w:sz="4" w:space="5" w:color="C8AE75"/>
        </w:pBdr>
        <w:jc w:val="center"/>
      </w:pPr>
      <w:bookmarkStart w:id="1" w:name="Xcaabb85297a39a9e7ac28fbf5a223e5afb043fa"/>
      <w:r>
        <w:rPr>
          <w:i/>
        </w:rPr>
        <w:t>The Doctrine of the Trinity from Yahweh to the Reformation</w:t>
      </w:r>
    </w:p>
    <w:p w14:paraId="6269FB04" w14:textId="77777777" w:rsidR="009C7F52" w:rsidRDefault="007D6CCB">
      <w:r>
        <w:rPr>
          <w:noProof/>
        </w:rPr>
      </w:r>
      <w:r w:rsidR="007D6CCB">
        <w:rPr>
          <w:noProof/>
        </w:rPr>
        <w:pict w14:anchorId="2FA14B70">
          <v:rect id="_x0000_i1025" style="width:0;height:1.5pt" o:hralign="center" o:hrstd="t" o:hr="t"/>
        </w:pict>
      </w:r>
    </w:p>
    <w:p w14:paraId="16CFB7A6" w14:textId="77777777" w:rsidR="009C7F52" w:rsidRDefault="00731002">
      <w:pPr>
        <w:pStyle w:val="Heading2"/>
        <w:pBdr>
          <w:bottom w:val="single" w:sz="10" w:space="8" w:color="A68037"/>
        </w:pBdr>
      </w:pPr>
      <w:bookmarkStart w:id="2" w:name="preface-why-this-book-exists"/>
      <w:bookmarkEnd w:id="1"/>
      <w:r>
        <w:t>Preface: Why This Book Exists</w:t>
      </w:r>
    </w:p>
    <w:p w14:paraId="39C52410" w14:textId="77777777" w:rsidR="009C7F52" w:rsidRDefault="00731002">
      <w:pPr>
        <w:pStyle w:val="FirstParagraph"/>
      </w:pPr>
      <w:r>
        <w:t>Every Christian who has ever tried to explain the Trinity to a curious child, a skeptical neighbor, or a member of a group that denies it has run into the same wall. The words come out sounding like a contradiction: one God, but three persons; three persons, but one God. Explain it badly, and it sounds like nonsense. Explain it carefully, and it turns out to be one of the most carefully reasoned, historically tested, and biblically saturated doctrines the church has ever produced. This book exists to walk through that careful reasoning from the beginning, so that by the end, the doctrine feels less like a riddle to be memorized and more like the shape the whole Bible has been drawing all along.</w:t>
      </w:r>
    </w:p>
    <w:p w14:paraId="5B053B99" w14:textId="77777777" w:rsidR="009C7F52" w:rsidRDefault="00731002">
      <w:pPr>
        <w:pStyle w:val="BodyText"/>
      </w:pPr>
      <w:r>
        <w:t>The doctrine of the Trinity did not fall out of the sky in the fourth century, and it was not invented by a council trying to please an emperor. It grew — slowly, carefully, and under real pressure — out of a text that had been read for over a thousand years before Nicaea ever met: the Hebrew Scriptures. So this book does something many popular treatments of the Trinity skip. It starts in the Old Testament, not to “find the Trinity hiding in Genesis,” but to take seriously what the text actually says about the God of Israel — his fierce, uncompromising oneness, and also the strange, real texture of plurality that shows up inside that oneness. The Angel of the LORD who speaks as God and is worshiped as God, yet stands distinguished from God. The plural name Elohim paired with singular verbs. The mysterious figures in Daniel 7 and Psalm 110. This book will not claim that Moses or Isaiah understood the Trinity the way the church would later define it. That claim would not survive careful reading, and honest scholarship should never need to overstate its case. What the book will claim, and defend throughout, is that the Old Testament created real theological space — questions the text itself raises but does not close — that only the New Testament would go on to answer.</w:t>
      </w:r>
    </w:p>
    <w:p w14:paraId="72CC48DA" w14:textId="77777777" w:rsidR="009C7F52" w:rsidRDefault="00731002">
      <w:pPr>
        <w:pStyle w:val="BodyText"/>
      </w:pPr>
      <w:r>
        <w:t>From there, the book follows the doctrine’s growth through the New Testament’s full revelation of Father, Son, and Spirit; through the apostolic fathers and early apologists who first had to defend a faith they had received but not yet fully defined; through the great councils — Nicaea, Constantinople, Ephesus, Chalcedon — where the church hammered out precise language for realities Scripture had revealed but not yet named with technical precision; through the medieval church and into the Reformation, where the doctrine was not reinvented but confessed anew; and finally into the many challenges the doctrine has faced, from ancient heresies revived in new forms to entirely new movements and religions that reject it. Along the way, this book will also treat the closely related but distinct doctrine of the hypostatic union — the historic teaching that in the one person of Jesus Christ, full deity and full humanity are united without confusion, without change, without division, and without separation. The Trinity concerns who God eternally is. The hypostatic union concerns who Christ became without ceasing to be who he eternally was. Both doctrines emerged from the same historical crucible, and both deserve careful treatment.</w:t>
      </w:r>
    </w:p>
    <w:p w14:paraId="2213BF18" w14:textId="77777777" w:rsidR="009C7F52" w:rsidRDefault="00731002">
      <w:pPr>
        <w:pStyle w:val="BodyText"/>
      </w:pPr>
      <w:r>
        <w:t xml:space="preserve">Throughout the book, one definition will keep returning as a touchstone, because it states the doctrine about as clearly as it can be stated in English: theologian James R. White, in his book </w:t>
      </w:r>
      <w:r>
        <w:rPr>
          <w:i/>
          <w:iCs/>
        </w:rPr>
        <w:t>The Forgotten Trinity</w:t>
      </w:r>
      <w:r>
        <w:t>, defines the Trinity this way: “Within the one Being that is God, there exists eternally three coequal and coeternal persons, namely, the Father, the Son, and the Holy Spirit.” That single sentence will be unpacked slowly across these chapters — what “Being” means, what “person” means, why “coequal” and “coeternal” are not throwaway words but load-bearing ones — until, by the book’s end, the sentence should read less like a formula and more like a summary of everything the book has shown.</w:t>
      </w:r>
    </w:p>
    <w:p w14:paraId="6A96C4C6" w14:textId="77777777" w:rsidR="009C7F52" w:rsidRDefault="00731002">
      <w:pPr>
        <w:pStyle w:val="Heading2"/>
        <w:pBdr>
          <w:bottom w:val="single" w:sz="10" w:space="8" w:color="A68037"/>
        </w:pBdr>
      </w:pPr>
      <w:bookmarkStart w:id="3" w:name="how-to-read-this-book"/>
      <w:bookmarkEnd w:id="2"/>
      <w:r>
        <w:t>How to Read This Book</w:t>
      </w:r>
    </w:p>
    <w:p w14:paraId="3507BD97" w14:textId="77777777" w:rsidR="009C7F52" w:rsidRDefault="00731002">
      <w:pPr>
        <w:pStyle w:val="FirstParagraph"/>
      </w:pPr>
      <w:r>
        <w:t xml:space="preserve">This is a scholarly book, but it is written to be read, not decoded. Every sentence aims for the clarity of a good high-school-level explanation, even when the subject matter is advanced. Where a technical term is genuinely necessary — words like </w:t>
      </w:r>
      <w:r>
        <w:rPr>
          <w:i/>
          <w:iCs/>
        </w:rPr>
        <w:t>hypostasis</w:t>
      </w:r>
      <w:r>
        <w:t xml:space="preserve">, </w:t>
      </w:r>
      <w:r>
        <w:rPr>
          <w:i/>
          <w:iCs/>
        </w:rPr>
        <w:t>ousia</w:t>
      </w:r>
      <w:r>
        <w:t xml:space="preserve">, or </w:t>
      </w:r>
      <w:r>
        <w:rPr>
          <w:i/>
          <w:iCs/>
        </w:rPr>
        <w:t>homoousios</w:t>
      </w:r>
      <w:r>
        <w:t xml:space="preserve"> — the book will explain the term in plain language the moment it first appears, and will offer a quick reminder whenever it returns later, so no reader is ever left behind by a footnote-free wall of jargon. A full glossary in the back matter gathers these terms in one place for reference.</w:t>
      </w:r>
    </w:p>
    <w:p w14:paraId="050125A6" w14:textId="77777777" w:rsidR="009C7F52" w:rsidRDefault="00731002">
      <w:pPr>
        <w:pStyle w:val="BodyText"/>
      </w:pPr>
      <w:r>
        <w:t>Because much of the doctrine’s precision was worked out by people reading the New Testament in its original Greek, this book also shows the Greek text itself at key points, always followed immediately by its pronunciation and English meaning in parentheses — for example, θεός (</w:t>
      </w:r>
      <w:r>
        <w:rPr>
          <w:i/>
          <w:iCs/>
        </w:rPr>
        <w:t>theos</w:t>
      </w:r>
      <w:r>
        <w:t>, “God”). Readers with no Greek background can skip straight to the English in parentheses and lose nothing; readers who want to see the underlying grammar for themselves will find it laid out plainly, especially in the chapter devoted entirely to the Greek text of the New Testament’s key statements about Christ’s deity.</w:t>
      </w:r>
    </w:p>
    <w:p w14:paraId="180DF1FA" w14:textId="77777777" w:rsidR="009C7F52" w:rsidRDefault="00731002">
      <w:pPr>
        <w:pStyle w:val="BodyText"/>
      </w:pPr>
      <w:r>
        <w:t>Every historical and scholarly claim in this book is footnoted with a real, checkable source — no claim here rests on “many scholars believe” without a name and a citation attached. The book treats every historical figure discussed, including those the church eventually judged to be in error, as a real person with real convictions, usually trying sincerely to protect one truth about God even when — in the church’s settled judgment — they ended up losing hold of another. Readers will find that most of the church’s most important doctrinal battles were fought by people who all believed they were defending the same God; they simply could not all have been right about how.</w:t>
      </w:r>
    </w:p>
    <w:p w14:paraId="6A08BEC9" w14:textId="77777777" w:rsidR="009C7F52" w:rsidRDefault="00731002">
      <w:r>
        <w:br w:type="page"/>
      </w:r>
    </w:p>
    <w:p w14:paraId="6C8C2359" w14:textId="77777777" w:rsidR="009C7F52" w:rsidRDefault="00731002">
      <w:pPr>
        <w:keepNext/>
        <w:pageBreakBefore/>
        <w:spacing w:before="360" w:after="200"/>
        <w:jc w:val="center"/>
      </w:pPr>
      <w:bookmarkStart w:id="4" w:name="X828c8caecd5e1dfe23cf3395954920b3db3af30"/>
      <w:bookmarkEnd w:id="0"/>
      <w:bookmarkEnd w:id="3"/>
      <w:r>
        <w:rPr>
          <w:noProof/>
        </w:rPr>
        <w:drawing>
          <wp:inline distT="0" distB="0" distL="0" distR="0" wp14:anchorId="59D7D610" wp14:editId="483BFD80">
            <wp:extent cx="4160520" cy="7396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5734F09C" w14:textId="77777777" w:rsidR="009C7F52" w:rsidRDefault="00731002">
      <w:pPr>
        <w:pStyle w:val="Heading1"/>
      </w:pPr>
      <w:r>
        <w:t>Part I: Yahweh and the Old Testament Foundation</w:t>
      </w:r>
    </w:p>
    <w:p w14:paraId="24FF8470" w14:textId="77777777" w:rsidR="009C7F52" w:rsidRDefault="00731002">
      <w:pPr>
        <w:pStyle w:val="Heading2"/>
        <w:pBdr>
          <w:bottom w:val="single" w:sz="10" w:space="8" w:color="A68037"/>
        </w:pBdr>
      </w:pPr>
      <w:bookmarkStart w:id="5" w:name="X06bb7f0af4f864cf6fc712d244a7a82dbcf8505"/>
      <w:r>
        <w:t>Chapter 1: The LORD Is One: Yahweh and the Shema</w:t>
      </w:r>
    </w:p>
    <w:p w14:paraId="79888883" w14:textId="77777777" w:rsidR="009C7F52" w:rsidRDefault="00731002">
      <w:pPr>
        <w:pStyle w:val="FirstParagraph"/>
      </w:pPr>
      <w:r>
        <w:t>A slave in Egypt, asked to trust a stranger’s promise of freedom, wanted to know one thing first: what is his name? The answer he received at a bush that burned without burning up would echo through three thousand years of worship, argument, and translation — and it is the only sensible place to begin a book about God’s nature.</w:t>
      </w:r>
    </w:p>
    <w:p w14:paraId="05EA02E7" w14:textId="77777777" w:rsidR="009C7F52" w:rsidRDefault="00731002">
      <w:pPr>
        <w:pStyle w:val="Heading3"/>
        <w:pBdr>
          <w:bottom w:val="single" w:sz="4" w:space="5" w:color="C8AE75"/>
        </w:pBdr>
      </w:pPr>
      <w:bookmarkStart w:id="6" w:name="a-name-at-a-burning-bush"/>
      <w:r>
        <w:t>A Name at a Burning Bush</w:t>
      </w:r>
    </w:p>
    <w:p w14:paraId="7D7E0E63" w14:textId="77777777" w:rsidR="009C7F52" w:rsidRDefault="00731002">
      <w:pPr>
        <w:pStyle w:val="FirstParagraph"/>
      </w:pPr>
      <w:r>
        <w:t>Moses was tending sheep in the wilderness near Horeb when he saw a bush on fire that never burned to ash. When he turned aside to look, a voice from within the flame identified itself as “the God of your father, the God of Abraham, the God of Isaac, and the God of Jacob” (Exodus 3:6). Moses, tasked with confronting Pharaoh and leading Israel out of bondage, asked the obvious follow-up question: when the Israelites ask who sent him, what should he say? God’s answer was not a title but a self-description: “I AM WHO I AM” — in Hebrew, אֶהְיֶה אֲשֶׁר אֶהְיֶה (</w:t>
      </w:r>
      <w:r>
        <w:rPr>
          <w:i/>
          <w:iCs/>
        </w:rPr>
        <w:t>ehyeh asher ehyeh</w:t>
      </w:r>
      <w:r>
        <w:t>, “I AM WHO I AM”) — and he told Moses to tell the people, “I AM has sent me to you” (Exodus 3:14). In the very next verse, this same self-description is given a name Israel could actually say: “the LORD, the God of your fathers… has sent me to you. This is my name forever” (Exodus 3:15). That name, יהוה (YHWH, the tetragrammaton), is the God of Israel’s personal, revealed name — not a philosophical title borrowed from surrounding cultures, but a name disclosed at a specific moment to a specific people in the middle of a specific crisis.</w:t>
      </w:r>
    </w:p>
    <w:p w14:paraId="67FAEE30" w14:textId="77777777" w:rsidR="009C7F52" w:rsidRDefault="00731002">
      <w:pPr>
        <w:pStyle w:val="BodyText"/>
      </w:pPr>
      <w:r>
        <w:t>The Hebrew verb behind “I AM” is הָיָה (</w:t>
      </w:r>
      <w:r>
        <w:rPr>
          <w:i/>
          <w:iCs/>
        </w:rPr>
        <w:t>hayah</w:t>
      </w:r>
      <w:r>
        <w:t>, “to be” or “to become”), and the divine name יהוה (YHWH) appears to share the same root, cast in a different grammatical form</w:t>
      </w:r>
      <w:hyperlink w:anchor="cite_1" w:history="1">
        <w:r>
          <w:rPr>
            <w:color w:val="671C2A"/>
            <w:sz w:val="16"/>
            <w:vertAlign w:val="superscript"/>
          </w:rPr>
          <w:t>1</w:t>
        </w:r>
      </w:hyperlink>
      <w:r>
        <w:t>. Exactly what nuance that verb carries here has occupied grammarians for over a century. Older commentators, and many popular ones since, have taken אֶהְיֶה אֲשֶׁר אֶהְיֶה (</w:t>
      </w:r>
      <w:r>
        <w:rPr>
          <w:i/>
          <w:iCs/>
        </w:rPr>
        <w:t>ehyeh asher ehyeh</w:t>
      </w:r>
      <w:r>
        <w:t>, “I am who I am”) as a claim about self-existence — God as the uncaused, eternally existing “I Am,” the one being who does not derive existence from anything outside himself. That reading is defensible and theologically fruitful, and it has anchored centuries of reflection on divine aseity — the doctrine that God exists in and of himself, dependent on nothing. But careful Hebrew scholarship has also pushed the conversation further. Jacob Milgrom, a leading Torah scholar, argued that the emphasis of the phrase in its narrative context is less “I am the self-existing one” in the abstract and more “I am present” — that is, God’s self-disclosure to Moses is fundamentally a promise of active, saving presence with an enslaved people, not a metaphysics lecture</w:t>
      </w:r>
      <w:hyperlink w:anchor="cite_2" w:history="1">
        <w:r>
          <w:rPr>
            <w:color w:val="671C2A"/>
            <w:sz w:val="16"/>
            <w:vertAlign w:val="superscript"/>
          </w:rPr>
          <w:t>2</w:t>
        </w:r>
      </w:hyperlink>
      <w:r>
        <w:t xml:space="preserve">. The two readings are not actually in competition. The God who names himself “I Am” at the burning bush is disclosing both </w:t>
      </w:r>
      <w:r>
        <w:rPr>
          <w:i/>
          <w:iCs/>
        </w:rPr>
        <w:t>that he simply is</w:t>
      </w:r>
      <w:r>
        <w:t xml:space="preserve">, underived and self-sufficient, and </w:t>
      </w:r>
      <w:r>
        <w:rPr>
          <w:i/>
          <w:iCs/>
        </w:rPr>
        <w:t>that he will be present</w:t>
      </w:r>
      <w:r>
        <w:t xml:space="preserve"> for the people he is about to rescue. A related scholarly essay from The Biblical Mind makes a similar point: the Hebrews “did not need to know simply that God exists. They needed to know that he was present with them”</w:t>
      </w:r>
      <w:hyperlink w:anchor="cite_3" w:history="1">
        <w:r>
          <w:rPr>
            <w:color w:val="671C2A"/>
            <w:sz w:val="16"/>
            <w:vertAlign w:val="superscript"/>
          </w:rPr>
          <w:t>3</w:t>
        </w:r>
      </w:hyperlink>
      <w:r>
        <w:t>. The name is a promise wrapped inside a metaphysical claim.</w:t>
      </w:r>
    </w:p>
    <w:p w14:paraId="20909BCE" w14:textId="77777777" w:rsidR="009C7F52" w:rsidRDefault="00731002">
      <w:pPr>
        <w:pStyle w:val="BodyText"/>
      </w:pPr>
      <w:r>
        <w:t>This matters for a book about the Trinity because it establishes, from the very first major divine self-revelation in Scripture, the pattern the rest of the Bible will follow: God’s name is not humanity’s guess about the divine, invented from below, but God’s own disclosure, given from above, on his own initiative and in his own words. Everything Israel — and later the church — would come to understand about God’s nature had to be built on top of what God chose to reveal about himself, not on speculation. That includes the doctrine at the center of this book. The Trinity, like the name יהוה (YHWH), is not a philosophical import; it has to be traced back to what God actually said and did.</w:t>
      </w:r>
    </w:p>
    <w:p w14:paraId="66B5E4AE" w14:textId="77777777" w:rsidR="009C7F52" w:rsidRDefault="00731002">
      <w:pPr>
        <w:pStyle w:val="Heading3"/>
        <w:pBdr>
          <w:bottom w:val="single" w:sz="4" w:space="5" w:color="C8AE75"/>
        </w:pBdr>
      </w:pPr>
      <w:bookmarkStart w:id="7" w:name="Xfc7a3e82ebae8da9f8c86ee7dfbb8a51092eaef"/>
      <w:bookmarkEnd w:id="6"/>
      <w:r>
        <w:t>Yahweh, LORD, and the Reverence of a Name Too Holy to Say</w:t>
      </w:r>
    </w:p>
    <w:p w14:paraId="6B12E5EA" w14:textId="77777777" w:rsidR="009C7F52" w:rsidRDefault="00731002">
      <w:pPr>
        <w:pStyle w:val="FirstParagraph"/>
      </w:pPr>
      <w:r>
        <w:t>By the time the Hebrew Bible reached the form in which Jewish and Christian communities read it today, something remarkable had already happened to this name. Ancient Jewish reverence held יהוה (YHWH) — the tetragrammaton, from the Greek for “four letters” — to be too sacred to pronounce aloud in ordinary speech, and readers substituted the word אָדוֹן (</w:t>
      </w:r>
      <w:r>
        <w:rPr>
          <w:i/>
          <w:iCs/>
        </w:rPr>
        <w:t>adon</w:t>
      </w:r>
      <w:r>
        <w:t>, “lord” or “master”), in its form אֲדֹנָי (</w:t>
      </w:r>
      <w:r>
        <w:rPr>
          <w:i/>
          <w:iCs/>
        </w:rPr>
        <w:t>Adonai</w:t>
      </w:r>
      <w:r>
        <w:t>, “my Lord”), whenever they came to it in the text</w:t>
      </w:r>
      <w:hyperlink w:anchor="cite_4" w:history="1">
        <w:r>
          <w:rPr>
            <w:color w:val="671C2A"/>
            <w:sz w:val="16"/>
            <w:vertAlign w:val="superscript"/>
          </w:rPr>
          <w:t>4</w:t>
        </w:r>
      </w:hyperlink>
      <w:r>
        <w:t>. This is why most English Bibles render יהוה (YHWH) as “LORD” in small capital letters — a typographical signal that the underlying Hebrew is the personal name of God, not merely the generic word for “lord” or “master.” Because ancient Hebrew was written without vowels, and because the name eventually stopped being pronounced in ordinary reading, its original vocalization was partially lost to history; “Yahweh” is the scholarly reconstruction most widely accepted today, while “Jehovah” is a later, artificial hybrid form that entered the tradition through medieval and Reformation-era transliteration</w:t>
      </w:r>
      <w:hyperlink w:anchor="cite_5" w:history="1">
        <w:r>
          <w:rPr>
            <w:color w:val="671C2A"/>
            <w:sz w:val="16"/>
            <w:vertAlign w:val="superscript"/>
          </w:rPr>
          <w:t>5</w:t>
        </w:r>
      </w:hyperlink>
      <w:r>
        <w:t>. None of this uncertainty touches the substance of what the name reveals; it is simply the kind of question textual history always raises when it travels across languages and centuries.</w:t>
      </w:r>
    </w:p>
    <w:p w14:paraId="4F0B21C4" w14:textId="77777777" w:rsidR="009C7F52" w:rsidRDefault="00731002">
      <w:pPr>
        <w:pStyle w:val="BodyText"/>
      </w:pPr>
      <w:r>
        <w:t>What matters far more than pronunciation is exclusivity. Throughout the Old Testament, יהוה (YHWH) is not treated as one deity among many available options, nor as the Israelite tribal version of a common ancient Near Eastern god-type. He is presented as the only being who legitimately bears the name “God” in the fullest sense — the maker of heaven and earth, the covenant partner of Israel, and the sole rightful object of worship. This claim will matter enormously as we work through the next several chapters, because whatever complexity we discover inside Old Testament language about God, none of it is permitted to compromise this fundamental exclusivity.</w:t>
      </w:r>
    </w:p>
    <w:p w14:paraId="791B3B49" w14:textId="77777777" w:rsidR="009C7F52" w:rsidRDefault="00731002">
      <w:pPr>
        <w:pStyle w:val="Heading3"/>
        <w:pBdr>
          <w:bottom w:val="single" w:sz="4" w:space="5" w:color="C8AE75"/>
        </w:pBdr>
      </w:pPr>
      <w:bookmarkStart w:id="8" w:name="the-shema-israels-confession"/>
      <w:bookmarkEnd w:id="7"/>
      <w:r>
        <w:t>The Shema: Israel’s Confession</w:t>
      </w:r>
    </w:p>
    <w:p w14:paraId="24BE4C9E" w14:textId="77777777" w:rsidR="009C7F52" w:rsidRDefault="00731002">
      <w:pPr>
        <w:pStyle w:val="FirstParagraph"/>
      </w:pPr>
      <w:r>
        <w:t>If Exodus 3 reveals God’s name, Deuteronomy 6 states what Israel is to do with it. Moses, preparing the second generation of Israelites to enter the promised land, delivers what would become the most repeated sentence in Jewish liturgy: “Hear, O Israel: The LORD our God, the LORD is one” (Deuteronomy 6:4). This declaration — called the Shema after its opening Hebrew word, meaning “hear” — functions as Israel’s creed, its foundational confession of faith, recited morning and evening by observant Jews for millennia and still central to Jewish worship today</w:t>
      </w:r>
      <w:hyperlink w:anchor="cite_6" w:history="1">
        <w:r>
          <w:rPr>
            <w:color w:val="671C2A"/>
            <w:sz w:val="16"/>
            <w:vertAlign w:val="superscript"/>
          </w:rPr>
          <w:t>6</w:t>
        </w:r>
      </w:hyperlink>
      <w:r>
        <w:t>. One recent exegetical study calls it “the foundational verdict for God’s people,” noting how verses 4 through 9 function not merely as a statement of belief but as a total orientation of life around this one reality</w:t>
      </w:r>
      <w:hyperlink w:anchor="cite_7" w:history="1">
        <w:r>
          <w:rPr>
            <w:color w:val="671C2A"/>
            <w:sz w:val="16"/>
            <w:vertAlign w:val="superscript"/>
          </w:rPr>
          <w:t>7</w:t>
        </w:r>
      </w:hyperlink>
      <w:r>
        <w:t>. Another scholarly treatment describes the Shema as nothing less than “the total meaning of reality” for ancient Israel, tying Israel’s entire covenant identity to this single, compact affirmation</w:t>
      </w:r>
      <w:hyperlink w:anchor="cite_8" w:history="1">
        <w:r>
          <w:rPr>
            <w:color w:val="671C2A"/>
            <w:sz w:val="16"/>
            <w:vertAlign w:val="superscript"/>
          </w:rPr>
          <w:t>8</w:t>
        </w:r>
      </w:hyperlink>
      <w:r>
        <w:t>.</w:t>
      </w:r>
    </w:p>
    <w:p w14:paraId="338E0EDC" w14:textId="77777777" w:rsidR="009C7F52" w:rsidRDefault="00731002">
      <w:pPr>
        <w:pStyle w:val="BodyText"/>
      </w:pPr>
      <w:r>
        <w:t>The Hebrew behind “the LORD is one” is יְהוָה אֶחָד (</w:t>
      </w:r>
      <w:r>
        <w:rPr>
          <w:i/>
          <w:iCs/>
        </w:rPr>
        <w:t>YHWH echad</w:t>
      </w:r>
      <w:r>
        <w:t>, “the LORD is one”). Some translators render it “the LORD our God is one LORD,” others “the LORD our God, the LORD is one,” and the grammatical nuances of אֶחָד (</w:t>
      </w:r>
      <w:r>
        <w:rPr>
          <w:i/>
          <w:iCs/>
        </w:rPr>
        <w:t>echad</w:t>
      </w:r>
      <w:r>
        <w:t>, “one”) have generated real scholarly discussion about whether the primary force of the sentence is a claim about numerical uniqueness (there is only one יהוה, full stop) or about יהוה’s own unity and singularity of devotion owed to him (Israel must love this one God with an undivided heart, as the following verses immediately insist: “You shall love the LORD your God with all your heart and with all your soul and with all your might,” Deuteronomy 6:5). These readings are not mutually exclusive, and both are almost certainly present. The Shema asserts that יהוה (YHWH) alone is God — ruling out every rival claimant, whether Baal, Marduk, Ra, or any other god of the peoples surrounding Israel — and it demands a correspondingly undivided love and loyalty from God’s covenant people.</w:t>
      </w:r>
    </w:p>
    <w:p w14:paraId="6BDCD002" w14:textId="77777777" w:rsidR="009C7F52" w:rsidRDefault="00731002">
      <w:pPr>
        <w:pStyle w:val="Heading3"/>
        <w:pBdr>
          <w:bottom w:val="single" w:sz="4" w:space="5" w:color="C8AE75"/>
        </w:pBdr>
      </w:pPr>
      <w:bookmarkStart w:id="9" w:name="X48193b461b8d17f51fea1b9cb39d04344194948"/>
      <w:bookmarkEnd w:id="8"/>
      <w:r>
        <w:t>What Strict Monotheism Actually Claims — and Rules Out</w:t>
      </w:r>
    </w:p>
    <w:p w14:paraId="1124BE83" w14:textId="77777777" w:rsidR="009C7F52" w:rsidRDefault="00731002">
      <w:pPr>
        <w:pStyle w:val="FirstParagraph"/>
      </w:pPr>
      <w:r>
        <w:t>It is worth being precise here, because the word “monotheism” gets used loosely. Strict Old Testament monotheism, as expressed in the Shema and reinforced throughout the Torah and the Prophets, makes at least three claims. First, it is a claim about being: there is only one being who is truly, fully God — not one supreme god among many lesser ones (a view scholars call polytheism with a high god), and not one god who happens to be Israel’s preferred local deity while other nations legitimately worship their own gods (a view called henotheism). Second, it is a claim about worship: because only יהוה (YHWH) is God in this full sense, only he may be worshiped. The Ten Commandments open by forbidding any other gods “before me” and forbidding the making of any idol to bow down to (Exodus 20:2-5). Third, it is a claim about identity: יהוה is not a force, a principle, or an abstraction, but a personal being who acts in history, who speaks, who makes covenants, and who can be known, however partially, by the people he has bound himself to.</w:t>
      </w:r>
    </w:p>
    <w:p w14:paraId="49AD5CB7" w14:textId="77777777" w:rsidR="009C7F52" w:rsidRDefault="00731002">
      <w:pPr>
        <w:pStyle w:val="BodyText"/>
      </w:pPr>
      <w:r>
        <w:t>What this rules out is equally important. It rules out the idea that Israel’s God is merely the most powerful in a divine pantheon — a “high god” surrounded by rivals with real, independent divine status. It rules out the idea that other nations’ gods are simply יהוה (YHWH) under different regional names. And, centrally for the argument of this book, it rules out — from the very first chapter of Israel’s story — the possibility that later Christian claims about the Father, Son, and Spirit could mean three separate gods. Whatever the New Testament will eventually say about Jesus Christ and the Holy Spirit, it cannot say it in a way that abandons the Shema, because the New Testament writers were themselves Jews steeped in this confession, and they explicitly retained it. The apostle Paul, writing decades after the resurrection to a church full of both Jewish and Gentile believers, echoes the Shema almost verbatim: “there is no God but one… yet for us there is one God, the Father, from whom are all things and for whom we exist, and one Lord, Jesus Christ, through whom are all things and through whom we exist” (1 Corinthians 8:4-6). Whatever conclusion this book eventually reaches about Christ’s identity, it will have to be a conclusion that leaves the Shema fully intact rather than quietly discarding it.</w:t>
      </w:r>
    </w:p>
    <w:p w14:paraId="1ACAAA01" w14:textId="77777777" w:rsidR="009C7F52" w:rsidRDefault="00731002">
      <w:pPr>
        <w:pStyle w:val="Heading3"/>
        <w:pBdr>
          <w:bottom w:val="single" w:sz="4" w:space="5" w:color="C8AE75"/>
        </w:pBdr>
      </w:pPr>
      <w:bookmarkStart w:id="10" w:name="one-name-among-many-israelite-neighbors"/>
      <w:bookmarkEnd w:id="9"/>
      <w:r>
        <w:t>One Name Among Many Israelite Neighbors</w:t>
      </w:r>
    </w:p>
    <w:p w14:paraId="6BE8B3D0" w14:textId="77777777" w:rsidR="009C7F52" w:rsidRDefault="00731002">
      <w:pPr>
        <w:pStyle w:val="FirstParagraph"/>
      </w:pPr>
      <w:r>
        <w:t>It helps to remember what surrounded Israel when this confession was first spoken. The ancient Near East was crowded with gods — Baal the storm-god of Canaan, Marduk the patron deity of Babylon, Ra and Amun of Egypt, Chemosh of Moab, and dozens more, each typically tied to a particular city, function, or natural force, and each typically understood by its own worshipers to coexist peaceably with the gods of other nations. Religious pluralism, in that sense, was the ancient default; a Babylonian did not usually deny that Egypt’s gods were real, only that they mattered less to a Babylonian than Marduk did. Against this backdrop, the Shema’s claim is not merely that Israel prefers Yahweh to the alternatives; it is that the alternatives are not, in the relevant sense, gods at all. The prophets make this explicit and pointed: Isaiah mocks the makers of idols who fashion a god out of wood and worship “a thing that cannot save” (Isaiah 44:9-20), and the Psalms describe pagan idols as silver and gold “made by human hands,” with mouths that cannot speak and eyes that cannot see (Psalm 115:4-7). This is not a claim that Israel simply worships the strongest god available. It is a claim that reality itself contains exactly one true God, and every rival claimant is, at best, an image carved by human hands or, at worst, an entity the Old Testament associates with deception and spiritual danger rather than legitimate divine status.</w:t>
      </w:r>
    </w:p>
    <w:p w14:paraId="59472F64" w14:textId="77777777" w:rsidR="009C7F52" w:rsidRDefault="00731002">
      <w:pPr>
        <w:pStyle w:val="BodyText"/>
      </w:pPr>
      <w:r>
        <w:t>This is also why the giving of the divine name at the burning bush and the recitation of the Shema belong together as the twin foundation stones of Israel’s entire theological structure. The name discloses who God is in himself — self-existent, present, personal. The Shema declares what follows for Israel’s own life and worship — that this one, self-existent, present God permits no rivals and deserves total love. Everything else this book will examine over the following chapters, every piece of plural language, every angelic mystery, every hint of divine self-differentiation, is building material laid down carefully on top of this same double foundation. None of it is permitted to crack the foundation. That is not a limitation on how interesting or theologically rich the Old Testament’s picture of God can be — as later chapters will show, it turns out to be remarkably rich — but it is a hard boundary on what kind of richness is allowed to count as faithful interpretation.</w:t>
      </w:r>
    </w:p>
    <w:p w14:paraId="1AF200B2" w14:textId="77777777" w:rsidR="009C7F52" w:rsidRDefault="00731002">
      <w:pPr>
        <w:pStyle w:val="Heading3"/>
        <w:pBdr>
          <w:bottom w:val="single" w:sz="4" w:space="5" w:color="C8AE75"/>
        </w:pBdr>
      </w:pPr>
      <w:bookmarkStart w:id="11" w:name="X78855824e3426d6cba79f8524462fa1f4b542d2"/>
      <w:bookmarkEnd w:id="10"/>
      <w:r>
        <w:t>Why the Boundary Matters for What Follows</w:t>
      </w:r>
    </w:p>
    <w:p w14:paraId="51117FAF" w14:textId="77777777" w:rsidR="009C7F52" w:rsidRDefault="00731002">
      <w:pPr>
        <w:pStyle w:val="FirstParagraph"/>
      </w:pPr>
      <w:r>
        <w:t>This is why the chapters that follow are exercises in patience rather than shortcuts. The Old Testament will show us real texture, real complexity, and real hints of something more than a flat, undifferentiated unity within the being of God. But every single one of those hints has to be read in the shadow of Deuteronomy 6:4. Yahweh is one. Whatever else is true, that has to remain true. The question this book is asking — carefully, historically, and without skipping any steps — is whether “Yahweh is one” and “Yahweh is somehow three” can possibly both be true, and if so, how the biblical writers themselves began to see it. The name revealed at the burning bush and the confession recited every morning and evening in Israel’s worship are the two fixed points from which that whole inquiry has to launch. Before we can ask what the plural language, the mysterious angel, and the personified Wisdom of the Old Testament might mean, we have to know, with total clarity, what they cannot mean. They cannot mean that Yahweh is not one. That door is closed before we take a single further step, and everything gained in the chapters ahead will be gained without ever prying it back open.</w:t>
      </w:r>
    </w:p>
    <w:p w14:paraId="275C404E" w14:textId="77777777" w:rsidR="009C7F52" w:rsidRDefault="007D6CCB">
      <w:r>
        <w:rPr>
          <w:noProof/>
        </w:rPr>
      </w:r>
      <w:r w:rsidR="007D6CCB">
        <w:rPr>
          <w:noProof/>
        </w:rPr>
        <w:pict w14:anchorId="40790199">
          <v:rect id="_x0000_i1026" style="width:0;height:1.5pt" o:hralign="center" o:hrstd="t" o:hr="t"/>
        </w:pict>
      </w:r>
    </w:p>
    <w:p w14:paraId="191BC11D" w14:textId="77777777" w:rsidR="009F2F79" w:rsidRDefault="001A04A2">
      <w:pPr>
        <w:pStyle w:val="Heading3"/>
      </w:pPr>
      <w:r>
        <w:t>James White’s Whole-Bible Method</w:t>
      </w:r>
    </w:p>
    <w:p w14:paraId="58CC21AB" w14:textId="77777777" w:rsidR="009F2F79" w:rsidRDefault="001A04A2">
      <w:pPr>
        <w:pStyle w:val="FirstParagraph"/>
      </w:pPr>
      <w:r>
        <w:t>James R. White’s most important apologetic contribution is not a single proof text but a method: the doctrine of God must be formed from all that Scripture says, not from one isolated sentence forced to carry the entire argument. Biblical monotheism is therefore the starting point, not an obstacle to be overcome. Deuteronomy 6:4 and Isaiah 43:10–11, 44:6–8, 45:5–6, and 46:9 establish that Yahweh alone is God, that no god existed before him, and that none will arise after him. Any Christian doctrine that produced three independent divine beings would contradict that revelation and must be rejected.</w:t>
      </w:r>
    </w:p>
    <w:p w14:paraId="2A347670" w14:textId="77777777" w:rsidR="009F2F79" w:rsidRDefault="001A04A2">
      <w:pPr>
        <w:pStyle w:val="BodyText"/>
      </w:pPr>
      <w:r>
        <w:t>Yet the same commitment to the whole canon prevents the interpreter from using monotheism to silence the passages that distinguish the Father, the Son, and the Holy Spirit. Scripture’s unity requires both sets of data to remain intact. The Old Testament establishes the one divine Being; the New Testament identifies the Father as God, presents the Son with the names, works, glory, worship, and identity of Yahweh, and reveals the Holy Spirit as a personal divine agent. Trinitarian doctrine is the church’s attempt to confess all of that evidence at once.</w:t>
      </w:r>
    </w:p>
    <w:p w14:paraId="39B06DF2" w14:textId="77777777" w:rsidR="009F2F79" w:rsidRDefault="001A04A2">
      <w:pPr>
        <w:pStyle w:val="BodyText"/>
      </w:pPr>
      <w:r>
        <w:t>This approach may be described as both sola Scriptura and tota Scriptura. Scripture alone is the final authority, but the whole of Scripture must govern the conclusion. A doctrine is not faithful merely because it can quote a verse. It must explain the complete biblical witness without denying God’s oneness, reducing the Son or Spirit to creatures, or dissolving the real relations among Father, Son, and Spirit.</w:t>
      </w:r>
    </w:p>
    <w:p w14:paraId="4076ACCA" w14:textId="77777777" w:rsidR="009F2F79" w:rsidRDefault="001A04A2">
      <w:pPr>
        <w:pStyle w:val="Heading3"/>
      </w:pPr>
      <w:r>
        <w:t>The One God Is Infinite and Indivisible</w:t>
      </w:r>
    </w:p>
    <w:p w14:paraId="23CF8CFD" w14:textId="77777777" w:rsidR="009F2F79" w:rsidRDefault="001A04A2">
      <w:pPr>
        <w:pStyle w:val="FirstParagraph"/>
      </w:pPr>
      <w:r>
        <w:t>White’s defense of monotheism includes more than the numerical statement that only one God exists. Scripture presents the one God as unique in kind, unlimited in being, and utterly unlike the created order. Isaiah 40:13–18 asks who has directed the Spirit of Yahweh, instructed him, or served as his counselor. The questions are deliberately unanswerable. The nations are like a drop from a bucket, creation offers no adequate comparison, and no image can represent the Holy One. God is Creator; everything else is created. He is infinite; everything else is finite. This Creator-creature distinction explains why biblical monotheism cannot make room for lesser beings who possess deity in a reduced or secondary sense.</w:t>
      </w:r>
    </w:p>
    <w:p w14:paraId="6C6083F3" w14:textId="77777777" w:rsidR="009F2F79" w:rsidRDefault="001A04A2">
      <w:pPr>
        <w:pStyle w:val="BodyText"/>
      </w:pPr>
      <w:r>
        <w:t>Isaiah 40:21–28 extends the contrast. God sits above the earth, stretches out the heavens, reduces rulers to nothing, names the stars, never grows weary, and possesses inscrutable understanding. Isaiah 46:9–10 adds that no one is like him and that he declares the end from the beginning, accomplishing all his purpose. Jeremiah 10:10–11 calls Yahweh the living God and everlasting King and declares that the gods who did not make heaven and earth will perish. These passages do not merely rank Yahweh above other deities. They place Yahweh alone on the uncreated side of reality.</w:t>
      </w:r>
    </w:p>
    <w:p w14:paraId="4DB2EA67" w14:textId="77777777" w:rsidR="009F2F79" w:rsidRDefault="001A04A2">
      <w:pPr>
        <w:pStyle w:val="BodyText"/>
      </w:pPr>
      <w:r>
        <w:t>God’s spirituality and omnipresence also show why his Being cannot be divided. “God is spirit” (John 4:24), and he fills heaven and earth (Jeremiah 23:24). Divine omnipresence is not produced by distributing portions of God among different places. The whole divine Being is present without spatial extension or partition. There is no coherent “half” of omnipresence and no fraction of infinity. Therefore, when Father, Son, and Spirit each fully possess the divine Being, the doctrine does not divide God into thirds. Each person possesses the one simple and indivisible essence wholly.</w:t>
      </w:r>
    </w:p>
    <w:p w14:paraId="63D74543" w14:textId="77777777" w:rsidR="009F2F79" w:rsidRDefault="001A04A2">
      <w:pPr>
        <w:pStyle w:val="BodyText"/>
      </w:pPr>
      <w:r>
        <w:t>The same is true of eternity and immutability. God exists “from everlasting to everlasting” (Psalm 90:2) and does not change (Malachi 3:6). Numbers 23:19 distinguishes him from mutable humanity: what he promises, he performs. Psalm 33:6, 9 presents creation as the effect of his sovereign word, and Isaiah 44:24 identifies Yahweh as the one who made all things. These attributes belong to the one divine nature. When the New Testament attributes eternal existence, creation, providence, and unchanging glory to the Son and Spirit, it is not granting them a secondary divinity; it is identifying them within the one indivisible Being Scripture calls God.</w:t>
      </w:r>
    </w:p>
    <w:p w14:paraId="5488FEFE" w14:textId="77777777" w:rsidR="009F2F79" w:rsidRDefault="001A04A2">
      <w:pPr>
        <w:pStyle w:val="Heading3"/>
      </w:pPr>
      <w:r>
        <w:t>The One God Is Perfect in All His Being</w:t>
      </w:r>
    </w:p>
    <w:p w14:paraId="26AB4671" w14:textId="77777777" w:rsidR="009F2F79" w:rsidRDefault="001A04A2">
      <w:pPr>
        <w:pStyle w:val="FirstParagraph"/>
      </w:pPr>
      <w:r>
        <w:t>Biblical monotheism identifies not merely how many gods exist but what kind of God Yahweh is. The one God is not the greatest member of a class, an unusually powerful instance of deity, or a being who occupies the top position within a larger order. He is the uncreated Creator from whom, through whom, and to whom are all things (Romans 11:36). The traditional distinction between incommunicable and communicable attributes helps unfold this confession. Incommunicable attributes emphasize the ways God is unlike every creature: aseity, simplicity, eternity, infinity, immutability, incomprehensibility, omnipresence, omniscience, omnipotence, transcendence, invisibility, and sovereignty. Communicable attributes name perfections that creatures may reflect finitely—knowledge, wisdom, truthfulness, faithfulness, holiness, righteousness, justice, goodness, love, grace, mercy, patience, kindness, and compassion. The distinction is useful, but it never divides God into two sets of parts. Every perfection is the perfection of the one simple God.</w:t>
      </w:r>
    </w:p>
    <w:p w14:paraId="13BA33AC" w14:textId="77777777" w:rsidR="009F2F79" w:rsidRDefault="001A04A2">
      <w:pPr>
        <w:pStyle w:val="Heading3"/>
      </w:pPr>
      <w:r>
        <w:t>Aseity and Independence: Life in Himself</w:t>
      </w:r>
    </w:p>
    <w:p w14:paraId="695D000F" w14:textId="77777777" w:rsidR="009F2F79" w:rsidRDefault="001A04A2">
      <w:pPr>
        <w:pStyle w:val="FirstParagraph"/>
      </w:pPr>
      <w:r>
        <w:t>Aseity names God’s life from himself. Creatures receive existence; God does not. He is not sustained by matter, time, a prior cause, a law above him, or the worship of his creatures. At Athens Paul describes the Creator as the one who is not served by human hands as though he needed anything, because he himself gives life, breath, and everything else (Acts 17:24–25). John 5:26 is especially important for Trinitarian theology: as the Father has life in himself, so he has granted the Son to have life in himself. The language of grant does not describe the creation of a dependent Son. It names the Son’s eternal relation to the Father: the Son is from the Father, yet the life communicated is the identical self-existent divine life, not a lesser or borrowed kind of deity. Eternal generation preserves both personal order and full equality.</w:t>
      </w:r>
    </w:p>
    <w:p w14:paraId="2FD83098" w14:textId="77777777" w:rsidR="009F2F79" w:rsidRDefault="001A04A2">
      <w:pPr>
        <w:pStyle w:val="BodyText"/>
      </w:pPr>
      <w:r>
        <w:t>Divine independence does not mean isolation, apathy, or an inability to love. The triune God did not create in order to acquire fellowship. Before the world existed, the Father loved the Son (John 17:24), and the Spirit eternally belongs to the life and fellowship of God. Creation therefore proceeds from freedom and generosity rather than deficiency. God gains no perfection from the world, yet he truly wills, sustains, loves, judges, and redeems creatures. His relations to creation are real without becoming the source of his being or blessedness. This guards the gospel from a subtle reversal: God is not a needy deity completed by human response; sinners are needy creatures brought into the fullness of Father, Son, and Spirit by grace.</w:t>
      </w:r>
    </w:p>
    <w:p w14:paraId="13CCF556" w14:textId="77777777" w:rsidR="009F2F79" w:rsidRDefault="001A04A2">
      <w:pPr>
        <w:pStyle w:val="Heading3"/>
      </w:pPr>
      <w:r>
        <w:t>Simplicity: No Parts, No Rival Attributes</w:t>
      </w:r>
    </w:p>
    <w:p w14:paraId="38ECADF9" w14:textId="77777777" w:rsidR="009F2F79" w:rsidRDefault="001A04A2">
      <w:pPr>
        <w:pStyle w:val="FirstParagraph"/>
      </w:pPr>
      <w:r>
        <w:t>Divine simplicity means that God is not assembled from parts and does not possess attributes as additions to a more basic essence. A human being may grow wiser, lose strength, or act mercifully on one occasion and justly on another because creaturely qualities are limited and acquired. God does not participate in goodness, truth, life, or holiness as standards above himself. He is the living, good, true, holy God. This is why his love never competes with his justice, his mercy never suspends his holiness, and his sovereignty never outruns his wisdom. The cross does not reconcile discord within God; it displays the single holy purpose in which righteousness and peace meet, sin is judged, and sinners are saved (Romans 3:25–26). Distinguishing attributes is necessary for finite understanding, but the distinctions do not partition the divine essence.</w:t>
      </w:r>
    </w:p>
    <w:p w14:paraId="6ADAF91B" w14:textId="77777777" w:rsidR="009F2F79" w:rsidRDefault="001A04A2">
      <w:pPr>
        <w:pStyle w:val="BodyText"/>
      </w:pPr>
      <w:r>
        <w:t>Simplicity also protects the Trinity from tritheism. Father, Son, and Spirit are not three components whose combined perfections add up to God. Nor does each person possess one third of divine life. Because the essence is indivisible, each person wholly possesses the one divine nature and therefore all its perfections. The Father is not chiefly power, the Son chiefly wisdom, and the Spirit chiefly love, as though each supplied what the others lacked. Scripture may appropriate particular works or attributes to one person in order to display the personal order of God’s action, but whatever God does outwardly is the undivided work of the three. Simplicity denies composition of essence; it does not deny the real relations by which the persons are distinguished.</w:t>
      </w:r>
    </w:p>
    <w:p w14:paraId="6D935DDE" w14:textId="77777777" w:rsidR="009F2F79" w:rsidRDefault="001A04A2">
      <w:pPr>
        <w:pStyle w:val="Heading3"/>
      </w:pPr>
      <w:r>
        <w:t>Eternity, Infinity, and Immutability</w:t>
      </w:r>
    </w:p>
    <w:p w14:paraId="4984FE6A" w14:textId="77777777" w:rsidR="009F2F79" w:rsidRDefault="001A04A2">
      <w:pPr>
        <w:pStyle w:val="FirstParagraph"/>
      </w:pPr>
      <w:r>
        <w:t>God’s eternity is not merely endless duration. He possesses the fullness of divine life without beginning, decay, or the succession by which creatures pass from an incomplete past toward an unknown future. Psalm 90:2 confesses that before the mountains were born, from everlasting to everlasting he is God. Infinity means that no creaturely limit measures his being or perfections. He is not an object extended without end in space; he is spirit (John 4:24), present to every place without being contained by any place. Immutability follows: the perfect God does not become wiser, holier, stronger, or more divine, and he cannot lose what he eternally is. “I the LORD do not change” (Malachi 3:6) grounds covenant confidence rather than describing lifeless immobility.</w:t>
      </w:r>
    </w:p>
    <w:p w14:paraId="0E211096" w14:textId="77777777" w:rsidR="009F2F79" w:rsidRDefault="001A04A2">
      <w:pPr>
        <w:pStyle w:val="BodyText"/>
      </w:pPr>
      <w:r>
        <w:t>These perfections sharpen the confession that the Son and Spirit are coeternal and coequal with the Father. A Son who began would belong to the created side of the Creator-creature distinction. A Spirit whose power or presence could be measured would not be the Spirit who searches the depths of God, gives life, and fills the people of God. The incarnation introduces a new created relation and a complete human nature into the life of the eternal Son; it does not change the divine nature into humanity. The immutable Word becomes flesh not by ceasing to be what he was, but by assuming what he was not. The one person now lives in two modes of existence appropriate to two natures, while the divine essence remains infinite and unchanged.</w:t>
      </w:r>
    </w:p>
    <w:p w14:paraId="2586096F" w14:textId="77777777" w:rsidR="009F2F79" w:rsidRDefault="001A04A2">
      <w:pPr>
        <w:pStyle w:val="Heading3"/>
      </w:pPr>
      <w:r>
        <w:t>Incomprehensible Yet Truly Known</w:t>
      </w:r>
    </w:p>
    <w:p w14:paraId="2224B0FB" w14:textId="77777777" w:rsidR="009F2F79" w:rsidRDefault="001A04A2">
      <w:pPr>
        <w:pStyle w:val="FirstParagraph"/>
      </w:pPr>
      <w:r>
        <w:t>God is incomprehensible because the infinite cannot be exhaustively contained by a finite mind, not because revelation fails to communicate truth. Scripture’s teaching is neither univocal reduction—as though words such as good, wise, and living meant exactly the same thing in God and creatures—nor equivocation, as though they meant nothing recognizable. We know God truly because he accommodates his speech to creatures and supremely makes himself known in the Son; we never know him comprehensively because no created intellect becomes infinite. This distinction demands humility without skepticism. The Trinity is not a license to affirm contradictions and hide them beneath the word mystery. It is a revealed truth whose terms can be defined and whose biblical grounds can be examined, even while the manner of three persons subsisting in one undivided essence exceeds our imaginative grasp.</w:t>
      </w:r>
    </w:p>
    <w:p w14:paraId="74A655DC" w14:textId="77777777" w:rsidR="009C7F52" w:rsidRDefault="00731002">
      <w:pPr>
        <w:pStyle w:val="Heading2"/>
        <w:pBdr>
          <w:bottom w:val="single" w:sz="10" w:space="8" w:color="A68037"/>
        </w:pBdr>
      </w:pPr>
      <w:bookmarkStart w:id="12" w:name="Xe0371d772e6646d3587b881b7c045aba88b51ba"/>
      <w:bookmarkEnd w:id="5"/>
      <w:bookmarkEnd w:id="11"/>
      <w:r>
        <w:t>Chapter 2: Elohim and the Language of Plurality</w:t>
      </w:r>
    </w:p>
    <w:p w14:paraId="2C38E078" w14:textId="77777777" w:rsidR="009C7F52" w:rsidRDefault="00731002">
      <w:pPr>
        <w:pStyle w:val="FirstParagraph"/>
      </w:pPr>
      <w:r>
        <w:t>Open the first verse of the Bible in Hebrew and something odd is already happening in the grammar, something most English translations quietly smooth over. The word for “God” is plural in form but the verb attached to it is singular — a hiccup in the language that turns out to be one of the oldest puzzles in biblical interpretation.</w:t>
      </w:r>
    </w:p>
    <w:p w14:paraId="1D0825B3" w14:textId="77777777" w:rsidR="009C7F52" w:rsidRDefault="00731002">
      <w:pPr>
        <w:pStyle w:val="Heading3"/>
        <w:pBdr>
          <w:bottom w:val="single" w:sz="4" w:space="5" w:color="C8AE75"/>
        </w:pBdr>
      </w:pPr>
      <w:bookmarkStart w:id="13" w:name="a-plural-word-for-the-one-god"/>
      <w:r>
        <w:t>A Plural Word for the One God</w:t>
      </w:r>
    </w:p>
    <w:p w14:paraId="5C9B1027" w14:textId="77777777" w:rsidR="009C7F52" w:rsidRDefault="00731002">
      <w:pPr>
        <w:pStyle w:val="FirstParagraph"/>
      </w:pPr>
      <w:r>
        <w:t>The most common Hebrew word for God in the Old Testament is אֱלֹהִים (</w:t>
      </w:r>
      <w:r>
        <w:rPr>
          <w:i/>
          <w:iCs/>
        </w:rPr>
        <w:t>Elohim</w:t>
      </w:r>
      <w:r>
        <w:t xml:space="preserve">, “God” or “gods”). Its grammatical form is plural — the </w:t>
      </w:r>
      <w:r>
        <w:rPr>
          <w:i/>
          <w:iCs/>
        </w:rPr>
        <w:t>-im</w:t>
      </w:r>
      <w:r>
        <w:t xml:space="preserve"> ending is the standard Hebrew masculine plural suffix, the same ending found on ordinary plural nouns like מְלָכִים (</w:t>
      </w:r>
      <w:r>
        <w:rPr>
          <w:i/>
          <w:iCs/>
        </w:rPr>
        <w:t>melakhim</w:t>
      </w:r>
      <w:r>
        <w:t>, “kings”) or מַלְאָכִים (</w:t>
      </w:r>
      <w:r>
        <w:rPr>
          <w:i/>
          <w:iCs/>
        </w:rPr>
        <w:t>malakhim</w:t>
      </w:r>
      <w:r>
        <w:t xml:space="preserve">, “angels” or “messengers”). Yet in the overwhelming majority of its more than 2,500 occurrences, אֱלֹהִים is paired with singular verbs, singular adjectives, and singular pronouns when it refers to the God of Israel. Genesis 1:1 is the textbook example: “In the beginning, God (אֱלֹהִים, </w:t>
      </w:r>
      <w:r>
        <w:rPr>
          <w:i/>
          <w:iCs/>
        </w:rPr>
        <w:t>Elohim</w:t>
      </w:r>
      <w:r>
        <w:t xml:space="preserve">, plural in form) created (בָּרָא, </w:t>
      </w:r>
      <w:r>
        <w:rPr>
          <w:i/>
          <w:iCs/>
        </w:rPr>
        <w:t>bara</w:t>
      </w:r>
      <w:r>
        <w:t>, singular in form) the heavens and the earth.” The plural noun takes a singular verb from the very first sentence of the Bible</w:t>
      </w:r>
      <w:hyperlink w:anchor="cite_9" w:history="1">
        <w:r>
          <w:rPr>
            <w:color w:val="671C2A"/>
            <w:sz w:val="16"/>
            <w:vertAlign w:val="superscript"/>
          </w:rPr>
          <w:t>9</w:t>
        </w:r>
      </w:hyperlink>
      <w:r>
        <w:t>.</w:t>
      </w:r>
    </w:p>
    <w:p w14:paraId="43C796FD" w14:textId="77777777" w:rsidR="009C7F52" w:rsidRDefault="00731002">
      <w:pPr>
        <w:pStyle w:val="BodyText"/>
      </w:pPr>
      <w:r>
        <w:t>Hebrew grammarians have a well-established category for this: the “plural of majesty” or “plural of intensity,” in which a plural noun form is used to communicate greatness, fullness, or intensity of a quality rather than an actual numerical plurality of referents. English speakers see something structurally similar, though not identical, when royalty historically referred to themselves as “we” — the so-called “royal we.” On this reading, אֱלֹהִים (</w:t>
      </w:r>
      <w:r>
        <w:rPr>
          <w:i/>
          <w:iCs/>
        </w:rPr>
        <w:t>Elohim</w:t>
      </w:r>
      <w:r>
        <w:t>) signals the fullness of deity, the totality of divine power and majesty concentrated in the God of Israel, rather than a claim that God is a group of beings. This has been the majority position across most of the history of Hebrew grammar and remains a live, well-supported explanation today</w:t>
      </w:r>
      <w:hyperlink w:anchor="cite_10" w:history="1">
        <w:r>
          <w:rPr>
            <w:color w:val="671C2A"/>
            <w:sz w:val="16"/>
            <w:vertAlign w:val="superscript"/>
          </w:rPr>
          <w:t>10</w:t>
        </w:r>
      </w:hyperlink>
      <w:r>
        <w:t>. It is worth stating plainly and up front, because it forecloses one bad argument before we even get started: the plural form of אֱלֹהִים, by itself, is not evidence of a Trinity. The word is used the exact same way, with the exact same singular verb agreement, when the Old Testament refers to the pagan god Chemosh (1 Kings 11:33) or the false gods of Egypt in a singular sense. Grammar alone will not get us to three persons in one being.</w:t>
      </w:r>
    </w:p>
    <w:p w14:paraId="5AF83430" w14:textId="77777777" w:rsidR="009C7F52" w:rsidRDefault="00731002">
      <w:pPr>
        <w:pStyle w:val="BodyText"/>
      </w:pPr>
      <w:r>
        <w:t>But grammar alone is not the whole story either, and a good historian does not get to stop at the tidy explanation just because it is tidy. There is a second layer of data that the plural-of-majesty explanation does not, by itself, fully absorb: a handful of passages in which God does not merely bear a plural-form name but actually speaks of himself using plural pronouns.</w:t>
      </w:r>
    </w:p>
    <w:p w14:paraId="7EF6EBD4" w14:textId="77777777" w:rsidR="009C7F52" w:rsidRDefault="00731002">
      <w:pPr>
        <w:pStyle w:val="Heading3"/>
        <w:pBdr>
          <w:bottom w:val="single" w:sz="4" w:space="5" w:color="C8AE75"/>
        </w:pBdr>
      </w:pPr>
      <w:bookmarkStart w:id="14" w:name="let-us-make-genesis-126"/>
      <w:bookmarkEnd w:id="13"/>
      <w:r>
        <w:t>“Let Us Make”: Genesis 1:26</w:t>
      </w:r>
    </w:p>
    <w:p w14:paraId="61C20E69" w14:textId="77777777" w:rsidR="009C7F52" w:rsidRDefault="00731002">
      <w:pPr>
        <w:pStyle w:val="FirstParagraph"/>
      </w:pPr>
      <w:r>
        <w:t>At the climax of the creation account, after five days of forming the world by divine speech, God announces the creation of humanity with different language than anything before it: “Then God said, ‘Let us make man in our image, after our likeness’” (Genesis 1:26). This is the first time in the Bible that God speaks of himself in the plural, and it is not an isolated slip; a related plural shows up again when God says “the man has become like one of us” after the fall (Genesis 3:22), again at the tower of Babel (“Come, let us go down,” Genesis 11:7), and once more in Isaiah’s prophetic call vision (“Whom shall I send, and who will go for us?” Isaiah 6:8) — plural self-reference by God appears exactly these four times in the Hebrew Bible</w:t>
      </w:r>
      <w:hyperlink w:anchor="cite_11" w:history="1">
        <w:r>
          <w:rPr>
            <w:color w:val="671C2A"/>
            <w:sz w:val="16"/>
            <w:vertAlign w:val="superscript"/>
          </w:rPr>
          <w:t>11</w:t>
        </w:r>
      </w:hyperlink>
      <w:r>
        <w:t>.</w:t>
      </w:r>
    </w:p>
    <w:p w14:paraId="6CAFCFA6" w14:textId="77777777" w:rsidR="009C7F52" w:rsidRDefault="00731002">
      <w:pPr>
        <w:pStyle w:val="BodyText"/>
      </w:pPr>
      <w:r>
        <w:t>Historic Jewish and Christian interpreters have offered several explanations for this plural, and a responsible treatment has to walk through the real options rather than jumping straight to the one a given tradition prefers. One older Jewish reading, associated with Maimonides and others, suggested God is here consulting with the created order itself — the earth or the angels — inviting a kind of cooperative counsel before making humanity</w:t>
      </w:r>
      <w:hyperlink w:anchor="cite_12" w:history="1">
        <w:r>
          <w:rPr>
            <w:color w:val="671C2A"/>
            <w:sz w:val="16"/>
            <w:vertAlign w:val="superscript"/>
          </w:rPr>
          <w:t>12</w:t>
        </w:r>
      </w:hyperlink>
      <w:r>
        <w:t>. A second reading treats this, like אֱלֹהִים (</w:t>
      </w:r>
      <w:r>
        <w:rPr>
          <w:i/>
          <w:iCs/>
        </w:rPr>
        <w:t>Elohim</w:t>
      </w:r>
      <w:r>
        <w:t>) itself, as a plural of majesty — the exalted, self-deliberative speech of a great king announcing a decision, still referring to a numerical singular. A third reading, common among early church fathers and revived by many later Christian commentators, sees this as an early, veiled glimpse of plurality within the Godhead itself — not a full doctrine of the Trinity, but a suggestive hint that the one God who is about to make humanity “in his image” is not simply and flatly singular in the way a solitary human individual is singular. A fourth option, taken seriously by many contemporary Hebrew Bible scholars, reads “us” as God addressing the members of his heavenly court — the divine council of angelic beings introduced elsewhere in the Old Testament — inviting them to witness or participate in some sense in the creation of humanity, even though the actual verb of creation that follows (“God created man in his own image,” Genesis 1:27) reverts to the singular, meaning that God alone, not the council, does the actual creating</w:t>
      </w:r>
      <w:hyperlink w:anchor="cite_13" w:history="1">
        <w:r>
          <w:rPr>
            <w:color w:val="671C2A"/>
            <w:sz w:val="16"/>
            <w:vertAlign w:val="superscript"/>
          </w:rPr>
          <w:t>13</w:t>
        </w:r>
      </w:hyperlink>
      <w:r>
        <w:t>.</w:t>
      </w:r>
    </w:p>
    <w:p w14:paraId="2FBDF6A9" w14:textId="77777777" w:rsidR="009C7F52" w:rsidRDefault="00731002">
      <w:pPr>
        <w:pStyle w:val="BodyText"/>
      </w:pPr>
      <w:r>
        <w:t>Careful modern commentators are typically honest that no single explanation resolves the puzzle beyond dispute. The shift from plural (“let us make… in our image”) back to singular (“God created man in his own image,” “he created him”) within the space of two verses is itself telling: whatever is happening grammatically, the passage will not let us conclude that God is a plural being with a plural agency; the actual creative act is emphatically singular. What the text will not let us do is dismiss the plural as a meaningless fluke, either. It is there in the most theologically loaded moment of the creation narrative — humanity’s creation “in the image” of this God — and it deserves to be sat with rather than explained away in either direction.</w:t>
      </w:r>
    </w:p>
    <w:p w14:paraId="25AC85B1" w14:textId="77777777" w:rsidR="009C7F52" w:rsidRDefault="00731002">
      <w:pPr>
        <w:pStyle w:val="Heading3"/>
        <w:pBdr>
          <w:bottom w:val="single" w:sz="4" w:space="5" w:color="C8AE75"/>
        </w:pBdr>
      </w:pPr>
      <w:bookmarkStart w:id="15" w:name="let-us-go-down-the-tower-of-babel"/>
      <w:bookmarkEnd w:id="14"/>
      <w:r>
        <w:t>“Let Us Go Down”: The Tower of Babel</w:t>
      </w:r>
    </w:p>
    <w:p w14:paraId="66919809" w14:textId="77777777" w:rsidR="009C7F52" w:rsidRDefault="00731002">
      <w:pPr>
        <w:pStyle w:val="FirstParagraph"/>
      </w:pPr>
      <w:r>
        <w:t>The second occurrence of divine plural self-address comes at Babel, when humanity attempts to build a tower reaching to the heavens and God responds: “Come, let us go down and there confuse their language, so that they may not understand one another’s speech” (Genesis 11:7). As with Genesis 1:26, the immediately following narration describes a singular action: “So the LORD dispersed them from there over the face of all the earth” (Genesis 11:8) — singular verb, singular subject. Commentators note the same structural pattern seen in Genesis 1: plural deliberation followed by singular execution</w:t>
      </w:r>
      <w:hyperlink w:anchor="cite_14" w:history="1">
        <w:r>
          <w:rPr>
            <w:color w:val="671C2A"/>
            <w:sz w:val="16"/>
            <w:vertAlign w:val="superscript"/>
          </w:rPr>
          <w:t>14</w:t>
        </w:r>
      </w:hyperlink>
      <w:r>
        <w:t>. Some interpreters connect this instance to the divine council motif discussed below, seeing God here again addressing his heavenly attendants even as he alone acts. Others see it simply as a deliberate literary echo of Genesis 1:26, designed to remind the reader of creation even as humanity’s pride triggers a kind of un-creation, a scattering rather than a filling of the earth.</w:t>
      </w:r>
    </w:p>
    <w:p w14:paraId="7A828F12" w14:textId="77777777" w:rsidR="009C7F52" w:rsidRDefault="00731002">
      <w:pPr>
        <w:pStyle w:val="Heading3"/>
        <w:pBdr>
          <w:bottom w:val="single" w:sz="4" w:space="5" w:color="C8AE75"/>
        </w:pBdr>
      </w:pPr>
      <w:bookmarkStart w:id="16" w:name="the-divine-council-psalm-82-and-job-1"/>
      <w:bookmarkEnd w:id="15"/>
      <w:r>
        <w:t>The Divine Council: Psalm 82 and Job 1</w:t>
      </w:r>
    </w:p>
    <w:p w14:paraId="7DB7A4C4" w14:textId="77777777" w:rsidR="009C7F52" w:rsidRDefault="00731002">
      <w:pPr>
        <w:pStyle w:val="FirstParagraph"/>
      </w:pPr>
      <w:r>
        <w:t xml:space="preserve">The plural pronoun texts do not exist in isolation. They sit alongside a wider body of Old Testament language describing a heavenly assembly, sometimes called the divine council, in which יהוה (YHWH) is pictured presiding over other spiritual beings. Psalm 82 opens starkly: “God (אֱלֹהִים, </w:t>
      </w:r>
      <w:r>
        <w:rPr>
          <w:i/>
          <w:iCs/>
        </w:rPr>
        <w:t>Elohim</w:t>
      </w:r>
      <w:r>
        <w:t xml:space="preserve">) has taken his stand in the council of God (אֵל, </w:t>
      </w:r>
      <w:r>
        <w:rPr>
          <w:i/>
          <w:iCs/>
        </w:rPr>
        <w:t>El</w:t>
      </w:r>
      <w:r>
        <w:t>,”God” or “mighty one”); in the midst of the gods he holds judgment” (Psalm 82:1). The psalm proceeds to rebuke these “gods” for failing to administer justice and pronounces a sentence of mortality on them: “I said, ‘You are gods, sons of the Most High, all of you; nevertheless, like men you shall die’” (Psalm 82:6-7). Job 1 pictures something structurally similar without the courtroom language: “the sons of God came to present themselves before the LORD, and Satan also came among them” (Job 1:6).</w:t>
      </w:r>
    </w:p>
    <w:p w14:paraId="0938DD61" w14:textId="77777777" w:rsidR="009C7F52" w:rsidRDefault="00731002">
      <w:pPr>
        <w:pStyle w:val="BodyText"/>
      </w:pPr>
      <w:r>
        <w:t>What are these “gods” and “sons of God”? Scholarly opinion is not monolithic, but a substantial and growing body of Old Testament scholarship reads these as members of a genuine heavenly court of created spiritual beings — what later tradition would call angels — who serve, deliberate before, and are subordinate to יהוה (YHWH), the one true God who alone presides over the council and alone is worshiped by it</w:t>
      </w:r>
      <w:hyperlink w:anchor="cite_15" w:history="1">
        <w:r>
          <w:rPr>
            <w:color w:val="671C2A"/>
            <w:sz w:val="16"/>
            <w:vertAlign w:val="superscript"/>
          </w:rPr>
          <w:t>15</w:t>
        </w:r>
      </w:hyperlink>
      <w:r>
        <w:t>. One recent academic study argues that Psalm 82 uses this council imagery not as a fossilized mythological leftover from Israel’s polytheistic neighbors but as a deliberate theological argument about ethical accountability — YHWH judges even divine beings by the same standard of justice he requires of human rulers</w:t>
      </w:r>
      <w:hyperlink w:anchor="cite_16" w:history="1">
        <w:r>
          <w:rPr>
            <w:color w:val="671C2A"/>
            <w:sz w:val="16"/>
            <w:vertAlign w:val="superscript"/>
          </w:rPr>
          <w:t>16</w:t>
        </w:r>
      </w:hyperlink>
      <w:r>
        <w:t>. A close exegetical treatment of the psalm walks through the long-debated question of whether the “gods” being judged are human rulers functioning as God’s representatives or actual lesser spiritual beings, and concludes that the council imagery, on balance, points toward real spiritual beings under YHWH’s authority rather than a metaphor for human judges</w:t>
      </w:r>
      <w:hyperlink w:anchor="cite_17" w:history="1">
        <w:r>
          <w:rPr>
            <w:color w:val="671C2A"/>
            <w:sz w:val="16"/>
            <w:vertAlign w:val="superscript"/>
          </w:rPr>
          <w:t>17</w:t>
        </w:r>
      </w:hyperlink>
      <w:r>
        <w:t>.</w:t>
      </w:r>
    </w:p>
    <w:p w14:paraId="6591948C" w14:textId="77777777" w:rsidR="009C7F52" w:rsidRDefault="00731002">
      <w:pPr>
        <w:pStyle w:val="BodyText"/>
      </w:pPr>
      <w:r>
        <w:t>Crucially, this divine council language does exactly the opposite of undermining Israel’s monotheism; it reinforces it by subordination. The “gods” of Psalm 82 are creatures under judgment, mortal, accountable to יהוה (YHWH) — nothing like his equals. The council in Job 1 gathers “before the LORD” (Job 1:6), implying attendance on a sovereign, not a parliament of peers. Whatever else this language tells us about the Old Testament’s picture of the unseen spiritual realm, it never once treats these beings as rivals to YHWH’s unique deity. They are creatures, however exalted, standing before their Creator and Judge.</w:t>
      </w:r>
    </w:p>
    <w:p w14:paraId="1CFCB58C" w14:textId="77777777" w:rsidR="009C7F52" w:rsidRDefault="00731002">
      <w:pPr>
        <w:pStyle w:val="Heading3"/>
        <w:pBdr>
          <w:bottom w:val="single" w:sz="4" w:space="5" w:color="C8AE75"/>
        </w:pBdr>
      </w:pPr>
      <w:bookmarkStart w:id="17" w:name="Xa20851702014995b89879ee29c9a76ad3ecae8a"/>
      <w:bookmarkEnd w:id="16"/>
      <w:r>
        <w:t>Testing the “Plural of Majesty” Explanation</w:t>
      </w:r>
    </w:p>
    <w:p w14:paraId="25CD8AE9" w14:textId="77777777" w:rsidR="009C7F52" w:rsidRDefault="00731002">
      <w:pPr>
        <w:pStyle w:val="FirstParagraph"/>
      </w:pPr>
      <w:r>
        <w:t xml:space="preserve">The most common popular explanation for </w:t>
      </w:r>
      <w:r>
        <w:rPr>
          <w:i/>
          <w:iCs/>
        </w:rPr>
        <w:t>Elohim</w:t>
      </w:r>
      <w:r>
        <w:t>’s plural form is that Hebrew, like some other languages, uses a “plural of majesty” or “royal we” to add dignity or intensity to a singular referent — the way an English-speaking monarch might once have said “we are pleased to grant this request” while meaning only “I.” It is a tidy explanation, and it has the advantage of being easy to state in a single sentence from a pulpit or a study Bible footnote. It has one serious problem: contemporary Hebrew grammarians who have actually studied the evidence broadly agree that it does not describe how Biblical Hebrew actually works. Old Testament scholar Claus Westermann stated the consensus bluntly in his major commentary on Genesis: “The plural of majesty does not occur in Hebrew …, so this older explanation has been completely abandoned today”</w:t>
      </w:r>
      <w:hyperlink w:anchor="cite_18" w:history="1">
        <w:r>
          <w:rPr>
            <w:color w:val="671C2A"/>
            <w:sz w:val="16"/>
            <w:vertAlign w:val="superscript"/>
          </w:rPr>
          <w:t>18</w:t>
        </w:r>
      </w:hyperlink>
      <w:r>
        <w:t>. Gerhard Hasel’s detailed grammatical study of Genesis 1:26 reached the same conclusion after examining the verb forms directly: “there are no certain examples of plurals of majesty with either verbs or pronouns … There is no linguistic or grammatical basis upon which the ‘us’ can be considered to be a plural of majesty”</w:t>
      </w:r>
      <w:hyperlink w:anchor="cite_19" w:history="1">
        <w:r>
          <w:rPr>
            <w:color w:val="671C2A"/>
            <w:sz w:val="16"/>
            <w:vertAlign w:val="superscript"/>
          </w:rPr>
          <w:t>19</w:t>
        </w:r>
      </w:hyperlink>
      <w:r>
        <w:t xml:space="preserve">. This matters for the argument of this chapter, because it removes the easiest, least interesting explanation from the table. Whatever </w:t>
      </w:r>
      <w:r>
        <w:rPr>
          <w:i/>
          <w:iCs/>
        </w:rPr>
        <w:t>Elohim</w:t>
      </w:r>
      <w:r>
        <w:t>’s plural form is doing, and whatever explains God’s first-person plural self-address in Genesis 1:26 and 11:7, it is not simply a grammatical convention borrowed from royal etiquette that carries no theological freight at all. The plural language of the Old Testament’s most basic name for God is doing something that calls for a real explanation, not a label that dissolves the puzzle before it has even been examined.</w:t>
      </w:r>
    </w:p>
    <w:p w14:paraId="5956D852" w14:textId="77777777" w:rsidR="009C7F52" w:rsidRDefault="00731002">
      <w:pPr>
        <w:pStyle w:val="BodyText"/>
      </w:pPr>
      <w:r>
        <w:t xml:space="preserve">This is precisely why the range of explanations surveyed above — intensive plural, address to the heavenly court, or a genuine hint of plurality within the being of God himself — deserves to be taken seriously rather than waved away with a tidy grammatical label that does not, in fact, hold up under scrutiny. Hebrew possesses several well-documented plural categories that do not indicate multiple entities: the “plural of abstraction” that turns qualities into plural nouns (as in חַיִּים, </w:t>
      </w:r>
      <w:r>
        <w:rPr>
          <w:i/>
          <w:iCs/>
        </w:rPr>
        <w:t>chayyim</w:t>
      </w:r>
      <w:r>
        <w:t xml:space="preserve">, “life,” a plural form used for a singular concept), and various intensive plurals used for greatness or totality. </w:t>
      </w:r>
      <w:r>
        <w:rPr>
          <w:i/>
          <w:iCs/>
        </w:rPr>
        <w:t>Elohim</w:t>
      </w:r>
      <w:r>
        <w:t>’s plural form plausibly belongs to one of these documented categories most of the time it appears with singular verbs describing Israel’s God. But categories like “plural of abstraction” and “intensive plural” describe how a word functions grammatically; they do not, by themselves, explain why the text sometimes lets that same plural form bleed into plural verbs and plural self-address at the most theologically charged moments in the whole narrative. That is the harder question this chapter keeps circling back to, and it is a question grammar alone cannot fully answer.</w:t>
      </w:r>
    </w:p>
    <w:p w14:paraId="73B5AD29" w14:textId="77777777" w:rsidR="009C7F52" w:rsidRDefault="00731002">
      <w:pPr>
        <w:pStyle w:val="Heading3"/>
        <w:pBdr>
          <w:bottom w:val="single" w:sz="4" w:space="5" w:color="C8AE75"/>
        </w:pBdr>
      </w:pPr>
      <w:bookmarkStart w:id="18" w:name="X0222e2f0507cb1448a60a138326b910a918c6e1"/>
      <w:bookmarkEnd w:id="17"/>
      <w:r>
        <w:t>Other Divine Titles and the Question of Multiplicity</w:t>
      </w:r>
    </w:p>
    <w:p w14:paraId="1BC0E2E7" w14:textId="77777777" w:rsidR="009C7F52" w:rsidRDefault="00731002">
      <w:pPr>
        <w:pStyle w:val="FirstParagraph"/>
      </w:pPr>
      <w:r>
        <w:rPr>
          <w:i/>
          <w:iCs/>
        </w:rPr>
        <w:t>Elohim</w:t>
      </w:r>
      <w:r>
        <w:t xml:space="preserve"> does not stand alone as a title for God in the Hebrew Bible; the text also uses </w:t>
      </w:r>
      <w:r>
        <w:rPr>
          <w:i/>
          <w:iCs/>
        </w:rPr>
        <w:t>El</w:t>
      </w:r>
      <w:r>
        <w:t xml:space="preserve"> in various compound forms — אֵל עֶלְיוֹן (</w:t>
      </w:r>
      <w:r>
        <w:rPr>
          <w:i/>
          <w:iCs/>
        </w:rPr>
        <w:t>El Elyon</w:t>
      </w:r>
      <w:r>
        <w:t>, “God Most High”), אֵל שַׁדַּי (</w:t>
      </w:r>
      <w:r>
        <w:rPr>
          <w:i/>
          <w:iCs/>
        </w:rPr>
        <w:t>El Shaddai</w:t>
      </w:r>
      <w:r>
        <w:t>, “God Almighty”), and others — each highlighting a different facet of God’s character or relationship to his people</w:t>
      </w:r>
      <w:hyperlink w:anchor="cite_20" w:history="1">
        <w:r>
          <w:rPr>
            <w:color w:val="671C2A"/>
            <w:sz w:val="16"/>
            <w:vertAlign w:val="superscript"/>
          </w:rPr>
          <w:t>20</w:t>
        </w:r>
      </w:hyperlink>
      <w:r>
        <w:t xml:space="preserve">. These compound names use </w:t>
      </w:r>
      <w:r>
        <w:rPr>
          <w:i/>
          <w:iCs/>
        </w:rPr>
        <w:t>El</w:t>
      </w:r>
      <w:r>
        <w:t xml:space="preserve">, the singular form, not the plural </w:t>
      </w:r>
      <w:r>
        <w:rPr>
          <w:i/>
          <w:iCs/>
        </w:rPr>
        <w:t>Elohim</w:t>
      </w:r>
      <w:r>
        <w:t xml:space="preserve">, and this pattern is itself instructive: when the biblical writers want to emphasize a specific attribute of God — his transcendent supremacy, his all-sufficient power to provide — they consistently reach for the singular form. It is specifically </w:t>
      </w:r>
      <w:r>
        <w:rPr>
          <w:i/>
          <w:iCs/>
        </w:rPr>
        <w:t>Elohim</w:t>
      </w:r>
      <w:r>
        <w:t xml:space="preserve">, the name used in the Bible’s own foundational creation account and throughout its historical narrative prose, that carries the plural ending. This distribution suggests that the plural of </w:t>
      </w:r>
      <w:r>
        <w:rPr>
          <w:i/>
          <w:iCs/>
        </w:rPr>
        <w:t>Elohim</w:t>
      </w:r>
      <w:r>
        <w:t xml:space="preserve"> is not incidental background noise in the Hebrew language generally, but is doing something specific in the way the Old Testament introduces and narrates the character of the one true God — reinforcing, chapter after chapter, that there is more going on in how this God speaks of and reveals himself than a simple grammatical accident would predict, even while the singular verbs, singular pronouns everywhere else, and the entire architecture of Israel’s worship make it equally clear that this God remains, without compromise, one.</w:t>
      </w:r>
    </w:p>
    <w:p w14:paraId="51CD65B3" w14:textId="77777777" w:rsidR="009C7F52" w:rsidRDefault="00731002">
      <w:pPr>
        <w:pStyle w:val="Heading3"/>
        <w:pBdr>
          <w:bottom w:val="single" w:sz="4" w:space="5" w:color="C8AE75"/>
        </w:pBdr>
      </w:pPr>
      <w:bookmarkStart w:id="19" w:name="X534bffe7292118674b3f663ae5eda17aeaabfd0"/>
      <w:bookmarkEnd w:id="18"/>
      <w:r>
        <w:t>What This Grammar Does and Does Not Imply</w:t>
      </w:r>
    </w:p>
    <w:p w14:paraId="4FC35D31" w14:textId="77777777" w:rsidR="009C7F52" w:rsidRDefault="00731002">
      <w:pPr>
        <w:pStyle w:val="FirstParagraph"/>
      </w:pPr>
      <w:r>
        <w:t>It is time to state directly what a responsible reading of this evidence allows us to conclude, and what it forbids us from concluding. It is not responsible exegesis to claim that אֱלֹהִים (</w:t>
      </w:r>
      <w:r>
        <w:rPr>
          <w:i/>
          <w:iCs/>
        </w:rPr>
        <w:t>Elohim</w:t>
      </w:r>
      <w:r>
        <w:t>)’s plural form, by itself, proves a Trinity; the word is used identically of singular pagan deities, and the grammar of the “plural of majesty” adequately explains it on its own terms in the majority of cases. It is likewise not responsible to claim that the divine council passages introduce genuine rivals to YHWH’s uniqueness; the entire point of Psalm 82 is that these beings are subordinate and mortal, judged by the very God whose court they populate.</w:t>
      </w:r>
    </w:p>
    <w:p w14:paraId="14DB007D" w14:textId="77777777" w:rsidR="009C7F52" w:rsidRDefault="00731002">
      <w:pPr>
        <w:pStyle w:val="BodyText"/>
      </w:pPr>
      <w:r>
        <w:t>But it would be equally irresponsible to wave away the plural self-address texts — Genesis 1:26, 3:22, 11:7, and Isaiah 6:8 — as pure grammatical accident with no theological weight at all, especially given how consistently they appear at moments of major divine decision and how consistently the surrounding narration reverts to unambiguously singular action by God alone. The most defensible conclusion, and the one this book will build on, is a modest one: the Hebrew Bible’s language about God contains a persistent, unresolved texture of plurality-within-unity. It never abandons or compromises the fundamental confession that יהוה (YHWH) alone is God. But it also never flattens God into the kind of featureless numerical singularity that later strict unitarian theologies (Jewish, Muslim, or otherwise) would sometimes assume the Old Testament teaches. Whatever this texture ultimately means, the Old Testament writers leave it remarkably unexplained — introduced, then left standing, without a systematic theology built on top of it. That silence is itself significant, and it is a pattern we will meet again and again as this book proceeds: real data, honestly reported, patiently left short of a conclusion the text itself does not draw. The next chapter turns to an even stranger piece of this same puzzle — a figure who speaks in the first person as God, is worshiped as God, and yet is somehow distinguished from the God who sends him.</w:t>
      </w:r>
    </w:p>
    <w:p w14:paraId="30AE6D2A" w14:textId="77777777" w:rsidR="009C7F52" w:rsidRDefault="007D6CCB">
      <w:r>
        <w:rPr>
          <w:noProof/>
        </w:rPr>
      </w:r>
      <w:r w:rsidR="007D6CCB">
        <w:rPr>
          <w:noProof/>
        </w:rPr>
        <w:pict w14:anchorId="7D3F2C36">
          <v:rect id="_x0000_i1027" style="width:0;height:1.5pt" o:hralign="center" o:hrstd="t" o:hr="t"/>
        </w:pict>
      </w:r>
    </w:p>
    <w:p w14:paraId="2E9EAF1D" w14:textId="77777777" w:rsidR="009C7F52" w:rsidRDefault="00731002">
      <w:pPr>
        <w:pStyle w:val="Heading2"/>
        <w:pBdr>
          <w:bottom w:val="single" w:sz="10" w:space="8" w:color="A68037"/>
        </w:pBdr>
      </w:pPr>
      <w:bookmarkStart w:id="20" w:name="chapter-3-the-angel-of-the-lord"/>
      <w:bookmarkEnd w:id="12"/>
      <w:bookmarkEnd w:id="19"/>
      <w:r>
        <w:t>Chapter 3: The Angel of the LORD</w:t>
      </w:r>
    </w:p>
    <w:p w14:paraId="18B0B09F" w14:textId="77777777" w:rsidR="009C7F52" w:rsidRDefault="00731002">
      <w:pPr>
        <w:pStyle w:val="FirstParagraph"/>
      </w:pPr>
      <w:r>
        <w:t>A messenger arrives, delivers his message, and then says something no ordinary messenger should ever be able to say: “I am the God who saw you.” Readers who follow this figure through the Old Testament find themselves face to face with one of Scripture’s most carefully guarded mysteries.</w:t>
      </w:r>
    </w:p>
    <w:p w14:paraId="4D74895F" w14:textId="77777777" w:rsidR="009C7F52" w:rsidRDefault="00731002">
      <w:pPr>
        <w:pStyle w:val="Heading3"/>
        <w:pBdr>
          <w:bottom w:val="single" w:sz="4" w:space="5" w:color="C8AE75"/>
        </w:pBdr>
      </w:pPr>
      <w:bookmarkStart w:id="21" w:name="Xc0d330337b29c8af4b2392b197cecdf1894e74a"/>
      <w:r>
        <w:t>A Messenger Who Speaks as the One Who Sent Him</w:t>
      </w:r>
    </w:p>
    <w:p w14:paraId="0AC6D18A" w14:textId="77777777" w:rsidR="009C7F52" w:rsidRDefault="00731002">
      <w:pPr>
        <w:pStyle w:val="FirstParagraph"/>
      </w:pPr>
      <w:r>
        <w:t>The Hebrew Bible repeatedly introduces a figure called the מַלְאַךְ יְהוָה (</w:t>
      </w:r>
      <w:r>
        <w:rPr>
          <w:i/>
          <w:iCs/>
        </w:rPr>
        <w:t>mal’akh YHWH</w:t>
      </w:r>
      <w:r>
        <w:t>, literally “the messenger of Yahweh”), rendered in most English Bibles as “the angel of the LORD.” The ordinary Hebrew word מַלְאָךְ (</w:t>
      </w:r>
      <w:r>
        <w:rPr>
          <w:i/>
          <w:iCs/>
        </w:rPr>
        <w:t>mal’akh</w:t>
      </w:r>
      <w:r>
        <w:t>, “messenger” or “envoy”) simply means messenger or envoy, used of human diplomats and prophets as easily as of heavenly beings</w:t>
      </w:r>
      <w:hyperlink w:anchor="cite_21" w:history="1">
        <w:r>
          <w:rPr>
            <w:color w:val="671C2A"/>
            <w:sz w:val="16"/>
            <w:vertAlign w:val="superscript"/>
          </w:rPr>
          <w:t>21</w:t>
        </w:r>
      </w:hyperlink>
      <w:r>
        <w:t>. Nothing in the word itself demands a supernatural referent. What makes the “angel of the LORD” a genuine theological puzzle is not the title but the pattern of behavior attached to it across a specific set of narratives: this messenger speaks in the first person as though he were God himself, is addressed and worshiped as God, and yet in the same passages is described as distinct from “the LORD” who is said to have sent him. One recent survey of the phenomenon calls it “one of the strangest phenomena in the Hebrew Bible,” noting that this figure “appears repeatedly from Genesis to Zechariah” and that what makes him theologically charged “is not simply that he delivers messages from God”</w:t>
      </w:r>
      <w:hyperlink w:anchor="cite_22" w:history="1">
        <w:r>
          <w:rPr>
            <w:color w:val="671C2A"/>
            <w:sz w:val="16"/>
            <w:vertAlign w:val="superscript"/>
          </w:rPr>
          <w:t>22</w:t>
        </w:r>
      </w:hyperlink>
      <w:r>
        <w:t>.</w:t>
      </w:r>
    </w:p>
    <w:p w14:paraId="08614E50" w14:textId="77777777" w:rsidR="009C7F52" w:rsidRDefault="00731002">
      <w:pPr>
        <w:pStyle w:val="Heading3"/>
        <w:pBdr>
          <w:bottom w:val="single" w:sz="4" w:space="5" w:color="C8AE75"/>
        </w:pBdr>
      </w:pPr>
      <w:bookmarkStart w:id="22" w:name="hagar-in-the-wilderness-genesis-16"/>
      <w:bookmarkEnd w:id="21"/>
      <w:r>
        <w:t>Hagar in the Wilderness: Genesis 16</w:t>
      </w:r>
    </w:p>
    <w:p w14:paraId="180608DD" w14:textId="77777777" w:rsidR="009C7F52" w:rsidRDefault="00731002">
      <w:pPr>
        <w:pStyle w:val="FirstParagraph"/>
      </w:pPr>
      <w:r>
        <w:t>The pattern appears in its clearest early form when Hagar, pregnant and fleeing Sarah’s harsh treatment, encounters “the angel of the LORD” by a spring in the wilderness (Genesis 16:7). The angel speaks a promise in the first person — “I will surely multiply your offspring” (Genesis 16:10) — language that in the rest of the Old Testament is reserved for God’s own covenant speech. Hagar’s response confirms that she has understood this as a direct encounter with deity, not merely with a heavenly courier: “So she called the name of the LORD who spoke to her, ‘You are a God of seeing,’ for she said, ‘Truly here I have seen God and remained alive’” (Genesis 16:13). The Wikipedia summary of this episode captures the core observation precisely: “The angel speaks as God himself in the first person, and in verse 13 Hagar identifies ‘the LORD that spoke to her’” with the divine name itself</w:t>
      </w:r>
      <w:hyperlink w:anchor="cite_23" w:history="1">
        <w:r>
          <w:rPr>
            <w:color w:val="671C2A"/>
            <w:sz w:val="16"/>
            <w:vertAlign w:val="superscript"/>
          </w:rPr>
          <w:t>23</w:t>
        </w:r>
      </w:hyperlink>
      <w:r>
        <w:t>. A close reading of the passage’s Hebrew grammar and narrative logic likewise concludes that the angel of the LORD in this scene (1) speaks as God, using divine first-person promises; (2) receives divine titles, being called “the LORD” in verse 13; and (3) is treated as an object of theophany — a visible appearance of God — worthy of the astonished response Hagar gives</w:t>
      </w:r>
      <w:hyperlink w:anchor="cite_24" w:history="1">
        <w:r>
          <w:rPr>
            <w:color w:val="671C2A"/>
            <w:sz w:val="16"/>
            <w:vertAlign w:val="superscript"/>
          </w:rPr>
          <w:t>24</w:t>
        </w:r>
      </w:hyperlink>
      <w:r>
        <w:t>.</w:t>
      </w:r>
    </w:p>
    <w:p w14:paraId="3A8EC9CC" w14:textId="77777777" w:rsidR="009C7F52" w:rsidRDefault="00731002">
      <w:pPr>
        <w:pStyle w:val="Heading3"/>
        <w:pBdr>
          <w:bottom w:val="single" w:sz="4" w:space="5" w:color="C8AE75"/>
        </w:pBdr>
      </w:pPr>
      <w:bookmarkStart w:id="23" w:name="abraham-on-the-mountain-genesis-22"/>
      <w:bookmarkEnd w:id="22"/>
      <w:r>
        <w:t>Abraham on the Mountain: Genesis 22</w:t>
      </w:r>
    </w:p>
    <w:p w14:paraId="12E063D7" w14:textId="77777777" w:rsidR="009C7F52" w:rsidRDefault="00731002">
      <w:pPr>
        <w:pStyle w:val="FirstParagraph"/>
      </w:pPr>
      <w:r>
        <w:t>The same pattern recurs, arguably even more starkly, at the binding of Isaac. God commands Abraham to sacrifice his son (Genesis 22:1-2), and as Abraham raises the knife, “the angel of the LORD called to him from heaven and said, ‘Abraham, Abraham!’… ‘Do not lay your hand on the boy’” (Genesis 22:11-12). The angel then speaks in the very voice of the one who gave the original command: “because you have not withheld your son, your only son, from me” (Genesis 22:12) — “from me,” not “from God who sent me.” The angel calls a second time and delivers the covenant blessing in oath language belonging only to God: “By myself I have sworn, declares the LORD, because you have done this… I will surely bless you” (Genesis 22:15-17). Commentators surveying the passage note that the angel here “identifies as God” and “links himself as the God who commanded Abraham’s sacrifice” in the immediately preceding verses</w:t>
      </w:r>
      <w:hyperlink w:anchor="cite_25" w:history="1">
        <w:r>
          <w:rPr>
            <w:color w:val="671C2A"/>
            <w:sz w:val="16"/>
            <w:vertAlign w:val="superscript"/>
          </w:rPr>
          <w:t>25</w:t>
        </w:r>
      </w:hyperlink>
      <w:r>
        <w:t>. The oath is sworn “by myself,” the strongest possible self-referential divine oath formula in the Hebrew Bible, elsewhere used only of יהוה (YHWH) swearing by his own name because there is no greater being to swear by (compare Hebrews 6:13, reflecting on exactly this point). Whoever this speaker is, he speaks with an authority that belongs to God alone.</w:t>
      </w:r>
    </w:p>
    <w:p w14:paraId="4562E295" w14:textId="77777777" w:rsidR="009C7F52" w:rsidRDefault="00731002">
      <w:pPr>
        <w:pStyle w:val="Heading3"/>
        <w:pBdr>
          <w:bottom w:val="single" w:sz="4" w:space="5" w:color="C8AE75"/>
        </w:pBdr>
      </w:pPr>
      <w:bookmarkStart w:id="24" w:name="moses-and-the-burning-bush-exodus-3"/>
      <w:bookmarkEnd w:id="23"/>
      <w:r>
        <w:t>Moses and the Burning Bush: Exodus 3</w:t>
      </w:r>
    </w:p>
    <w:p w14:paraId="7D9B3FCC" w14:textId="77777777" w:rsidR="009C7F52" w:rsidRDefault="00731002">
      <w:pPr>
        <w:pStyle w:val="FirstParagraph"/>
      </w:pPr>
      <w:r>
        <w:t>The same identification-yet-distinction shows up again at the burning bush itself, the very scene examined in Chapter 1. Exodus 3:2 introduces “the angel of the LORD” appearing to Moses in the flame; by verse 4, the text says “God called to him out of the bush,” and the speaker identifies himself as “the God of Abraham, the God of Isaac, and the God of Jacob” (Exodus 3:6), the same self-identification later confirmed by the revelation of the divine name יהוה (YHWH) itself (Exodus 3:14-15). A detailed academic treatment of this passage’s textual history observes that “the present state of the Corpus makes it difficult to say precisely who appeared to Moses” with full grammatical certainty, given how fluidly the text moves between calling the speaker “the angel of the LORD” and simply “God” or “the LORD” within the same short scene</w:t>
      </w:r>
      <w:hyperlink w:anchor="cite_26" w:history="1">
        <w:r>
          <w:rPr>
            <w:color w:val="671C2A"/>
            <w:sz w:val="16"/>
            <w:vertAlign w:val="superscript"/>
          </w:rPr>
          <w:t>26</w:t>
        </w:r>
      </w:hyperlink>
      <w:r>
        <w:t>. This fluidity is not sloppy editing; it is a consistent narrative technique across every passage in this chapter, and it is the very feature that makes the angel of the LORD such an enduring theological puzzle.</w:t>
      </w:r>
    </w:p>
    <w:p w14:paraId="47EB74DD" w14:textId="77777777" w:rsidR="009C7F52" w:rsidRDefault="00731002">
      <w:pPr>
        <w:pStyle w:val="Heading3"/>
        <w:pBdr>
          <w:bottom w:val="single" w:sz="4" w:space="5" w:color="C8AE75"/>
        </w:pBdr>
      </w:pPr>
      <w:bookmarkStart w:id="25" w:name="Xfdc9055e961045f8de89feb767d8b8ddc65417f"/>
      <w:bookmarkEnd w:id="24"/>
      <w:r>
        <w:t>Bochim, Gideon, and Samson’s Parents: Judges 2, 6, and 13</w:t>
      </w:r>
    </w:p>
    <w:p w14:paraId="2EEF1096" w14:textId="77777777" w:rsidR="009C7F52" w:rsidRDefault="00731002">
      <w:pPr>
        <w:pStyle w:val="FirstParagraph"/>
      </w:pPr>
      <w:r>
        <w:t>The book of Judges preserves several more instances. At Bochim, “the angel of the LORD went up from Gilgal… and said, ‘I brought you up from Egypt and brought you into the land that I swore to give to your fathers’” (Judges 2:1) — again, first-person divine speech recalling the Exodus, an act nowhere else in Scripture attributed to any figure but יהוה (YHWH) himself. The most theologically dense of the Judges appearances comes in chapter 13, when “the angel of the LORD appeared to” Samson’s mother, a woman otherwise unnamed, promising the birth of a son set apart from birth for God’s purposes (Judges 13:3). When Manoah, Samson’s father, later asks the angel his name “so that we may honor you when your word comes to pass,” the angel replies, “Why do you ask my name, seeing it is wonderful?” (Judges 13:17-18) — a term, פֶּלִאִי (</w:t>
      </w:r>
      <w:r>
        <w:rPr>
          <w:i/>
          <w:iCs/>
        </w:rPr>
        <w:t>peli</w:t>
      </w:r>
      <w:r>
        <w:t>, “wonderful” or “incomprehensible”), that many commentators connect to the messianic title “Wonderful Counselor” applied to the coming king in Isaiah 9:6</w:t>
      </w:r>
      <w:hyperlink w:anchor="cite_27" w:history="1">
        <w:r>
          <w:rPr>
            <w:color w:val="671C2A"/>
            <w:sz w:val="16"/>
            <w:vertAlign w:val="superscript"/>
          </w:rPr>
          <w:t>27</w:t>
        </w:r>
      </w:hyperlink>
      <w:r>
        <w:t>. After the angel ascends in the flame of Manoah’s altar sacrifice, Manoah and his wife react with terror, concluding, “We have seen God” (Judges 13:22) — the identical logic of Hagar’s response in Genesis 16, applied a full book later to a very different family in a very different crisis.</w:t>
      </w:r>
    </w:p>
    <w:p w14:paraId="245C1D37" w14:textId="77777777" w:rsidR="009C7F52" w:rsidRDefault="00731002">
      <w:pPr>
        <w:pStyle w:val="Heading3"/>
        <w:pBdr>
          <w:bottom w:val="single" w:sz="4" w:space="5" w:color="C8AE75"/>
        </w:pBdr>
      </w:pPr>
      <w:bookmarkStart w:id="26" w:name="X58b30cd34aa670dcf2e96a1b8008dc853e55512"/>
      <w:bookmarkEnd w:id="25"/>
      <w:r>
        <w:t>Joshua the High Priest and Satan’s Accusation: Zechariah 3</w:t>
      </w:r>
    </w:p>
    <w:p w14:paraId="7CD98ED5" w14:textId="77777777" w:rsidR="009C7F52" w:rsidRDefault="00731002">
      <w:pPr>
        <w:pStyle w:val="FirstParagraph"/>
      </w:pPr>
      <w:r>
        <w:t>Centuries later, in a post-exilic vision, the prophet Zechariah sees “Joshua the high priest standing before the angel of the LORD, and Satan standing at his right hand to accuse him” (Zechariah 3:1). Here the angel functions as a judicial figure with authority to rebuke the accuser directly — “The LORD rebuke you, Satan!” (Zechariah 3:2) — and then personally to remove Joshua’s “filthy garments” and clothe him in clean ones, declaring, “I have taken your iniquity away from you” (Zechariah 3:4) — first-person divine forgiveness, exercised by the angel of the LORD acting with the LORD’s own prerogative to pardon sin</w:t>
      </w:r>
      <w:hyperlink w:anchor="cite_28" w:history="1">
        <w:r>
          <w:rPr>
            <w:color w:val="671C2A"/>
            <w:sz w:val="16"/>
            <w:vertAlign w:val="superscript"/>
          </w:rPr>
          <w:t>28</w:t>
        </w:r>
      </w:hyperlink>
      <w:r>
        <w:t>.</w:t>
      </w:r>
    </w:p>
    <w:p w14:paraId="41498900" w14:textId="77777777" w:rsidR="009C7F52" w:rsidRDefault="00731002">
      <w:pPr>
        <w:pStyle w:val="Heading3"/>
        <w:pBdr>
          <w:bottom w:val="single" w:sz="4" w:space="5" w:color="C8AE75"/>
        </w:pBdr>
      </w:pPr>
      <w:bookmarkStart w:id="27" w:name="my-name-is-in-him-exodus-2320-21"/>
      <w:bookmarkEnd w:id="26"/>
      <w:r>
        <w:t>“My Name Is in Him”: Exodus 23:20-21</w:t>
      </w:r>
    </w:p>
    <w:p w14:paraId="3D1995FF" w14:textId="77777777" w:rsidR="009C7F52" w:rsidRDefault="00731002">
      <w:pPr>
        <w:pStyle w:val="FirstParagraph"/>
      </w:pPr>
      <w:r>
        <w:t>One further passage deserves attention alongside the burning bush, because it states the identification between the angel and God in the most explicit terms found anywhere in the Pentateuch. As Israel prepares to leave Sinai for the promised land, God tells Moses, “Behold, I send an angel before you, to keep you by the way, and to bring you into the place which I have prepared. Pay attention to him, and listen to his voice. Don’t provoke him, for he will not pardon your disobedience, for my name is in him” (Exodus 23:20-21). The phrase “my name is in him” is doing serious theological work. In the Hebrew Bible, God’s “name” is never a mere label; it represents his very presence, character, and authority, which is why blasphemy of the divine name and false use of the divine name carry such severe warnings elsewhere in the Torah. An angel who bears the divine name within himself, in a context where obeying or rebelling against him carries the same weight as obeying or rebelling against God directly, is described in terms no ordinary created angel receives anywhere else in Scripture</w:t>
      </w:r>
      <w:hyperlink w:anchor="cite_29" w:history="1">
        <w:r>
          <w:rPr>
            <w:color w:val="671C2A"/>
            <w:sz w:val="16"/>
            <w:vertAlign w:val="superscript"/>
          </w:rPr>
          <w:t>29</w:t>
        </w:r>
      </w:hyperlink>
      <w:r>
        <w:t>. Commentators wrestling with this text consistently note the tension it creates for any interpretation that would flatten this angel into an ordinary created messenger: if the angel is merely a created being temporarily deputized to carry a message, the warning that disobeying him is unpardonable, on the same terms as disobeying God, becomes very difficult to explain in the text’s own terms</w:t>
      </w:r>
      <w:hyperlink w:anchor="cite_30" w:history="1">
        <w:r>
          <w:rPr>
            <w:color w:val="671C2A"/>
            <w:sz w:val="16"/>
            <w:vertAlign w:val="superscript"/>
          </w:rPr>
          <w:t>30</w:t>
        </w:r>
      </w:hyperlink>
      <w:r>
        <w:t>.</w:t>
      </w:r>
    </w:p>
    <w:p w14:paraId="199C3F0A" w14:textId="77777777" w:rsidR="009C7F52" w:rsidRDefault="00731002">
      <w:pPr>
        <w:pStyle w:val="Heading3"/>
        <w:pBdr>
          <w:bottom w:val="single" w:sz="4" w:space="5" w:color="C8AE75"/>
        </w:pBdr>
      </w:pPr>
      <w:bookmarkStart w:id="28" w:name="X2241a659fe55db2564371ae2ecc6b18a59076e2"/>
      <w:bookmarkEnd w:id="27"/>
      <w:r>
        <w:t>A Wrestling Match at the Jabbok: Genesis 32</w:t>
      </w:r>
    </w:p>
    <w:p w14:paraId="1A2B2F96" w14:textId="77777777" w:rsidR="009C7F52" w:rsidRDefault="00731002">
      <w:pPr>
        <w:pStyle w:val="FirstParagraph"/>
      </w:pPr>
      <w:r>
        <w:t>The strange nighttime encounter at the ford of the Jabbok adds yet another data point to this pattern, and it may be the most physically vivid of them all. Jacob, alone and anxious on the eve of reuniting with his estranged brother Esau, wrestles through the night with a mysterious “man” who will not identify himself, who dislocates Jacob’s hip with a single touch, and who, when morning approaches, blesses Jacob and renames him “Israel,” explaining the new name with the words, “for you have striven with God and with men, and have prevailed” (Genesis 32:28). Jacob himself draws the conclusion the text seems to invite: he names the place Peniel, saying, “I have seen God face to face, and yet my life is preserved” (Genesis 32:30). The ambiguity is built directly into the text — Jacob’s opponent is called “a man” throughout the wrestling itself, and only retrospectively, through the renaming and Jacob’s own naming of the place, does the narrative disclose that something more than an ordinary human or ordinary angelic encounter has taken place. Later Jewish interpretive tradition, reflected in the Targums and rabbinic commentary, generally identified Jacob’s opponent as an angel appearing in human form rather than a direct theophany, seeking to soften the tension of a text that otherwise has Jacob claiming to have seen God’s own face and lived</w:t>
      </w:r>
      <w:hyperlink w:anchor="cite_31" w:history="1">
        <w:r>
          <w:rPr>
            <w:color w:val="671C2A"/>
            <w:sz w:val="16"/>
            <w:vertAlign w:val="superscript"/>
          </w:rPr>
          <w:t>31</w:t>
        </w:r>
      </w:hyperlink>
      <w:r>
        <w:t>. Whether the reader lands on “angel” or “direct theophany” as the best label for what Jacob experienced, the passage adds one more example to an already substantial list of Old Testament scenes in which an encounter that begins as an ordinary human or angelic meeting resolves, by the end of the passage, into something that both the participant and the narrator are willing to call an encounter with God himself.</w:t>
      </w:r>
    </w:p>
    <w:p w14:paraId="05CD55E0" w14:textId="77777777" w:rsidR="009C7F52" w:rsidRDefault="00731002">
      <w:pPr>
        <w:pStyle w:val="Heading3"/>
        <w:pBdr>
          <w:bottom w:val="single" w:sz="4" w:space="5" w:color="C8AE75"/>
        </w:pBdr>
      </w:pPr>
      <w:bookmarkStart w:id="29" w:name="Xd04b63cf58fc48dd8aa6d548dae38cbfd2e638f"/>
      <w:bookmarkEnd w:id="28"/>
      <w:r>
        <w:t>Weighing the Later Christian Reading Responsibly</w:t>
      </w:r>
    </w:p>
    <w:p w14:paraId="316437AF" w14:textId="77777777" w:rsidR="009C7F52" w:rsidRDefault="00731002">
      <w:pPr>
        <w:pStyle w:val="FirstParagraph"/>
      </w:pPr>
      <w:r>
        <w:t>Given this accumulated pattern — a figure who speaks in the first person as God, bears God’s own name, receives worship without correction, and is repeatedly described in language that blurs the line between messenger and the One who sends him — it is not surprising that many later Christian interpreters, from the church fathers onward, identified the angel of the LORD as a “Christophany”: a pre-incarnate appearance of the eternal Son of God, temporarily manifesting himself to the patriarchs and prophets centuries before his human birth in Bethlehem. This reading has real interpretive appeal, and it is not an unreasonable inference once the New Testament’s later revelation about the Son is already in view. But responsible historical work requires a certain discipline here, and it cuts in more than one direction. On one hand, nothing in the Old Testament text itself names this figure “the Son,” and Old Testament readers had no way to draw that specific conclusion from what was in front of them; the identification depends on information the New Testament alone supplies. On the other hand, the theological instinct behind the Christophany reading is not groundless invention either — it is responding to something genuinely present in the text, namely a figure who is treated as fully continuous with Yahweh’s own identity and authority in a way that seems designed to prepare later readers for exactly the kind of divine self-differentiation the New Testament will eventually disclose</w:t>
      </w:r>
      <w:hyperlink w:anchor="cite_32" w:history="1">
        <w:r>
          <w:rPr>
            <w:color w:val="671C2A"/>
            <w:sz w:val="16"/>
            <w:vertAlign w:val="superscript"/>
          </w:rPr>
          <w:t>32</w:t>
        </w:r>
      </w:hyperlink>
      <w:r>
        <w:t>. The right posture, consistent with the discipline this whole Part is trying to model, is to hold the historical claim and the theological claim in their proper places: historically, the Old Testament text leaves the angel of the LORD’s precise identity genuinely open, refusing to resolve the mystery in its own terms; theologically, later Christian readers are on solid ground when they see this recurring figure as one of the clearest pieces of Old Testament evidence that God’s own being was never as flatly undifferentiated as a surface reading of strict monotheism might suggest — evidence, not proof, and preparation, not premature disclosure.</w:t>
      </w:r>
    </w:p>
    <w:p w14:paraId="6CB90F16" w14:textId="77777777" w:rsidR="009C7F52" w:rsidRDefault="00731002">
      <w:pPr>
        <w:pStyle w:val="Heading3"/>
        <w:pBdr>
          <w:bottom w:val="single" w:sz="4" w:space="5" w:color="C8AE75"/>
        </w:pBdr>
      </w:pPr>
      <w:bookmarkStart w:id="30" w:name="the-range-of-scholarly-views"/>
      <w:bookmarkEnd w:id="29"/>
      <w:r>
        <w:t>The Range of Scholarly Views</w:t>
      </w:r>
    </w:p>
    <w:p w14:paraId="1284A905" w14:textId="77777777" w:rsidR="009C7F52" w:rsidRDefault="00731002">
      <w:pPr>
        <w:pStyle w:val="FirstParagraph"/>
      </w:pPr>
      <w:r>
        <w:t>Given this consistent and striking pattern — first-person divine speech, divine titles, worship offered and accepted, combined with grammatical distinction from “the LORD” who sends the messenger — what has scholarship made of the angel of the LORD’s identity? Several positions have been argued, and an honest chapter has to represent the real range rather than pretending the matter is settled beyond dispute. Some conservative Christian interpreters, particularly within traditions eager to find early witnesses to the plurality within God, identify the angel of the LORD directly and specifically as a pre-incarnate appearance of the eternal Son — the second person of what the New Testament will reveal as the Trinity, appearing in human or angelic form before his birth in Bethlehem</w:t>
      </w:r>
      <w:hyperlink w:anchor="cite_33" w:history="1">
        <w:r>
          <w:rPr>
            <w:color w:val="671C2A"/>
            <w:sz w:val="16"/>
            <w:vertAlign w:val="superscript"/>
          </w:rPr>
          <w:t>33</w:t>
        </w:r>
      </w:hyperlink>
      <w:r>
        <w:t>. This reading, sometimes called a “Christophany” (a visible appearance of Christ before the incarnation), has deep roots reaching back to a number of early church fathers.</w:t>
      </w:r>
    </w:p>
    <w:p w14:paraId="0654D932" w14:textId="77777777" w:rsidR="009C7F52" w:rsidRDefault="00731002">
      <w:pPr>
        <w:pStyle w:val="BodyText"/>
      </w:pPr>
      <w:r>
        <w:t>Other interpreters — including many within careful evangelical and Reformed exegetical traditions, as well as the great majority of critical Old Testament scholars — are more cautious, holding that the text simply does not give us enough information to make a specific identification with one person of the Trinity, and that doing so risks reading later theological categories back into a text that predates their formal articulation by well over a millennium. On this view, the angel of the LORD functions as a kind of visible extension or manifestation of יהוה (YHWH)’s own presence and authority — sometimes described as bearing his own “name” in a technical sense (compare Exodus 23:20-21, where God says of “my angel,” “my name is in him”) — without the text specifying exactly how this manifestation relates to God’s own being. A representative survey of the phenomenon lists at least four historic explanatory options side by side: the angel as a specially commissioned created angelic messenger who speaks with delegated divine authority; the angel as a direct theophany of God the Father himself; the angel as the pre-incarnate Son; or some combination that the text simply does not resolve for us</w:t>
      </w:r>
      <w:hyperlink w:anchor="cite_34" w:history="1">
        <w:r>
          <w:rPr>
            <w:color w:val="671C2A"/>
            <w:sz w:val="16"/>
            <w:vertAlign w:val="superscript"/>
          </w:rPr>
          <w:t>34</w:t>
        </w:r>
      </w:hyperlink>
      <w:r>
        <w:t>.</w:t>
      </w:r>
    </w:p>
    <w:p w14:paraId="001D055F" w14:textId="77777777" w:rsidR="009C7F52" w:rsidRDefault="00731002">
      <w:pPr>
        <w:pStyle w:val="BodyText"/>
      </w:pPr>
      <w:r>
        <w:t>What can be said with real confidence, across this range of views, is this: the angel of the LORD texts are not throwaway details, and they are not explainable as simple scribal confusion between “angel” and “God.” The consistent literary pattern — divine first-person speech, divine titles, worship accepted rather than refused (contrast Revelation 22:8-9, where a genuinely created angel emphatically refuses John’s worship) — marks this figure as categorically different from every other angel in Scripture. Whether we call this a Christophany, a theophany, or simply an unresolved mystery the text leaves open, the angel of the LORD gives the careful reader of the Old Testament unmistakable evidence that the one God of Israel can, in some manner Scripture does not fully explain, be present and speak as himself through a figure who is also, somehow, distinguishable from “the LORD” who sends him. This is exactly the kind of textured, unresolved plurality-within-unity this book is tracking — real, significant, and not yet, on its own, sufficient to construct a full doctrine of the Trinity. That fuller construction will require the additional witness of Second Temple Jewish reflection on related texts, which is where we turn next.</w:t>
      </w:r>
    </w:p>
    <w:p w14:paraId="7463B572" w14:textId="77777777" w:rsidR="009C7F52" w:rsidRDefault="007D6CCB">
      <w:r>
        <w:rPr>
          <w:noProof/>
        </w:rPr>
      </w:r>
      <w:r w:rsidR="007D6CCB">
        <w:rPr>
          <w:noProof/>
        </w:rPr>
        <w:pict w14:anchorId="7B900774">
          <v:rect id="_x0000_i1028" style="width:0;height:1.5pt" o:hralign="center" o:hrstd="t" o:hr="t"/>
        </w:pict>
      </w:r>
    </w:p>
    <w:p w14:paraId="3034CF80" w14:textId="77777777" w:rsidR="009C7F52" w:rsidRDefault="00731002">
      <w:pPr>
        <w:pStyle w:val="Heading2"/>
        <w:pBdr>
          <w:bottom w:val="single" w:sz="10" w:space="8" w:color="A68037"/>
        </w:pBdr>
      </w:pPr>
      <w:bookmarkStart w:id="31" w:name="X2d31affd2c3d0f554244e351664167b5ed19197"/>
      <w:bookmarkEnd w:id="20"/>
      <w:bookmarkEnd w:id="30"/>
      <w:r>
        <w:t>Chapter 4: Two Powers in Heaven: Second Temple Jewish Thought</w:t>
      </w:r>
    </w:p>
    <w:p w14:paraId="750937BD" w14:textId="77777777" w:rsidR="009C7F52" w:rsidRDefault="00731002">
      <w:pPr>
        <w:pStyle w:val="FirstParagraph"/>
      </w:pPr>
      <w:r>
        <w:t>Centuries after the prophets fell silent, rabbis meeting in the wake of national catastrophe found themselves fighting a theological battle on a front they had not expected: not against paganism’s many gods, but against a reading of their own Scriptures that some Jews and early Christians were using to argue for two.</w:t>
      </w:r>
    </w:p>
    <w:p w14:paraId="7DAC507B" w14:textId="77777777" w:rsidR="009C7F52" w:rsidRDefault="00731002">
      <w:pPr>
        <w:pStyle w:val="Heading3"/>
        <w:pBdr>
          <w:bottom w:val="single" w:sz="4" w:space="5" w:color="C8AE75"/>
        </w:pBdr>
      </w:pPr>
      <w:bookmarkStart w:id="32" w:name="a-vision-of-two-thrones-daniel-7"/>
      <w:r>
        <w:t>A Vision of Two Thrones: Daniel 7</w:t>
      </w:r>
    </w:p>
    <w:p w14:paraId="5698846E" w14:textId="77777777" w:rsidR="009C7F52" w:rsidRDefault="00731002">
      <w:pPr>
        <w:pStyle w:val="FirstParagraph"/>
      </w:pPr>
      <w:r>
        <w:t>The book of Daniel, written amid the crises of exile and its aftermath, contains one of the most theologically loaded visions in the entire Old Testament. Daniel sees “thrones” being set in place and “one that was ancient of days” taking his seat, clothed in white, with hair like pure wool and a throne of fire (Daniel 7:9). This “Ancient of Days” is a vision of God himself in full sovereign majesty, presiding over a courtroom scene of final judgment. Then, in the same vision, “behold, with the clouds of heaven there came one like a son of man, and he came to the Ancient of Days and was presented before him” (Daniel 7:13). This figure is given something extraordinary: “dominion and glory and a kingdom, that all peoples, nations, and languages should serve him… his kingdom [is] one that shall not be destroyed” (Daniel 7:14) — universal, everlasting dominion, granted by the Ancient of Days himself and received by “one like a son of man” as a distinct figure standing before him.</w:t>
      </w:r>
    </w:p>
    <w:p w14:paraId="341D52A4" w14:textId="77777777" w:rsidR="009C7F52" w:rsidRDefault="00731002">
      <w:pPr>
        <w:pStyle w:val="BodyText"/>
      </w:pPr>
      <w:r>
        <w:t>Critical scholarship on this passage is careful, and rightly so, not to overclaim. As one detailed academic study of the passage notes, in Daniel 7 “the [son of man] is an individual, eschatological, celestial being with messianic traits,” yet the vision, taken on its own terms, “does not teach a ditheism,” because the son-of-man figure “assumes a role subordinate to the Ancient of Days” throughout the scene</w:t>
      </w:r>
      <w:hyperlink w:anchor="cite_35" w:history="1">
        <w:r>
          <w:rPr>
            <w:color w:val="671C2A"/>
            <w:sz w:val="16"/>
            <w:vertAlign w:val="superscript"/>
          </w:rPr>
          <w:t>35</w:t>
        </w:r>
      </w:hyperlink>
      <w:r>
        <w:t>. Another close study of the chapter’s structure emphasizes that “the authority of the Son of Man flowed from the Ancient of Days,” who alone grants dominion, glory, and kingship in verse 14</w:t>
      </w:r>
      <w:hyperlink w:anchor="cite_36" w:history="1">
        <w:r>
          <w:rPr>
            <w:color w:val="671C2A"/>
            <w:sz w:val="16"/>
            <w:vertAlign w:val="superscript"/>
          </w:rPr>
          <w:t>36</w:t>
        </w:r>
      </w:hyperlink>
      <w:r>
        <w:t>. What the vision undeniably does, though, is present two distinct heavenly figures — one clearly identified as God, the other clearly distinct from and subordinate to God, yet exalted to receive worship-adjacent universal dominion that in the rest of the Old Testament belongs to God alone. This is precisely the kind of “two throne” imagery that later Jewish interpreters would find both fascinating and, in some quarters, dangerous.</w:t>
      </w:r>
    </w:p>
    <w:p w14:paraId="63F83FE2" w14:textId="77777777" w:rsidR="009C7F52" w:rsidRDefault="00731002">
      <w:pPr>
        <w:pStyle w:val="Heading3"/>
        <w:pBdr>
          <w:bottom w:val="single" w:sz="4" w:space="5" w:color="C8AE75"/>
        </w:pBdr>
      </w:pPr>
      <w:bookmarkStart w:id="33" w:name="the-lord-says-to-my-lord-psalm-110"/>
      <w:bookmarkEnd w:id="32"/>
      <w:r>
        <w:t>“The LORD Says to My Lord”: Psalm 110</w:t>
      </w:r>
    </w:p>
    <w:p w14:paraId="45B7A6EE" w14:textId="77777777" w:rsidR="009C7F52" w:rsidRDefault="00731002">
      <w:pPr>
        <w:pStyle w:val="FirstParagraph"/>
      </w:pPr>
      <w:r>
        <w:t>A second text compounds the puzzle. Psalm 110, attributed to David, opens: “The LORD says to my Lord: ‘Sit at my right hand, until I make your enemies your footstool’” (Psalm 110:1). In the Hebrew, two different words for “Lord” appear: the first is יהוה (YHWH), the covenant name of God; the second is אֲדֹנִי (</w:t>
      </w:r>
      <w:r>
        <w:rPr>
          <w:i/>
          <w:iCs/>
        </w:rPr>
        <w:t>adoni</w:t>
      </w:r>
      <w:r>
        <w:t>, “my lord”), an ordinary word for a human or exalted superior. David, a king with no human superior in Israel, describes someone he calls “my Lord” — someone YHWH invites to share his own throne at his “right hand,” the position of highest honor and shared authority in the ancient world. Jesus himself, according to the Gospels, later pointed to precisely this grammatical oddity in a challenge to the religious leaders of his day: if the Messiah is merely David’s descendant, an ordinary human heir, why does David call him “Lord” (Matthew 22:41-45)? A representative modern discussion of the verse traces exactly this logic: “David says, ‘The LORD says to my Lord’… Jesus quotes this verse… in order to prove that the Messiah is more than David’s son; He is [David’s Lord as well]”</w:t>
      </w:r>
      <w:hyperlink w:anchor="cite_37" w:history="1">
        <w:r>
          <w:rPr>
            <w:color w:val="671C2A"/>
            <w:sz w:val="16"/>
            <w:vertAlign w:val="superscript"/>
          </w:rPr>
          <w:t>37</w:t>
        </w:r>
      </w:hyperlink>
      <w:r>
        <w:t>. Whatever David himself fully understood by the phrase, later Jewish and Christian interpreters alike recognized that the verse describes two distinct figures, both called “Lord,” in intimate shared authority.</w:t>
      </w:r>
    </w:p>
    <w:p w14:paraId="318BCC88" w14:textId="77777777" w:rsidR="009C7F52" w:rsidRDefault="00731002">
      <w:pPr>
        <w:pStyle w:val="Heading3"/>
        <w:pBdr>
          <w:bottom w:val="single" w:sz="4" w:space="5" w:color="C8AE75"/>
        </w:pBdr>
      </w:pPr>
      <w:bookmarkStart w:id="34" w:name="X37ebd6746795a9f2521169915f854238424d994"/>
      <w:bookmarkEnd w:id="33"/>
      <w:r>
        <w:t>Naming the Heresy: Alan Segal’s “Two Powers in Heaven”</w:t>
      </w:r>
    </w:p>
    <w:p w14:paraId="5B324F9A" w14:textId="77777777" w:rsidR="009C7F52" w:rsidRDefault="00731002">
      <w:pPr>
        <w:pStyle w:val="FirstParagraph"/>
      </w:pPr>
      <w:r>
        <w:t xml:space="preserve">It is at this point that the historian’s task becomes especially delicate, because a popular apologetic shorthand has grown up around texts like these — the phrase “two powers in heaven” — that risks overstating what the historical evidence actually supports. The phrase itself comes from real rabbinic history, and its proper scholarly source is a landmark 1977 study by the religious historian Alan F. Segal, </w:t>
      </w:r>
      <w:r>
        <w:rPr>
          <w:i/>
          <w:iCs/>
        </w:rPr>
        <w:t>Two Powers in Heaven: Early Rabbinic Reports about Christianity and Gnosticism</w:t>
      </w:r>
      <w:r>
        <w:t>, later republished by Brill Academic Publishers</w:t>
      </w:r>
      <w:hyperlink w:anchor="cite_38" w:history="1">
        <w:r>
          <w:rPr>
            <w:color w:val="671C2A"/>
            <w:sz w:val="16"/>
            <w:vertAlign w:val="superscript"/>
          </w:rPr>
          <w:t>38</w:t>
        </w:r>
      </w:hyperlink>
      <w:r>
        <w:t xml:space="preserve">. Segal’s careful historical work established that “two powers in heaven” (Hebrew: שְּתֵּי רְשוּיות, </w:t>
      </w:r>
      <w:r>
        <w:rPr>
          <w:i/>
          <w:iCs/>
        </w:rPr>
        <w:t>shtei reshuyot</w:t>
      </w:r>
      <w:r>
        <w:t>, “two powers/authorities”) was a specific category of heresy named and condemned in rabbinic literature from roughly the second century CE onward — the Mishnah and Talmud both preserve traditions in which certain rabbis warn against, or debate with, people accused of believing in “two powers” in heaven rather than one</w:t>
      </w:r>
      <w:hyperlink w:anchor="cite_39" w:history="1">
        <w:r>
          <w:rPr>
            <w:color w:val="671C2A"/>
            <w:sz w:val="16"/>
            <w:vertAlign w:val="superscript"/>
          </w:rPr>
          <w:t>39</w:t>
        </w:r>
      </w:hyperlink>
      <w:r>
        <w:t>.</w:t>
      </w:r>
    </w:p>
    <w:p w14:paraId="3424AAC0" w14:textId="77777777" w:rsidR="009C7F52" w:rsidRDefault="00731002">
      <w:pPr>
        <w:pStyle w:val="BodyText"/>
      </w:pPr>
      <w:r>
        <w:t xml:space="preserve">The crucial historical point Segal establishes, and the one this book must state with precision, is that this rabbinic controversy is a </w:t>
      </w:r>
      <w:r>
        <w:rPr>
          <w:i/>
          <w:iCs/>
        </w:rPr>
        <w:t>later</w:t>
      </w:r>
      <w:r>
        <w:t xml:space="preserve"> phenomenon — a reaction, developing chiefly in the second century and afterward, against interpretive trends the rabbis judged dangerous, including certain streams of early Christian theology and various forms of Jewish and Gnostic speculation about principal angelic or hypostatic mediator figures standing alongside God. It is not evidence that mainstream Second Temple Judaism (the several centuries of Jewish life and thought between roughly the Babylonian exile’s end and the destruction of the Jerusalem Temple in 70 CE) already held anything resembling a doctrine of the Trinity, or even a settled “two powers” theology of its own. What the rabbinic material shows is that texts like Daniel 7 and Psalm 110 — along with speculation about principal angels bearing the divine name, and later mystical traditions about exalted figures such as Enoch or Metatron — generated enough interpretive possibility within Judaism that some readers, in the century or two around the rise of Christianity, drew binitarian-leaning conclusions from them, and this alarmed the rabbis enough that they moved to close the door firmly on the question, insisting on an undivided unitary reading of Israel’s God.</w:t>
      </w:r>
    </w:p>
    <w:p w14:paraId="7DB75F7D" w14:textId="77777777" w:rsidR="009C7F52" w:rsidRDefault="00731002">
      <w:pPr>
        <w:pStyle w:val="BodyText"/>
      </w:pPr>
      <w:r>
        <w:t>The historian Larry Hurtado, in his own influential study of the period, makes a closely related point about the earliest church rather than about the rabbis: devout Jews of the Roman era were “characteristically concerned about the uniqueness of their God and held strong scruples about reserving worship for this God alone,” which makes the sudden and early Christian practice of directing worship to the risen Jesus alongside God the Father a striking innovation rather than a straightforward continuation of some pre-existing, widely-shared “two powers” consensus already present in Second Temple Judaism</w:t>
      </w:r>
      <w:hyperlink w:anchor="cite_40" w:history="1">
        <w:r>
          <w:rPr>
            <w:color w:val="671C2A"/>
            <w:sz w:val="16"/>
            <w:vertAlign w:val="superscript"/>
          </w:rPr>
          <w:t>40</w:t>
        </w:r>
      </w:hyperlink>
      <w:r>
        <w:t>. Hurtado is explicit that in the decade since publishing his initial judgment, “no one has in fact been able to show this judgement to have been incorrect” — that the early Christian pattern of worship, in which devotion is given to both God the Father and the risen Jesus, appears to be “a novel innovation in Roman-era Jewish religious practice” rather than the simple continuation of an already-agreed binitarian Judaism</w:t>
      </w:r>
      <w:hyperlink w:anchor="cite_41" w:history="1">
        <w:r>
          <w:rPr>
            <w:color w:val="671C2A"/>
            <w:sz w:val="16"/>
            <w:vertAlign w:val="superscript"/>
          </w:rPr>
          <w:t>41</w:t>
        </w:r>
      </w:hyperlink>
      <w:r>
        <w:t>.</w:t>
      </w:r>
    </w:p>
    <w:p w14:paraId="7ED73325" w14:textId="77777777" w:rsidR="009C7F52" w:rsidRDefault="00731002">
      <w:pPr>
        <w:pStyle w:val="Heading3"/>
        <w:pBdr>
          <w:bottom w:val="single" w:sz="4" w:space="5" w:color="C8AE75"/>
        </w:pBdr>
      </w:pPr>
      <w:bookmarkStart w:id="35" w:name="X0378c6ed00a2b41a1af48de7d0615ff6b6a2b0f"/>
      <w:bookmarkEnd w:id="34"/>
      <w:r>
        <w:t>Enoch, Metatron, and the Wider Speculative Landscape</w:t>
      </w:r>
    </w:p>
    <w:p w14:paraId="20D2127F" w14:textId="77777777" w:rsidR="009C7F52" w:rsidRDefault="00731002">
      <w:pPr>
        <w:pStyle w:val="FirstParagraph"/>
      </w:pPr>
      <w:r>
        <w:t>Daniel and the Psalter were not the only texts feeding this speculative fire. Second Temple Judaism produced an entire literature of visionary and apocalyptic writing that explored, often in vivid and imaginative detail, the populated world of God’s heavenly court and the fate of especially righteous human figures within it. The patriarch Enoch, mentioned only briefly in Genesis as a man who “walked with God” and was mysteriously taken rather than dying (Genesis 5:24), became in later Jewish tradition the subject of an entire cycle of visionary literature describing his ascent into heaven and his transformation into a supremely exalted angelic figure. The latest and most extreme stage of this tradition, found in the Hebrew work known as 3 Enoch, identifies the translated patriarch with the angel Metatron and describes his exaltation “in the most extravagant terms the tradition ever reached,” including titles and prerogatives that edge remarkably close to describing a second, subordinate seat of divine authority within heaven itself</w:t>
      </w:r>
      <w:hyperlink w:anchor="cite_42" w:history="1">
        <w:r>
          <w:rPr>
            <w:color w:val="671C2A"/>
            <w:sz w:val="16"/>
            <w:vertAlign w:val="superscript"/>
          </w:rPr>
          <w:t>42</w:t>
        </w:r>
      </w:hyperlink>
      <w:r>
        <w:t>. Rabbinic and mystical sources associated with the Hekhalot literature — visionary texts describing journeys through the heavenly palaces — went so far as to describe Metatron in some traditions as bearing a form of the divine name itself, a “lesser YHWH,” language scholars have studied closely as a case study in exactly the kind of principal-angel exaltation that could, and evidently sometimes did, tip into the kind of “two powers” reading the rabbis found alarming</w:t>
      </w:r>
      <w:hyperlink w:anchor="cite_43" w:history="1">
        <w:r>
          <w:rPr>
            <w:color w:val="671C2A"/>
            <w:sz w:val="16"/>
            <w:vertAlign w:val="superscript"/>
          </w:rPr>
          <w:t>43</w:t>
        </w:r>
      </w:hyperlink>
      <w:r>
        <w:t>. This tradition is later than the Old Testament itself and reflects a complex, multi-century development within Jewish mysticism rather than anything taught directly in Scripture, but it illustrates just how far Second Temple and post–Second Temple Jewish imagination was willing to travel down the path opened by texts like Daniel 7, without ever formally abandoning Israel’s confession that Yahweh alone is truly God.</w:t>
      </w:r>
    </w:p>
    <w:p w14:paraId="361C55F3" w14:textId="77777777" w:rsidR="009C7F52" w:rsidRDefault="00731002">
      <w:pPr>
        <w:pStyle w:val="BodyText"/>
      </w:pPr>
      <w:r>
        <w:t>A parallel and independent case comes from Hellenistic Jewish philosophy rather than Palestinian apocalyptic literature. Philo of Alexandria, the first-century Jewish philosopher who attempted a large-scale synthesis of Jewish Scripture and Greek philosophical categories, described the divine Logos — God’s rational Word, discussed at length in Chapter 5 — in terms that some interpreters, both ancient and modern, have found startlingly close to describing a “second God.” Philo calls the Logos God’s eldest son, the image of God, and, in one striking formulation, “the second God,” though how literally this Hellenistic-philosophical language should be pressed remains a genuinely contested question among specialists in Philo’s thought</w:t>
      </w:r>
      <w:hyperlink w:anchor="cite_44" w:history="1">
        <w:r>
          <w:rPr>
            <w:color w:val="671C2A"/>
            <w:sz w:val="16"/>
            <w:vertAlign w:val="superscript"/>
          </w:rPr>
          <w:t>44</w:t>
        </w:r>
      </w:hyperlink>
      <w:r>
        <w:t>. Philo was, by every indication, a committed and serious monotheist working within the mainstream of Hellenistic Judaism, not a heretic or an outlier read out of the community. That a thinker of his stature and orthodoxy could use language this bold about a mediating divine figure, entirely independent of and prior to Christian influence, shows that the conceptual space this book has been describing — the space between flat unitarian simplicity and full trinitarian revelation — was not a marginal curiosity within Second Temple Judaism. It was being explored from more than one direction at once: through apocalyptic visions of exalted angels in Palestine, and through philosophical reflection on the divine Logos in the Greek-speaking Jewish world of Alexandria.</w:t>
      </w:r>
    </w:p>
    <w:p w14:paraId="781A0D83" w14:textId="77777777" w:rsidR="009C7F52" w:rsidRDefault="00731002">
      <w:pPr>
        <w:pStyle w:val="BodyText"/>
      </w:pPr>
      <w:r>
        <w:t>None of this evidence, again, adds up to Second Temple Judaism secretly holding a Trinity, or even a single agreed theology of a second divine hypostasis. Orlov, one of the leading contemporary scholars of the Enoch-Metatron traditions, and Segal both emphasize that these traditions remain fluid, contested, and regionally variable rather than forming one settled doctrine</w:t>
      </w:r>
      <w:hyperlink w:anchor="cite_45" w:history="1">
        <w:r>
          <w:rPr>
            <w:color w:val="671C2A"/>
            <w:sz w:val="16"/>
            <w:vertAlign w:val="superscript"/>
          </w:rPr>
          <w:t>45</w:t>
        </w:r>
      </w:hyperlink>
      <w:r>
        <w:t>. What it shows, cumulatively, is that Israel’s rigorous monotheism and its capacity to imagine highly exalted mediating figures were not, in the Jewish mind of this period, experienced as being in tension with one another — until the rise of a movement that made an unprecedented and specific claim: that one particular, historically identifiable human being, crucified under Pilate and raised on the third day, was to be worshiped as fully and unreservedly divine alongside the God of Israel. That claim, and not the prior speculative tradition, is what provoked the rabbinic crackdown Segal documents. The Old Testament and the wider Second Temple imagination had opened a door; early Christianity is the movement that walked all the way through it and never came back.</w:t>
      </w:r>
    </w:p>
    <w:p w14:paraId="1A854A4F" w14:textId="77777777" w:rsidR="009C7F52" w:rsidRDefault="00731002">
      <w:pPr>
        <w:pStyle w:val="Heading3"/>
        <w:pBdr>
          <w:bottom w:val="single" w:sz="4" w:space="5" w:color="C8AE75"/>
        </w:pBdr>
      </w:pPr>
      <w:bookmarkStart w:id="36" w:name="X4bf054f5fffb67372c6afe8d354e3d068226bf1"/>
      <w:bookmarkEnd w:id="35"/>
      <w:r>
        <w:t>What Second Temple Speculation Did and Did Not Conclude</w:t>
      </w:r>
    </w:p>
    <w:p w14:paraId="06808BF3" w14:textId="77777777" w:rsidR="009C7F52" w:rsidRDefault="00731002">
      <w:pPr>
        <w:pStyle w:val="FirstParagraph"/>
      </w:pPr>
      <w:r>
        <w:t>Putting these threads together, the historically responsible summary looks like this. Second Temple Jewish thought was demonstrably capable of imagining exalted, semi-divine mediator figures — principal angels, glorified patriarchs, personified attributes of God such as Wisdom (the subject of our next chapter) — who could, in certain texts and certain interpretive communities, be described in startlingly elevated terms, sharing God’s throne, God’s name, or God’s authority in some derivative sense. Daniel 7 and Psalm 110 are two of the biblical texts that fed this kind of speculation most directly, precisely because they present, within the Old Testament’s own pages, two heavenly figures in strikingly close relationship, one clearly subordinate to the other yet exalted far beyond any ordinary angel or human being. This speculation was serious enough, and widespread enough by the early centuries CE, that it eventually provoked an organized rabbinic response condemning “two powers in heaven” as heresy — the very existence of that condemnation is itself evidence that the underlying speculative possibility had real traction within Jewish thought, not merely within the fledgling church.</w:t>
      </w:r>
    </w:p>
    <w:p w14:paraId="0C859530" w14:textId="77777777" w:rsidR="009C7F52" w:rsidRDefault="00731002">
      <w:pPr>
        <w:pStyle w:val="BodyText"/>
      </w:pPr>
      <w:r>
        <w:t>What this body of material does not show is that Second Temple Judaism, taken as a whole, had already arrived at anything like a doctrine of the Trinity, or even a stable, agreed “two powers” theology of its own that early Christianity simply inherited wholesale. The rabbinic sources Segal studied are best read as a later, defensive tightening of monotheistic boundaries in response to a real but diffuse and contested set of possibilities — possibilities that Daniel and the Psalter had left open centuries earlier without ever resolving them into settled doctrine. This is the disciplined, historically accountable claim this book will keep returning to: the raw materials for later Christian reflection on the plurality within God’s unity are genuinely present in the Old Testament and in the interpretive ferment of Second Temple Judaism, but “raw materials” is exactly the right phrase. They are not a finished blueprint. What Daniel 7 and Psalm 110 open up, and what Second Temple speculation shows was a live and contested question, only receives its full answer later — in the ministry, death, and resurrection of Jesus of Nazareth, and in the outpoured Spirit of Pentecost. Before we can turn there, however, one more strand of Old Testament testimony deserves its own careful hearing: the language of personified Wisdom, Word, and Spirit, which speaks of God’s own self-expression in terms almost, but not quite, describing another person.</w:t>
      </w:r>
    </w:p>
    <w:p w14:paraId="7BB916D8" w14:textId="77777777" w:rsidR="009C7F52" w:rsidRDefault="007D6CCB">
      <w:r>
        <w:rPr>
          <w:noProof/>
        </w:rPr>
      </w:r>
      <w:r w:rsidR="007D6CCB">
        <w:rPr>
          <w:noProof/>
        </w:rPr>
        <w:pict w14:anchorId="5F7AE673">
          <v:rect id="_x0000_i1029" style="width:0;height:1.5pt" o:hralign="center" o:hrstd="t" o:hr="t"/>
        </w:pict>
      </w:r>
    </w:p>
    <w:p w14:paraId="06AE5675" w14:textId="77777777" w:rsidR="009C7F52" w:rsidRDefault="00731002">
      <w:pPr>
        <w:pStyle w:val="Heading2"/>
        <w:pBdr>
          <w:bottom w:val="single" w:sz="10" w:space="8" w:color="A68037"/>
        </w:pBdr>
      </w:pPr>
      <w:bookmarkStart w:id="37" w:name="Xc835dd7952bb36720fc4a759f39ced1ef8c254d"/>
      <w:bookmarkEnd w:id="31"/>
      <w:bookmarkEnd w:id="36"/>
      <w:r>
        <w:t>Chapter 5: Wisdom, Word, and Spirit: The Personified Attributes of God</w:t>
      </w:r>
    </w:p>
    <w:p w14:paraId="69376EE3" w14:textId="77777777" w:rsidR="009C7F52" w:rsidRDefault="00731002">
      <w:pPr>
        <w:pStyle w:val="FirstParagraph"/>
      </w:pPr>
      <w:r>
        <w:t>Long before any Gospel was written, a poet gave voice to Wisdom herself, and let her speak as though she had watched God lay the foundations of the world from a vantage point beside him. It is one of the most startling passages in the whole Hebrew Bible, and it belongs in any careful account of how Israel’s Scriptures prepared the way for what the New Testament would later reveal.</w:t>
      </w:r>
    </w:p>
    <w:p w14:paraId="0EA5F700" w14:textId="77777777" w:rsidR="009C7F52" w:rsidRDefault="00731002">
      <w:pPr>
        <w:pStyle w:val="Heading3"/>
        <w:pBdr>
          <w:bottom w:val="single" w:sz="4" w:space="5" w:color="C8AE75"/>
        </w:pBdr>
      </w:pPr>
      <w:bookmarkStart w:id="38" w:name="lady-wisdoms-speech-proverbs-8"/>
      <w:r>
        <w:t>Lady Wisdom’s Speech: Proverbs 8</w:t>
      </w:r>
    </w:p>
    <w:p w14:paraId="10016A22" w14:textId="77777777" w:rsidR="009C7F52" w:rsidRDefault="00731002">
      <w:pPr>
        <w:pStyle w:val="FirstParagraph"/>
      </w:pPr>
      <w:r>
        <w:t>The book of Proverbs, in its eighth chapter, does something genuinely unusual for ancient Hebrew literature: it gives an abstract quality — wisdom — a voice, a personality, and a claim to having existed alongside God before the world began. “The LORD possessed me at the beginning of his work, the first of his acts of old,” Wisdom declares. “Ages ago I was set up, at the first, before the beginning of the earth… before the mountains had been shaped… I was there” (Proverbs 8:22-25, 27). Wisdom goes on to describe herself as present and active in creation itself: “when he marked out the foundations of the earth, then I was beside him, like a master workman” (Proverbs 8:29-30, drawing on varying translation choices for the difficult Hebrew term rendered “master workman” or “craftsman” in different versions).</w:t>
      </w:r>
    </w:p>
    <w:p w14:paraId="2151577F" w14:textId="77777777" w:rsidR="009C7F52" w:rsidRDefault="00731002">
      <w:pPr>
        <w:pStyle w:val="BodyText"/>
      </w:pPr>
      <w:r>
        <w:t>Biblical scholars have long debated exactly how far this personification goes. A widely used contemporary treatment frames the interpretive options as running along a spectrum: is Wisdom here simply vivid poetic personification — a literary device no different in principle from calling Folly a foolish woman two chapters later (Proverbs 9:13) — or is something more theologically weighty happening, something scholars sometimes call “hypostatization,” in which a divine attribute begins to take on a quasi-independent existence and personal identity of its own?</w:t>
      </w:r>
      <w:hyperlink w:anchor="cite_46" w:history="1">
        <w:r>
          <w:rPr>
            <w:color w:val="671C2A"/>
            <w:sz w:val="16"/>
            <w:vertAlign w:val="superscript"/>
          </w:rPr>
          <w:t>46</w:t>
        </w:r>
      </w:hyperlink>
      <w:r>
        <w:t>. One recent academic essay on the passage calls Wisdom’s claims in these verses “one of the most debated topics in all of OT scholarship,” noting that Lady Wisdom’s assertions about her place before creation and her relationship to Yahweh “ignited a firestorm of theological and exegetical debate” reaching back even into the patristic period</w:t>
      </w:r>
      <w:hyperlink w:anchor="cite_47" w:history="1">
        <w:r>
          <w:rPr>
            <w:color w:val="671C2A"/>
            <w:sz w:val="16"/>
            <w:vertAlign w:val="superscript"/>
          </w:rPr>
          <w:t>47</w:t>
        </w:r>
      </w:hyperlink>
      <w:r>
        <w:t>. A more cautious strand of commentary insists that the personification, however vivid, must not be pressed into a separate deity: “‘Wisdom’ here is not a separate deity — the Jews would have been horrified by such an idea!” — arguing instead that the passage poetically displays an attribute of God’s own character, his own wise ordering of creation, rather than introducing a distinct divine person</w:t>
      </w:r>
      <w:hyperlink w:anchor="cite_48" w:history="1">
        <w:r>
          <w:rPr>
            <w:color w:val="671C2A"/>
            <w:sz w:val="16"/>
            <w:vertAlign w:val="superscript"/>
          </w:rPr>
          <w:t>48</w:t>
        </w:r>
      </w:hyperlink>
      <w:r>
        <w:t>.</w:t>
      </w:r>
    </w:p>
    <w:p w14:paraId="48965F01" w14:textId="77777777" w:rsidR="009C7F52" w:rsidRDefault="00731002">
      <w:pPr>
        <w:pStyle w:val="BodyText"/>
      </w:pPr>
      <w:r>
        <w:t>Both instincts in this debate are worth honoring, and holding them together rather than collapsing into either extreme is the intellectually honest path. Proverbs 8 does not present a systematic doctrine of a second divine person distinct from Yahweh; nothing in the passage’s own context suggests the author intended to introduce a rival deity or even, necessarily, a literal individual being existing eternally alongside God. And yet the poem’s language goes well beyond what a bare literary device typically requires. Wisdom does not merely describe what God is like; she speaks in the first person, claims temporal priority to creation itself, and describes an intimate, almost co-working relationship with God in the act of creation — “then I was beside him” is a striking thing for personified poetry to say. Whatever the original human author intended by it, later readers — including, as we will see, the writer of John’s Gospel — found in this text and its companions a vocabulary uniquely suited to describing something the Old Testament itself had not yet fully named: a distinct expression, or Word, or Wisdom of God, standing in the closest possible relation to God, active in creation, and yet still, somehow, God’s own.</w:t>
      </w:r>
    </w:p>
    <w:p w14:paraId="4BC78839" w14:textId="77777777" w:rsidR="009C7F52" w:rsidRDefault="00731002">
      <w:pPr>
        <w:pStyle w:val="Heading3"/>
        <w:pBdr>
          <w:bottom w:val="single" w:sz="4" w:space="5" w:color="C8AE75"/>
        </w:pBdr>
      </w:pPr>
      <w:bookmarkStart w:id="39" w:name="Xeae4bd4020d86f651c0413368a7d8dcb4293d86"/>
      <w:bookmarkEnd w:id="38"/>
      <w:r>
        <w:t>Wisdom Beyond Proverbs: The Later Wisdom Tradition</w:t>
      </w:r>
    </w:p>
    <w:p w14:paraId="40C1CAE6" w14:textId="77777777" w:rsidR="009C7F52" w:rsidRDefault="00731002">
      <w:pPr>
        <w:pStyle w:val="FirstParagraph"/>
      </w:pPr>
      <w:r>
        <w:t>Proverbs 8 was not the last word Jewish wisdom literature had to say about Lady Wisdom. In the centuries after the Old Testament’s own writings were complete, Jewish authors continued to develop this personification in works that, while not part of the Hebrew canon recognized by Judaism and Protestant Christianity, still shaped the intellectual and theological atmosphere Second Temple Jews and the earliest Christians breathed. The book known as the Wisdom of Solomon, composed in Greek probably in Alexandria within the last two centuries before Christ, pushes the personification of Wisdom to a striking new level of intensity. Wisdom is described there as “the breath of the power of God, and a pure influence flowing from the glory of the Almighty,” a spirit that is “one only” and yet “manifold,” pervading and holding together all things (Wisdom of Solomon 7:22-25)</w:t>
      </w:r>
      <w:hyperlink w:anchor="cite_49" w:history="1">
        <w:r>
          <w:rPr>
            <w:color w:val="671C2A"/>
            <w:sz w:val="16"/>
            <w:vertAlign w:val="superscript"/>
          </w:rPr>
          <w:t>49</w:t>
        </w:r>
      </w:hyperlink>
      <w:r>
        <w:t>. Britannica’s summary of the book observes that Wisdom here is depicted as “a feminine personification of an attribute of God” who nonetheless acts with startling independence and power throughout the created order</w:t>
      </w:r>
      <w:hyperlink w:anchor="cite_50" w:history="1">
        <w:r>
          <w:rPr>
            <w:color w:val="671C2A"/>
            <w:sz w:val="16"/>
            <w:vertAlign w:val="superscript"/>
          </w:rPr>
          <w:t>50</w:t>
        </w:r>
      </w:hyperlink>
      <w:r>
        <w:t>. This text is later than the Hebrew Bible’s own material and carries a different canonical status across different Christian traditions, so it cannot be treated as inspired Scripture in the way Proverbs is treated in this book’s argument. But its existence is historically significant in its own right: it shows that the trajectory begun in Proverbs 8 — describing Wisdom as an active, personal-sounding, quasi-independent expression of God’s own being — was not a one-time poetic flourish confined to a single biblical text. It was a live and developing strand of Jewish theological reflection that continued to grow, in its own right, right up to the threshold of the New Testament period.</w:t>
      </w:r>
    </w:p>
    <w:p w14:paraId="6591AB60" w14:textId="77777777" w:rsidR="009C7F52" w:rsidRDefault="00731002">
      <w:pPr>
        <w:pStyle w:val="Heading3"/>
        <w:pBdr>
          <w:bottom w:val="single" w:sz="4" w:space="5" w:color="C8AE75"/>
        </w:pBdr>
      </w:pPr>
      <w:bookmarkStart w:id="40" w:name="Xff39a051b877cb934a79c3c0dbd24346c034284"/>
      <w:bookmarkEnd w:id="39"/>
      <w:r>
        <w:t>“The Lord God Has Sent Me, and His Spirit”: Isaiah 48:16</w:t>
      </w:r>
    </w:p>
    <w:p w14:paraId="20686934" w14:textId="77777777" w:rsidR="009C7F52" w:rsidRDefault="00731002">
      <w:pPr>
        <w:pStyle w:val="FirstParagraph"/>
      </w:pPr>
      <w:r>
        <w:t xml:space="preserve">One further Old Testament text deserves attention here for the way it seems to gather several of this Part’s threads into a single, compressed verse. In the middle of a passage where the prophet Isaiah has been recording Yahweh’s own first-person speech, the text suddenly shifts to a different speaker who says, “Draw near to me, hear this: from the beginning I have not spoken in secret, from the time it came to be I have been there. And now the Lord God has sent me, and his Spirit” (Isaiah 48:16). The abrupt shift in speaker inside a passage otherwise saturated with Yahweh’s own voice has attracted sustained attention from interpreters across many centuries, precisely because the verse seems to describe someone who has “been there from the beginning” — language elsewhere reserved for Yahweh’s own eternal existence — while also describing this same speaker as one who is “sent” by “the Lord God” together with “his Spirit,” implying a threefold structure of sender, sent one, and Spirit within a single verse. Scholars disagree, sometimes sharply, about how much theological weight this single, admittedly difficult verse can bear; a close reading of the surrounding passage argues that the text responsibly supports understanding “the speaker” as continuous with Yahweh, the self-existent “I AM” identified earlier in the same chapter, while still meaningfully differentiating that speaker from “the Lord God” (אֲדֹנָי יהוה, </w:t>
      </w:r>
      <w:r>
        <w:rPr>
          <w:i/>
          <w:iCs/>
        </w:rPr>
        <w:t>Adonai YHWH</w:t>
      </w:r>
      <w:r>
        <w:t>, “the Lord GOD”) who commissions him and from the Spirit named alongside them, without claiming this proves a fully developed doctrine of the Trinity was consciously intended by Isaiah’s original audience</w:t>
      </w:r>
      <w:hyperlink w:anchor="cite_51" w:history="1">
        <w:r>
          <w:rPr>
            <w:color w:val="671C2A"/>
            <w:sz w:val="16"/>
            <w:vertAlign w:val="superscript"/>
          </w:rPr>
          <w:t>51</w:t>
        </w:r>
      </w:hyperlink>
      <w:r>
        <w:t>. This book’s own governing discipline applies here with full force: Isaiah 48:16 is genuinely suggestive, genuinely difficult to explain on a flatly unitarian reading, and genuinely one more small piece of evidence for the pattern this Part keeps finding — but it is evidence and texture, gathered alongside Proverbs 8, Genesis 1:2, and the Targumic Memra tradition, not a freestanding proof text capable of establishing the doctrine of the Trinity on its own.</w:t>
      </w:r>
    </w:p>
    <w:p w14:paraId="6098B5DF" w14:textId="77777777" w:rsidR="009C7F52" w:rsidRDefault="00731002">
      <w:pPr>
        <w:pStyle w:val="Heading3"/>
        <w:pBdr>
          <w:bottom w:val="single" w:sz="4" w:space="5" w:color="C8AE75"/>
        </w:pBdr>
      </w:pPr>
      <w:bookmarkStart w:id="41" w:name="X63684a7201ccee1cdddf9680b65ba2a3b448d58"/>
      <w:bookmarkEnd w:id="40"/>
      <w:r>
        <w:t>The Spirit Hovering Over the Waters: Genesis 1:2</w:t>
      </w:r>
    </w:p>
    <w:p w14:paraId="5D861EE0" w14:textId="77777777" w:rsidR="009C7F52" w:rsidRDefault="00731002">
      <w:pPr>
        <w:pStyle w:val="FirstParagraph"/>
      </w:pPr>
      <w:r>
        <w:t>A second strand of personified divine activity runs through the Hebrew Bible under the heading of the Spirit, or רוּחַ (</w:t>
      </w:r>
      <w:r>
        <w:rPr>
          <w:i/>
          <w:iCs/>
        </w:rPr>
        <w:t>ruach</w:t>
      </w:r>
      <w:r>
        <w:t>, “spirit,” “wind,” or “breath”), of God. The very second verse of the entire Bible introduces this figure: “The earth was without form and void, and darkness was over the face of the deep. And the Spirit of God was hovering over the face of the waters” (Genesis 1:2). The Hebrew participle behind “hovering,” מְרֶחֶפֶת (</w:t>
      </w:r>
      <w:r>
        <w:rPr>
          <w:i/>
          <w:iCs/>
        </w:rPr>
        <w:t>merachefet</w:t>
      </w:r>
      <w:r>
        <w:t>, “hovering” or “brooding”), evokes the image of a bird brooding protectively over its nest, bringing life and order out of a scene of formless chaos</w:t>
      </w:r>
      <w:hyperlink w:anchor="cite_52" w:history="1">
        <w:r>
          <w:rPr>
            <w:color w:val="671C2A"/>
            <w:sz w:val="16"/>
            <w:vertAlign w:val="superscript"/>
          </w:rPr>
          <w:t>52</w:t>
        </w:r>
      </w:hyperlink>
      <w:r>
        <w:t>. One theological reflection on this verse observes that “by the work of the hovering Spirit, God is going to tame the darkness and the water of the chaotic earth and bring forth life of many kinds,” connecting this creative activity directly to the fourth-century Nicene Creed’s own confession that the Holy Spirit is “the giver of life,” a title the creed’s framers understood themselves to be drawing directly from passages like this one</w:t>
      </w:r>
      <w:hyperlink w:anchor="cite_53" w:history="1">
        <w:r>
          <w:rPr>
            <w:color w:val="671C2A"/>
            <w:sz w:val="16"/>
            <w:vertAlign w:val="superscript"/>
          </w:rPr>
          <w:t>53</w:t>
        </w:r>
      </w:hyperlink>
      <w:r>
        <w:t>.</w:t>
      </w:r>
    </w:p>
    <w:p w14:paraId="7D5B62AB" w14:textId="77777777" w:rsidR="009C7F52" w:rsidRDefault="00731002">
      <w:pPr>
        <w:pStyle w:val="BodyText"/>
      </w:pPr>
      <w:r>
        <w:t>The Spirit of God recurs throughout the Old Testament as the active, empowering presence of God at work in creation, in inspiring prophecy, and in equipping particular individuals for specific tasks — resting on judges and kings such as Samson and Saul, filling craftsmen like Bezalel with skill for building the tabernacle (Exodus 31:3), and speaking through the prophets, who regularly claim, “the Spirit of the LORD spoke by me” (2 Samuel 23:2). This Spirit is never presented in the Old Testament as a separate deity alongside יהוה (YHWH), any more than Wisdom is; and yet the Spirit’s activity is consistently personal — the Spirit can be grieved (Isaiah 63:10), can teach (Nehemiah 9:20), and is closely, sometimes almost interchangeably, identified with the direct action of God himself. Isaiah’s famous vision of the coming Servant explicitly ties the Spirit’s presence to the fullest measure of God’s own empowering work: “the Spirit of the LORD shall rest upon him” (Isaiah 11:2). The Old Testament gives us, in other words, a Spirit who acts as God acts, is called by God’s own name (“the Spirit of God,” “the Spirit of the LORD”), and yet is spoken of in terms that keep suggesting a distinguishable center of activity within God’s own life, without the text ever pausing to explain the relationship in systematic terms.</w:t>
      </w:r>
    </w:p>
    <w:p w14:paraId="35E53E85" w14:textId="77777777" w:rsidR="009C7F52" w:rsidRDefault="00731002">
      <w:pPr>
        <w:pStyle w:val="Heading3"/>
        <w:pBdr>
          <w:bottom w:val="single" w:sz="4" w:space="5" w:color="C8AE75"/>
        </w:pBdr>
      </w:pPr>
      <w:bookmarkStart w:id="42" w:name="the-word-that-acts-memra-and-the-targums"/>
      <w:bookmarkEnd w:id="41"/>
      <w:r>
        <w:t>The Word That Acts: Memra and the Targums</w:t>
      </w:r>
    </w:p>
    <w:p w14:paraId="369C4CA8" w14:textId="77777777" w:rsidR="009C7F52" w:rsidRDefault="00731002">
      <w:pPr>
        <w:pStyle w:val="FirstParagraph"/>
      </w:pPr>
      <w:r>
        <w:t>A third and related strand of Jewish thought about God’s self-expression developed most fully not within the Hebrew Bible itself but in the centuries of interpretation that followed it — though its seeds are visible already in the biblical text. The Psalms declare that “by the word of the LORD the heavens were made” (Psalm 33:6), and throughout the Old Testament God’s “word” is spoken of as an active agent, sent out to accomplish God’s purposes: “he sends out his word and melts them… he sends out his word, and it runs swiftly” (Psalm 147:15, 18). In the centuries after the biblical period, when the Hebrew Scriptures were translated and expanded into Aramaic paraphrases for synagogue use called Targums, Jewish translators developed a technical device called the מֵימְרָא (</w:t>
      </w:r>
      <w:r>
        <w:rPr>
          <w:i/>
          <w:iCs/>
        </w:rPr>
        <w:t>Memra</w:t>
      </w:r>
      <w:r>
        <w:t>, Aramaic for “the Word”) as a way of referring to God’s own active, revealing, and creating presence in the world, often substituted into the text precisely at points where the biblical original might otherwise seem to describe God too directly or anthropomorphically. The classic reference work on this tradition explains that “in the Targum the Memra figures constantly as the manifestation of the divine power, or as God’s messenger in place of God Himself,” used as a way of describing God’s own creative or directive speech acting in the world “wherever the predicate is not in conformity with the dignity or the spirituality of the Deity”</w:t>
      </w:r>
      <w:hyperlink w:anchor="cite_54" w:history="1">
        <w:r>
          <w:rPr>
            <w:color w:val="671C2A"/>
            <w:sz w:val="16"/>
            <w:vertAlign w:val="superscript"/>
          </w:rPr>
          <w:t>54</w:t>
        </w:r>
      </w:hyperlink>
      <w:r>
        <w:t>.</w:t>
      </w:r>
    </w:p>
    <w:p w14:paraId="2535A8CB" w14:textId="77777777" w:rsidR="009C7F52" w:rsidRDefault="00731002">
      <w:pPr>
        <w:pStyle w:val="BodyText"/>
      </w:pPr>
      <w:r>
        <w:t>The מֵימְרָא (</w:t>
      </w:r>
      <w:r>
        <w:rPr>
          <w:i/>
          <w:iCs/>
        </w:rPr>
        <w:t>Memra</w:t>
      </w:r>
      <w:r>
        <w:t>) tradition is not itself a biblical concept in the strict sense — it develops most fully in post-biblical Jewish interpretation — but it demonstrates something important about the trajectory this material was already on within the Hebrew Bible’s own language of God’s active “word.” Later Jewish translators and interpreters, working entirely within a strict, unapologetic monotheistic framework, nonetheless found it natural, even necessary, to speak of God’s Word as a distinguishable, active agent of God’s own presence in the world, without for a moment intending to introduce a second god. That interpretive instinct did not appear from nowhere; it grew directly out of the Hebrew Bible’s own habit of describing Wisdom, Word, and Spirit as personified, active, agent-like expressions of the one God’s own character and power.</w:t>
      </w:r>
    </w:p>
    <w:p w14:paraId="16992C78" w14:textId="77777777" w:rsidR="009C7F52" w:rsidRDefault="00731002">
      <w:pPr>
        <w:pStyle w:val="Heading3"/>
        <w:pBdr>
          <w:bottom w:val="single" w:sz="4" w:space="5" w:color="C8AE75"/>
        </w:pBdr>
      </w:pPr>
      <w:bookmarkStart w:id="43" w:name="resonance-with-the-new-testaments-logos"/>
      <w:bookmarkEnd w:id="42"/>
      <w:r>
        <w:t>Resonance with the New Testament’s Logos</w:t>
      </w:r>
    </w:p>
    <w:p w14:paraId="0D4BBE54" w14:textId="77777777" w:rsidR="009C7F52" w:rsidRDefault="00731002">
      <w:pPr>
        <w:pStyle w:val="FirstParagraph"/>
      </w:pPr>
      <w:r>
        <w:t>It is this entire constellation of Old Testament and early Jewish material — personified Wisdom present with God before creation and active within it, the Spirit of God hovering over creation and empowering God’s servants, and the developing tradition of God’s Word as his own active, self-expressing presence — that stands directly behind one of the most theologically dense openings in the entire New Testament: “In the beginning was the Word, and the Word was with God, and the Word was God… All things were made through him” (John 1:1, 3) — in the original Greek, Ἐν ἀρχῇ ἦν ὁ Λόγος, καὶ ὁ Λόγος ἦν πρὸς τὸν Θεόν, καὶ Θεὸς ἦν ὁ Λόγος (</w:t>
      </w:r>
      <w:r>
        <w:rPr>
          <w:i/>
          <w:iCs/>
        </w:rPr>
        <w:t>En archē ēn ho Logos, kai ho Logos ēn pros ton Theon, kai Theos ēn ho Logos</w:t>
      </w:r>
      <w:r>
        <w:t>, “In the beginning was the Word, and the Word was with God, and the Word was God”). John’s choice of the Greek term λόγος (</w:t>
      </w:r>
      <w:r>
        <w:rPr>
          <w:i/>
          <w:iCs/>
        </w:rPr>
        <w:t>logos</w:t>
      </w:r>
      <w:r>
        <w:t>, “word,” but also carrying philosophical connotations of ordering reason familiar to both Jewish and Hellenistic readers) draws on exactly the vocabulary this chapter has traced: a Word who was present “in the beginning,” alongside God, active in creation, and yet who “was God” — fully divine, not a separate deity, and not merely a personified literary flourish. The Jewish philosopher Philo of Alexandria, writing in the first century, had already developed an elaborate philosophical account of the divine λόγος (</w:t>
      </w:r>
      <w:r>
        <w:rPr>
          <w:i/>
          <w:iCs/>
        </w:rPr>
        <w:t>logos</w:t>
      </w:r>
      <w:r>
        <w:t>, “word” or “reason”) as God’s rational, mediating principle active in creation, showing that sophisticated Hellenistic Jewish thought in exactly this period found this kind of language a natural, even necessary, way to talk about how the transcendent God related to the created world without compromising his unity</w:t>
      </w:r>
      <w:hyperlink w:anchor="cite_55" w:history="1">
        <w:r>
          <w:rPr>
            <w:color w:val="671C2A"/>
            <w:sz w:val="16"/>
            <w:vertAlign w:val="superscript"/>
          </w:rPr>
          <w:t>55</w:t>
        </w:r>
      </w:hyperlink>
      <w:r>
        <w:t>.</w:t>
      </w:r>
    </w:p>
    <w:p w14:paraId="2DD161FA" w14:textId="77777777" w:rsidR="009C7F52" w:rsidRDefault="00731002">
      <w:pPr>
        <w:pStyle w:val="BodyText"/>
      </w:pPr>
      <w:r>
        <w:t>None of this warrants the conclusion that Proverbs 8, Genesis 1:2, or the Targumic Memra tradition already teach the doctrine of the Trinity, or that their original authors understood Wisdom, Spirit, and Word as literally referring to the second and third persons of a Godhead not yet revealed. That would be exegesis working backward from a later conclusion rather than forward from what these texts actually say and intend within their own historical settings. But it would be just as much a failure of careful reading to treat this material as theologically inert — mere poetic flourish with no bearing on later revelation. What the Old Testament’s language of personified Wisdom, active Word, and empowering Spirit provides is a rich, pre-existing vocabulary — a set of categories the Jewish mind had already learned to use for speaking about distinguishable, personal-sounding expressions of God’s own being and activity, all while remaining rigorously monotheistic. When the New Testament writers needed language to describe the Son as eternally with God, fully God, and yet personally distinct from the Father, and the Spirit as fully God’s own presence yet personally distinguishable from the Father and the Son, they did not have to invent these categories from nothing. The Old Testament had been quietly cultivating exactly this kind of vocabulary for centuries, in exactly the texts this chapter has surveyed. That cultivation is not yet the Trinity. It is the soil the Trinity will grow from.</w:t>
      </w:r>
    </w:p>
    <w:p w14:paraId="54A875E8" w14:textId="77777777" w:rsidR="009C7F52" w:rsidRDefault="007D6CCB">
      <w:r>
        <w:rPr>
          <w:noProof/>
        </w:rPr>
      </w:r>
      <w:r w:rsidR="007D6CCB">
        <w:rPr>
          <w:noProof/>
        </w:rPr>
        <w:pict w14:anchorId="08E7A69E">
          <v:rect id="_x0000_i1030" style="width:0;height:1.5pt" o:hralign="center" o:hrstd="t" o:hr="t"/>
        </w:pict>
      </w:r>
    </w:p>
    <w:p w14:paraId="5DC02710" w14:textId="77777777" w:rsidR="009F2F79" w:rsidRDefault="001A04A2">
      <w:pPr>
        <w:pStyle w:val="Heading3"/>
      </w:pPr>
      <w:r>
        <w:t>Attributes, Persons, and the Living God</w:t>
      </w:r>
    </w:p>
    <w:p w14:paraId="2FA76C3A" w14:textId="77777777" w:rsidR="009F2F79" w:rsidRDefault="001A04A2">
      <w:pPr>
        <w:pStyle w:val="FirstParagraph"/>
      </w:pPr>
      <w:r>
        <w:t>The language of Wisdom, Word, and Spirit must be handled with two truths in view. First, God’s attributes are not detachable entities standing between God and the world. His wisdom is not a created assistant, his word is not an impersonal substance, and his spirit is not a divisible energy. God is simple: his wisdom, truth, goodness, life, and power are the one God considered under distinct aspects revealed in his works. Second, the New Testament does not merely turn abstract qualities into poetic names. It identifies the eternal Word as a personal subject who is with God and is God, and it presents the Spirit as one who speaks, wills, teaches, sends, intercedes, and may be grieved. Personification in earlier revelation prepares categories; personal action and relation in the New Testament complete the identification.</w:t>
      </w:r>
    </w:p>
    <w:p w14:paraId="44EFB7A0" w14:textId="77777777" w:rsidR="009F2F79" w:rsidRDefault="001A04A2">
      <w:pPr>
        <w:pStyle w:val="BodyText"/>
      </w:pPr>
      <w:r>
        <w:t>This prevents a common mistake in reading Proverbs 8. Because wisdom belongs eternally to God, no moment can be imagined at which God existed without wisdom. Yet the poetic figure of Lady Wisdom cannot simply be equated in every detail with the person of the Son. The Son is not one attribute detached from the Father, and the feminine literary figure does not supply a literal biography of a preexistent person. The canonical connection is more disciplined: all the treasures of wisdom and knowledge are in Christ (Colossians 2:3), Christ is called the wisdom of God (1 Corinthians 1:24), and through the eternal Word all things were made (John 1:3). The New Testament gathers the Old Testament’s wisdom and word motifs into the identity and work of the Son without confusing poetry, attribute, nature, and person.</w:t>
      </w:r>
    </w:p>
    <w:p w14:paraId="3B6444B3" w14:textId="77777777" w:rsidR="009F2F79" w:rsidRDefault="001A04A2">
      <w:pPr>
        <w:pStyle w:val="Heading3"/>
      </w:pPr>
      <w:r>
        <w:t>One Divine Knowledge, Wisdom, and Power</w:t>
      </w:r>
    </w:p>
    <w:p w14:paraId="10AC5D20" w14:textId="77777777" w:rsidR="009F2F79" w:rsidRDefault="001A04A2">
      <w:pPr>
        <w:pStyle w:val="FirstParagraph"/>
      </w:pPr>
      <w:r>
        <w:t>Knowledge, wisdom, truthfulness, and faithfulness are communicable in the sense that image-bearers reflect them, but in God they remain infinite and underived. God knows himself and every creature immediately and infallibly; he never learns, infers, forgets, or revises. His wisdom always appoints fitting ends and means. His truthfulness makes deception impossible, and his faithfulness is that truth displayed across the history of promise and fulfillment. These are not separate mental resources shared among three divine centers. Father, Son, and Spirit possess one divine intellect and wisdom because they possess one nature. The Son knows the Father with divine immediacy; the Spirit searches even the depths of God (1 Corinthians 2:10–11). Their personal relations occur within, not outside, the one undivided divine knowledge.</w:t>
      </w:r>
    </w:p>
    <w:p w14:paraId="3F7D3CC9" w14:textId="77777777" w:rsidR="009F2F79" w:rsidRDefault="001A04A2">
      <w:pPr>
        <w:pStyle w:val="BodyText"/>
      </w:pPr>
      <w:r>
        <w:t>The same rule governs omnipotence. Divine power is the effective capacity of the one nature, ordered by holy wisdom and will. God cannot lie, deny himself, or make a contradiction true, not because an external force limits him, but because impotence and moral defect are not powers. Creation by the Father through the Son in the Spirit is therefore not a division of labor among three agents with separate stores of power. It is one divine act with a Trinitarian order: from the Father, through the Son, in the Spirit. This pattern will become central when the New Testament’s fuller revelation is brought into view.</w:t>
      </w:r>
    </w:p>
    <w:p w14:paraId="4291D2A5" w14:textId="77777777" w:rsidR="009C7F52" w:rsidRDefault="00731002">
      <w:pPr>
        <w:pStyle w:val="Heading2"/>
        <w:pBdr>
          <w:bottom w:val="single" w:sz="10" w:space="8" w:color="A68037"/>
        </w:pBdr>
      </w:pPr>
      <w:bookmarkStart w:id="44" w:name="Xfc6b9ec70c1c1232f8ae420522882431c4e4c7c"/>
      <w:bookmarkEnd w:id="37"/>
      <w:bookmarkEnd w:id="43"/>
      <w:r>
        <w:t>Chapter 6: What the Old Testament Does — and Does Not — Prove</w:t>
      </w:r>
    </w:p>
    <w:p w14:paraId="6F4AE5CC" w14:textId="77777777" w:rsidR="009C7F52" w:rsidRDefault="00731002">
      <w:pPr>
        <w:pStyle w:val="FirstParagraph"/>
      </w:pPr>
      <w:r>
        <w:t>Six chapters into this book, a fair question has to be asked directly: after the divine name, the plural grammar, the mysterious angel, the two heavenly figures of Second Temple speculation, and the personified Wisdom, Word, and Spirit — have we found the Trinity in the Old Testament? The honest answer is no. But the honest answer is also not nothing, and getting the shape of that “not nothing” exactly right is the single most important methodological task in this entire book.</w:t>
      </w:r>
    </w:p>
    <w:p w14:paraId="275EA57E" w14:textId="77777777" w:rsidR="009C7F52" w:rsidRDefault="00731002">
      <w:pPr>
        <w:pStyle w:val="Heading3"/>
        <w:pBdr>
          <w:bottom w:val="single" w:sz="4" w:space="5" w:color="C8AE75"/>
        </w:pBdr>
      </w:pPr>
      <w:bookmarkStart w:id="45" w:name="two-ways-to-get-this-wrong"/>
      <w:r>
        <w:t>Two Ways to Get This Wrong</w:t>
      </w:r>
    </w:p>
    <w:p w14:paraId="74FF9947" w14:textId="77777777" w:rsidR="009C7F52" w:rsidRDefault="00731002">
      <w:pPr>
        <w:pStyle w:val="FirstParagraph"/>
      </w:pPr>
      <w:r>
        <w:t>There are two opposite ways to mishandle the material this Part has surveyed, and both are common, and both need to be named plainly and rejected.</w:t>
      </w:r>
    </w:p>
    <w:p w14:paraId="0CA83614" w14:textId="77777777" w:rsidR="009C7F52" w:rsidRDefault="00731002">
      <w:pPr>
        <w:pStyle w:val="BodyText"/>
      </w:pPr>
      <w:r>
        <w:t>The first error treats the Old Testament as theologically flat — a text that knows absolutely nothing of any plurality, complexity, or internal relational texture within the being of the one God, such that any later Christian claim about Father, Son, and Spirit must be read as a total, discontinuous innovation with no real roots in Israel’s Scriptures at all. This error is understandable, because it correctly senses the danger of reading things into ancient texts that were not there. But it cannot survive contact with the actual evidence surveyed in this Part. It cannot explain why אֱלֹהִים (</w:t>
      </w:r>
      <w:r>
        <w:rPr>
          <w:i/>
          <w:iCs/>
        </w:rPr>
        <w:t>Elohim</w:t>
      </w:r>
      <w:r>
        <w:t>, “God”) pairs a plural form with the astonishing plural self-address of Genesis 1:26 and 11:7 at precisely the most theologically weighted moments in the text (Chapter 2). It cannot explain the angel of the LORD, who speaks in the first person as God, receives titles belonging to God alone, and is worshiped without correction across half a dozen major narratives from Genesis to Zechariah (Chapter 3). It cannot explain why Daniel 7 places two distinct heavenly figures on two thrones, one granting everlasting universal dominion to the other, or why Psalm 110 has David call someone “my Lord” whom “the LORD” invites to sit at his own right hand (Chapter 4) — material substantial enough that later rabbinic authorities felt compelled to name and condemn a specific “two powers in heaven” heresy in direct response to it, evidence that the underlying texts really were generating this kind of reading among some ancient readers</w:t>
      </w:r>
      <w:hyperlink w:anchor="cite_56" w:history="1">
        <w:r>
          <w:rPr>
            <w:color w:val="671C2A"/>
            <w:sz w:val="16"/>
            <w:vertAlign w:val="superscript"/>
          </w:rPr>
          <w:t>56</w:t>
        </w:r>
      </w:hyperlink>
      <w:r>
        <w:t>. And it cannot explain Lady Wisdom’s claim in Proverbs 8 to have stood beside God “like a master workman” before the mountains were shaped, or the Spirit of God hovering with creative, life-giving power over the waters in Genesis 1:2 (Chapter 5). The flat reading requires explaining away too much real textual data to be historically honest.</w:t>
      </w:r>
    </w:p>
    <w:p w14:paraId="2C2F455B" w14:textId="77777777" w:rsidR="009C7F52" w:rsidRDefault="00731002">
      <w:pPr>
        <w:pStyle w:val="BodyText"/>
      </w:pPr>
      <w:r>
        <w:t>The second error runs in exactly the opposite direction, and it is, if anything, the more common error among enthusiastic popular readers of the Old Testament today: the claim that the Old Testament saints themselves already understood God as Father, Son, and Holy Spirit — three coequal, coeternal persons within the one divine being — fully revealed, simply awaiting the New Testament to state explicitly what the Israelites, the psalmists, and the prophets had secretly known all along. This error is also understandable; it is a natural overcorrection against the first error, and it is often motivated by a genuine desire to honor the deep unity of the two Testaments. But it, too, cannot survive contact with the evidence, this time for the opposite reason: it claims far more certainty and specificity than the actual Old Testament texts themselves support. Nowhere does the Old Testament name three persons. Nowhere does it call the angel of the LORD “the Son” or personified Wisdom “the Holy Spirit” in any explicit, unambiguous way that the text’s own original readers could have recognized as such. The careful historical scholarship surveyed throughout this Part — Milgrom on the divine name, the range of grammatical explanations for אֱלֹהִים (</w:t>
      </w:r>
      <w:r>
        <w:rPr>
          <w:i/>
          <w:iCs/>
        </w:rPr>
        <w:t>Elohim</w:t>
      </w:r>
      <w:r>
        <w:t>, “God”) and the plural pronouns, the honest agnosticism many rigorous interpreters maintain about the angel of the LORD’s precise identity, Alan Segal’s careful dating of “two powers” controversy to the rabbinic era rather than earlier, Larry Hurtado’s insistence that the New Testament’s pattern of worship toward Jesus alongside God the Father was a genuine historical innovation rather than the simple continuation of an already-agreed Jewish binitarianism — all points in the same direction. Second Temple Judaism, taken as a whole, did not hold, teach, or assume a doctrine of the Trinity. To claim that Old Testament saints “already knew” what the Council of Nicaea would articulate three centuries after Christ is not reverence for Scripture’s unity; it is a failure to respect the real, unfinished, forward-leaning shape of the Old Testament’s own testimony.</w:t>
      </w:r>
    </w:p>
    <w:p w14:paraId="2C846E5B" w14:textId="77777777" w:rsidR="009C7F52" w:rsidRDefault="00731002">
      <w:pPr>
        <w:pStyle w:val="Heading3"/>
        <w:pBdr>
          <w:bottom w:val="single" w:sz="4" w:space="5" w:color="C8AE75"/>
        </w:pBdr>
      </w:pPr>
      <w:bookmarkStart w:id="46" w:name="X066b54597f515b24bbe6ec7138bd268445f8fa3"/>
      <w:bookmarkEnd w:id="45"/>
      <w:r>
        <w:t>The Real Claim: Theological Space, Not a Finished Doctrine</w:t>
      </w:r>
    </w:p>
    <w:p w14:paraId="6F8A58AC" w14:textId="77777777" w:rsidR="009C7F52" w:rsidRDefault="00731002">
      <w:pPr>
        <w:pStyle w:val="FirstParagraph"/>
      </w:pPr>
      <w:r>
        <w:t>Between these two errors lies the claim this book actually makes, and it deserves to be stated with complete clarity, because everything built in the chapters ahead depends on getting this right. The Old Testament establishes, without any possible compromise, that Yahweh alone is God — one being, exclusively worthy of worship, admitting no rivals (Chapter 1). Within that fixed and non-negotiable boundary, the Old Testament also contains a real, recurring, and theologically serious texture of plurality: grammatical plurality in the divine name and in God’s own self-address at pivotal moments (Chapter 2); a figure who speaks, acts, and is worshiped as God while remaining somehow distinguishable from the God who sends him (Chapter 3); two heavenly figures in intimate shared authority, one granting everlasting dominion to the other, generating enough interpretive energy in later Judaism to provoke an organized theological reaction against “two powers” readings (Chapter 4); and God’s own Wisdom, Word, and Spirit described in terms that edge toward, without ever fully crossing into, personal distinctness from God himself (Chapter 5).</w:t>
      </w:r>
    </w:p>
    <w:p w14:paraId="2978A07E" w14:textId="77777777" w:rsidR="009C7F52" w:rsidRDefault="00731002">
      <w:pPr>
        <w:pStyle w:val="BodyText"/>
      </w:pPr>
      <w:r>
        <w:t>None of this, taken alone or all together, constitutes the doctrine of the Trinity. The doctrine of the Trinity is a claim about three coequal, coeternal, distinct persons sharing the one identical divine being — a claim with a precision and a fullness the Old Testament never states and, on the terms of its own historical setting, could not have stated, because that fullness required the incarnation of the Son and the outpouring of the Spirit at Pentecost to be revealed as concrete, historical, datable events, not merely inferred from ancient texts read backward. What the Old Testament does is something different, and in its own way just as remarkable: it creates the theological space, and raises the very questions, that only the New Testament will be equipped to answer. It hands later readers a set of textual puzzles — the plural grammar, the angel who is and is not the LORD, the two thrones of Daniel 7, the Wisdom who stood beside God at creation — that remain genuinely and deliberately open within the Old Testament’s own pages. It does not resolve them. It could not resolve them, because their resolution depends on events that had not yet happened when Moses, David, Daniel, and the sages of Proverbs wrote what they wrote. This is not a weakness in the Old Testament’s revelation; it is the normal, expected shape of progressive revelation, in which God discloses himself to his people across time, building each stage on the last, without front-loading the entire finished picture into the earliest chapters of the story.</w:t>
      </w:r>
    </w:p>
    <w:p w14:paraId="13B1CBBB" w14:textId="77777777" w:rsidR="009C7F52" w:rsidRDefault="00731002">
      <w:pPr>
        <w:pStyle w:val="Heading3"/>
        <w:pBdr>
          <w:bottom w:val="single" w:sz="4" w:space="5" w:color="C8AE75"/>
        </w:pBdr>
      </w:pPr>
      <w:bookmarkStart w:id="47" w:name="Xb3cc55b5e62845d36d8aee63dd855ce2b74a78f"/>
      <w:bookmarkEnd w:id="46"/>
      <w:r>
        <w:t>A Continuity That Is Real, Not Retrofitted</w:t>
      </w:r>
    </w:p>
    <w:p w14:paraId="26E18320" w14:textId="77777777" w:rsidR="009C7F52" w:rsidRDefault="00731002">
      <w:pPr>
        <w:pStyle w:val="FirstParagraph"/>
      </w:pPr>
      <w:r>
        <w:t>It is worth pausing on the word “retrofitted,” because it names exactly the danger this chapter, and this whole Part, has tried to avoid. A retrofitted continuity is one imposed backward onto a text by a reader who already knows the ending and reads every detail as secretly, deliberately pointing toward it, whether or not the original author or audience could plausibly have understood it that way. A real continuity is different. It does not require that Moses understood the Trinity when he heard “Let us make man in our image.” It requires only that the language he was inspired to write down turns out, centuries later, to fit — without strain, without contradiction, and without needing to be twisted — into the fuller picture that the New Testament will supply. The test of a real continuity is whether the New Testament’s later claims about Father, Son, and Spirit feel like a violent imposition on the Old Testament’s own language, or whether they feel like the picture finally coming into focus, the way a half-developed photograph slowly resolves into a recognizable face. Every text surveyed in this Part passes that test. The plural pronouns, the angel of the LORD, the two thrones, the personified Wisdom and Word and Spirit — none of them had to be forced, edited, or reinterpreted against their own grain to make room for what the New Testament would later say about Jesus Christ and the Holy Spirit. They simply had room already, room the Old Testament writers themselves left unfilled, because they were not yet in a position to fill it.</w:t>
      </w:r>
    </w:p>
    <w:p w14:paraId="34703353" w14:textId="77777777" w:rsidR="009C7F52" w:rsidRDefault="00731002">
      <w:pPr>
        <w:pStyle w:val="Heading3"/>
        <w:pBdr>
          <w:bottom w:val="single" w:sz="4" w:space="5" w:color="C8AE75"/>
        </w:pBdr>
      </w:pPr>
      <w:bookmarkStart w:id="48" w:name="Xce256b912b24cf407982da65232ddd54835543f"/>
      <w:bookmarkEnd w:id="47"/>
      <w:r>
        <w:t>Why “Progressive Revelation” Is Not a Weasel Word</w:t>
      </w:r>
    </w:p>
    <w:p w14:paraId="4F6DC2AE" w14:textId="77777777" w:rsidR="009C7F52" w:rsidRDefault="00731002">
      <w:pPr>
        <w:pStyle w:val="FirstParagraph"/>
      </w:pPr>
      <w:r>
        <w:t>The phrase “progressive revelation” can sound, to a suspicious ear, like a theologian’s trick for smuggling later ideas into earlier texts under a respectable label. It is worth pausing to say clearly what the term actually means and does not mean, because the argument of this whole Part depends on using it honestly. Progressive revelation is the recognition that later parts of Scripture disclose a fuller, more explicit picture of God’s nature and plan than earlier parts do, without the earlier parts being false, incomplete in some defective sense, or less inspired</w:t>
      </w:r>
      <w:hyperlink w:anchor="cite_57" w:history="1">
        <w:r>
          <w:rPr>
            <w:color w:val="671C2A"/>
            <w:sz w:val="16"/>
            <w:vertAlign w:val="superscript"/>
          </w:rPr>
          <w:t>57</w:t>
        </w:r>
      </w:hyperlink>
      <w:r>
        <w:t>. One careful theological definition frames it this way: “Progressive Revelation is the view that supplemental disclosures about a particular subject are built upon and traceable back to an original grounding revelation. The combined witness to the subject must evidence an internal consistency”</w:t>
      </w:r>
      <w:hyperlink w:anchor="cite_58" w:history="1">
        <w:r>
          <w:rPr>
            <w:color w:val="671C2A"/>
            <w:sz w:val="16"/>
            <w:vertAlign w:val="superscript"/>
          </w:rPr>
          <w:t>58</w:t>
        </w:r>
      </w:hyperlink>
      <w:r>
        <w:t>. That is exactly the standard this Part has tried to meet at every step. Genesis 1:26’s plural self-address, the angel of the LORD’s blurred identity, Daniel’s two thrones, and Proverbs 8’s personified Wisdom are not treated here as covert predictions of the Trinity smuggled in ahead of schedule. They are treated as an “original grounding revelation” — pieces of a true and complete picture of God as far as it goes — that later revelation will build upon, clarify, and extend without ever contradicting or replacing.</w:t>
      </w:r>
    </w:p>
    <w:p w14:paraId="40D26AA6" w14:textId="77777777" w:rsidR="009C7F52" w:rsidRDefault="00731002">
      <w:pPr>
        <w:pStyle w:val="BodyText"/>
      </w:pPr>
      <w:r>
        <w:t>This is also why it is important to end this Part by returning, one final time, to the boundary established in Chapter 1 and never abandoned since. Moses himself, in the same Song of Deuteronomy that will later be echoed by prophets for centuries, has Yahweh declare in the most absolute terms available in the Hebrew language: “See now that I, even I, am he, and there is no god besides me. I kill and I make alive; I wound and I heal; and there is none that can deliver out of my hand” (Deuteronomy 32:39). Whatever plurality-texture this Part has traced through six chapters of careful historical and textual work, this verse, and dozens like it scattered across the Torah, the Prophets, and the Writings, remain standing, entirely unqualified and entirely unthreatened. Any account of the Old Testament’s testimony about God that cannot hold Deuteronomy 32:39 and Genesis 1:26 together, in the same hand, without letting go of either one, has not yet done its job. This book’s claim is that both verses are fully true at once, and that discovering how they can both be fully true is not a problem to be solved by weakening either text, but a mystery to be traced forward into the New Testament’s own testimony about who Jesus Christ, and the Spirit sent in his name, actually are.</w:t>
      </w:r>
    </w:p>
    <w:p w14:paraId="6352292F" w14:textId="77777777" w:rsidR="009C7F52" w:rsidRDefault="00731002">
      <w:pPr>
        <w:pStyle w:val="Heading3"/>
        <w:pBdr>
          <w:bottom w:val="single" w:sz="4" w:space="5" w:color="C8AE75"/>
        </w:pBdr>
      </w:pPr>
      <w:bookmarkStart w:id="49" w:name="what-this-part-has-actually-established"/>
      <w:bookmarkEnd w:id="48"/>
      <w:r>
        <w:t>What This Part Has Actually Established</w:t>
      </w:r>
    </w:p>
    <w:p w14:paraId="6202E9D5" w14:textId="77777777" w:rsidR="009C7F52" w:rsidRDefault="00731002">
      <w:pPr>
        <w:pStyle w:val="FirstParagraph"/>
      </w:pPr>
      <w:r>
        <w:t>It is worth stating plainly, in summary form, exactly what has and has not been shown across these six chapters, because clarity here will make the chapters ahead easier to follow rather than harder. This Part has shown that the Old Testament’s monotheism is genuine, exclusive, and non-negotiable, resting on the divine name revealed to Moses and the daily confession of the Shema (Chapter 1). It has shown that the grammar of Israel’s own primary name for God, and the plural self-address God uses at pivotal narrative moments, cannot be dissolved by appeal to a “plural of majesty” that contemporary Hebrew grammarians broadly agree does not actually exist as a category in Biblical Hebrew, leaving real interpretive puzzles that responsible readers cannot simply define away (Chapter 2). It has shown that a recurring figure called the angel of the LORD speaks, acts, and is worshiped in ways that repeatedly blur the line between a created messenger and God himself, without the Old Testament ever fully resolving which side of that line he stands on (Chapter 3). It has shown that Second Temple Jewish thought, working directly from Old Testament texts like Daniel 7 and Psalm 110, developed real and theologically serious speculation about a second, exalted heavenly figure sharing God’s throne and authority — speculation serious enough to provoke an organized rabbinic condemnation of “two powers in heaven” as heresy, which is itself decisive evidence that the underlying texts were doing real interpretive work in Jewish minds long before Christianity existed (Chapter 4). And it has shown that Wisdom, Word, and Spirit are each described, at different points across the Hebrew Bible, in personal, active, agent-like terms that edge toward, without ever completing, a kind of internal distinctness within the being of the one God (Chapter 5). None of this proves the Trinity. All of it, taken together, creates exactly the kind of theological space, textual vocabulary, and unresolved narrative tension that the New Testament’s own claims about Jesus Christ and the Holy Spirit will need, and will use, in order to be received as the fulfillment of Israel’s Scriptures rather than their contradiction.</w:t>
      </w:r>
    </w:p>
    <w:p w14:paraId="24D17097" w14:textId="77777777" w:rsidR="009C7F52" w:rsidRDefault="00731002">
      <w:pPr>
        <w:pStyle w:val="BodyText"/>
      </w:pPr>
      <w:r>
        <w:t>That is the argument this book will spend its remaining chapters defending in detail: that the New Testament’s teaching about Jesus Christ’s full deity and distinct personhood, and about the Holy Spirit’s full deity and distinct personhood, alongside the Father, does not spring from nowhere, and does not contradict or overwrite what the Old Testament had already established about the one God, Yahweh. It fulfills it, the way an answer fulfills a question that has been carefully, patiently, and honestly left open for a very long time. The prophets and psalmists of Israel spoke more truth than they themselves could fully see the shape of; the New Testament writers, standing on the other side of the resurrection and Pentecost, would be given eyes to see, in Israel’s own Scriptures, exactly what had been waiting there all along. It is to that unveiling — beginning with the birth, life, and self-testimony of a Galilean rabbi who spoke as though he had the right to forgive sins, calm storms, and receive worship — that this book turns next.</w:t>
      </w:r>
    </w:p>
    <w:p w14:paraId="11D90D07" w14:textId="77777777" w:rsidR="009C7F52" w:rsidRDefault="00731002">
      <w:r>
        <w:br w:type="page"/>
      </w:r>
    </w:p>
    <w:p w14:paraId="4ED5738C" w14:textId="77777777" w:rsidR="009C7F52" w:rsidRDefault="00731002">
      <w:pPr>
        <w:keepNext/>
        <w:pageBreakBefore/>
        <w:spacing w:before="360" w:after="200"/>
        <w:jc w:val="center"/>
      </w:pPr>
      <w:bookmarkStart w:id="50" w:name="X028d9dd7ab72a10ef510aff8da9b1b75cd68fe3"/>
      <w:bookmarkEnd w:id="4"/>
      <w:bookmarkEnd w:id="44"/>
      <w:bookmarkEnd w:id="49"/>
      <w:r>
        <w:rPr>
          <w:noProof/>
        </w:rPr>
        <w:drawing>
          <wp:inline distT="0" distB="0" distL="0" distR="0" wp14:anchorId="39EFB0E6" wp14:editId="3B62358E">
            <wp:extent cx="4160520" cy="7396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6DBEAFED" w14:textId="77777777" w:rsidR="009C7F52" w:rsidRDefault="00731002">
      <w:pPr>
        <w:pStyle w:val="Heading1"/>
      </w:pPr>
      <w:r>
        <w:t>Part II: The Full Revelation in the New Testament</w:t>
      </w:r>
    </w:p>
    <w:p w14:paraId="477010C8" w14:textId="77777777" w:rsidR="009F2F79" w:rsidRDefault="001A04A2">
      <w:pPr>
        <w:pStyle w:val="Heading3"/>
      </w:pPr>
      <w:r>
        <w:t>Why the Old Testament Does Not Yet Supply a Decisive Formulation</w:t>
      </w:r>
    </w:p>
    <w:p w14:paraId="3140A1E6" w14:textId="77777777" w:rsidR="009F2F79" w:rsidRDefault="001A04A2">
      <w:pPr>
        <w:pStyle w:val="FirstParagraph"/>
      </w:pPr>
      <w:r>
        <w:t>The absence of a fully articulated Trinitarian formula in the Old Testament is not evidence that the later doctrine contradicts Israel’s faith. Revelation has a history. Before the incarnation and Pentecost, Scripture establishes the identity of the one God and introduces patterns that later revelation will clarify: divine speech in the plural, the Angel who is distinguished from God and yet bears God’s name, the personal agency of the Spirit, and the distinction between God and his anointed king. These patterns are real, but their earlier readers were not yet given the redemptive events by which their full relation would become plain.</w:t>
      </w:r>
      <w:hyperlink w:anchor="cite_380" w:history="1">
        <w:r>
          <w:rPr>
            <w:color w:val="671C2A"/>
            <w:sz w:val="16"/>
            <w:vertAlign w:val="superscript"/>
          </w:rPr>
          <w:t>380</w:t>
        </w:r>
      </w:hyperlink>
    </w:p>
    <w:p w14:paraId="178FB4D9" w14:textId="77777777" w:rsidR="009F2F79" w:rsidRDefault="001A04A2">
      <w:pPr>
        <w:pStyle w:val="BodyText"/>
      </w:pPr>
      <w:r>
        <w:t>That means Christian interpretation must avoid two opposite errors. It must not force fourth-century vocabulary back into every Old Testament passage, as though the patriarchs already possessed the Nicene Creed in conceptual form. It must also refuse the claim that the New Testament invents a different God. The later disclosure grows organically from the earlier one: the one Yahweh of Israel acts in the sending of the Son and the outpouring of the Spirit, so that what had appeared as unresolved texture is gathered into a coherent personal pattern.</w:t>
      </w:r>
    </w:p>
    <w:p w14:paraId="7F199676" w14:textId="77777777" w:rsidR="009F2F79" w:rsidRDefault="001A04A2">
      <w:pPr>
        <w:pStyle w:val="BodyText"/>
      </w:pPr>
      <w:r>
        <w:t>The decisive evidence therefore appears in the history of redemption itself. The Father sends the Son without ceasing to be God; the Son comes, speaks and acts with divine identity, dies and rises in the flesh, and returns to the Father; the Spirit is poured out as the personal, life-giving presence of God. The doctrine of the Trinity is the church’s account of those acts under the continuing boundary of the Shema. It is neither an inference from a plural noun nor a speculative theory imposed on God from outside Scripture.</w:t>
      </w:r>
    </w:p>
    <w:p w14:paraId="13AE1E76" w14:textId="77777777" w:rsidR="009C7F52" w:rsidRDefault="00731002">
      <w:pPr>
        <w:pStyle w:val="Heading2"/>
        <w:pBdr>
          <w:bottom w:val="single" w:sz="10" w:space="8" w:color="A68037"/>
        </w:pBdr>
      </w:pPr>
      <w:bookmarkStart w:id="51" w:name="X4336149a2def3f51e39553630b0e22a3447498c"/>
      <w:r>
        <w:t>Chapter 7: The God Who Sends: The Father and the Son in the Gospels</w:t>
      </w:r>
    </w:p>
    <w:p w14:paraId="19D3566F" w14:textId="77777777" w:rsidR="009C7F52" w:rsidRDefault="00731002">
      <w:pPr>
        <w:pStyle w:val="FirstParagraph"/>
      </w:pPr>
      <w:r>
        <w:t>A Jewish carpenter’s son stands in a synagogue and calls the God of Israel “my Father” — not as a pious figure of speech every worshiper might use, but in a tone so intimate and so exclusive that the men listening to him reach for stones. Something new has entered the world’s language about God, and the Gospels want their readers to feel the shock of it before they explain it.</w:t>
      </w:r>
    </w:p>
    <w:p w14:paraId="5BA79153" w14:textId="77777777" w:rsidR="009C7F52" w:rsidRDefault="00731002">
      <w:pPr>
        <w:pStyle w:val="Heading3"/>
        <w:pBdr>
          <w:bottom w:val="single" w:sz="4" w:space="5" w:color="C8AE75"/>
        </w:pBdr>
      </w:pPr>
      <w:bookmarkStart w:id="52" w:name="Xc211899b0f41378c2345ce2cf58aa2fa69004a7"/>
      <w:r>
        <w:t>A Word the Old Testament Rarely Used This Way</w:t>
      </w:r>
    </w:p>
    <w:p w14:paraId="467F156A" w14:textId="77777777" w:rsidR="009C7F52" w:rsidRDefault="00731002">
      <w:pPr>
        <w:pStyle w:val="FirstParagraph"/>
      </w:pPr>
      <w:r>
        <w:t xml:space="preserve">The Hebrew Scriptures do call God “Father” on occasion — of Israel corporately (Deuteronomy 32:6; Isaiah 63:16), of the Davidic king representatively (2 Samuel 7:14; Psalm 2:7) — but always at a certain distance, and never as the address of one divine person to another. The Gospels break this pattern open. Jesus prays to God as </w:t>
      </w:r>
      <w:r>
        <w:rPr>
          <w:i/>
          <w:iCs/>
        </w:rPr>
        <w:t>Abba</w:t>
      </w:r>
      <w:r>
        <w:t>, an Aramaic term of childlike family closeness that Mark preserves untranslated because no Greek word quite carried its warmth</w:t>
      </w:r>
      <w:hyperlink w:anchor="cite_59" w:history="1">
        <w:r>
          <w:rPr>
            <w:color w:val="671C2A"/>
            <w:sz w:val="16"/>
            <w:vertAlign w:val="superscript"/>
          </w:rPr>
          <w:t>59</w:t>
        </w:r>
      </w:hyperlink>
      <w:r>
        <w:t>. He teaches his disciples to pray the same way, but the Gospels are careful never to blur the line: it is always “my Father” for Jesus and “your Father” for the disciples, never “our Father” spoken by Jesus as one more child among equals</w:t>
      </w:r>
      <w:hyperlink w:anchor="cite_60" w:history="1">
        <w:r>
          <w:rPr>
            <w:color w:val="671C2A"/>
            <w:sz w:val="16"/>
            <w:vertAlign w:val="superscript"/>
          </w:rPr>
          <w:t>60</w:t>
        </w:r>
      </w:hyperlink>
      <w:r>
        <w:t>. John makes the distinction explicit in the resurrection scene: the risen Jesus tells Mary Magdalene he is ascending “to my Father and your Father, to my God and your God” (John 20:17) — two relationships, carefully kept apart in the same sentence.</w:t>
      </w:r>
    </w:p>
    <w:p w14:paraId="14654B71" w14:textId="77777777" w:rsidR="009C7F52" w:rsidRDefault="00731002">
      <w:pPr>
        <w:pStyle w:val="BodyText"/>
      </w:pPr>
      <w:r>
        <w:t>This matters because the Gospel writers were devout monotheists writing for other devout monotheists. They inherited the Shema — “Hear, O Israel: the Lord our God, the Lord is one” (Deuteronomy 6:4) — as the bedrock confession of their faith, the same confession explored at length in the first half of this book. Nothing in the Gospels retracts it. And yet these same writers describe a Father who is unmistakably God and a Son who addresses that Father with a closeness no prophet, king, or angel in Israel’s history had ever used. The Gospels do not experience this as a contradiction to be smoothed over. They present it as a revelation to be received.</w:t>
      </w:r>
    </w:p>
    <w:p w14:paraId="0D0BEFEB" w14:textId="77777777" w:rsidR="009C7F52" w:rsidRDefault="00731002">
      <w:pPr>
        <w:pStyle w:val="Heading3"/>
        <w:pBdr>
          <w:bottom w:val="single" w:sz="4" w:space="5" w:color="C8AE75"/>
        </w:pBdr>
      </w:pPr>
      <w:bookmarkStart w:id="53" w:name="Xa1eb9a8ce47c8488bee6dbd43d7e6b1497dafab"/>
      <w:bookmarkEnd w:id="52"/>
      <w:r>
        <w:t>Sending Christology: The Father Who Sends, The Son Who Is Sent</w:t>
      </w:r>
    </w:p>
    <w:p w14:paraId="1DFFB0E3" w14:textId="77777777" w:rsidR="009C7F52" w:rsidRDefault="00731002">
      <w:pPr>
        <w:pStyle w:val="FirstParagraph"/>
      </w:pPr>
      <w:r>
        <w:t xml:space="preserve">The single most pervasive way the Gospels describe the Father-Son relationship is through the language of sending. Over and again, especially in John, Jesus describes himself not as a self-appointed teacher or a self-generated messianic figure but as one dispatched by another. “For God so loved the world, that he gave his only Son, that whoever believes in him should not perish but have eternal life. For God did not send his Son into the world to condemn the world, but in order that the world might be saved through him” (John 3:16-17). The verb matters as much as the noun. A Father who </w:t>
      </w:r>
      <w:r>
        <w:rPr>
          <w:i/>
          <w:iCs/>
        </w:rPr>
        <w:t>sends</w:t>
      </w:r>
      <w:r>
        <w:t xml:space="preserve"> implies, on the one hand, a prior relationship — the one sent must already exist in relationship to the sender before the sending occurs — and, on the other hand, real distinction: the sender and the sent are not identical, or “sending” would be meaningless.</w:t>
      </w:r>
    </w:p>
    <w:p w14:paraId="7531B5E0" w14:textId="77777777" w:rsidR="009C7F52" w:rsidRDefault="00731002">
      <w:pPr>
        <w:pStyle w:val="BodyText"/>
      </w:pPr>
      <w:r>
        <w:t>John 5 develops this sending language into the most sustained theological statement about the Father-Son relationship anywhere in the Gospels. After healing a man on the Sabbath and defending himself by saying “My Father is working still, and I am working” (John 5:17), Jesus provokes fury because, John tells us, “this was why the Jews were seeking all the more to kill him, because he not only broke the Sabbath but also called God his own Father, making himself equal with God” (John 5:18). The charge is not incidental to the narrative; it is the narrative’s own commentary on what Jesus’s words meant to a first-century Jewish audience. Calling God “my own Father” (using a Greek construction of particular intimacy) was heard as a claim to equality, not subordination.</w:t>
      </w:r>
    </w:p>
    <w:p w14:paraId="0F1B422C" w14:textId="77777777" w:rsidR="009C7F52" w:rsidRDefault="00731002">
      <w:pPr>
        <w:pStyle w:val="BodyText"/>
      </w:pPr>
      <w:r>
        <w:t>Jesus does not deny the charge. He reframes it. “The Son can do nothing of his own accord, but only what he sees the Father doing. For whatever the Father does, that the Son does likewise. For the Father loves the Son and shows him all that he himself is doing… For as the Father has life in himself, so he has granted the Son also to have life in himself. And he has given him authority to execute judgment, because he is the Son of Man” (John 5:19-23, selections). Every clause here does two things at once. It affirms genuine dependence — the Son does nothing “of his own accord,” only what he “sees the Father doing” — which sounds, on the surface, like the language of a subordinate. But the content of what the Son is given is nothing less than divine prerogative itself: life-giving power that belongs to God alone (Deuteronomy 32:39; 1 Samuel 2:6), and the authority to judge all humanity, an office reserved in the Old Testament for God as sole and final judge (Genesis 18:25; Psalm 96:13). The chapter’s climax makes the equality explicit and total: “that all may honor the Son, just as they honor the Father. Whoever does not honor the Son does not honor the Father who sent him” (John 5:23). Honor due to God is here required for the Son, on pain of dishonoring the Father himself. This is sending language used to establish, not diminish, the Son’s deity — a pattern biblical scholars have called “agency Christology,” in which the sent one carries the full authority and identity of the sender, the way an ancient royal envoy spoke and acted with the king’s own authority</w:t>
      </w:r>
      <w:hyperlink w:anchor="cite_61" w:history="1">
        <w:r>
          <w:rPr>
            <w:color w:val="671C2A"/>
            <w:sz w:val="16"/>
            <w:vertAlign w:val="superscript"/>
          </w:rPr>
          <w:t>61</w:t>
        </w:r>
      </w:hyperlink>
      <w:r>
        <w:t>.</w:t>
      </w:r>
    </w:p>
    <w:p w14:paraId="23C645C3" w14:textId="77777777" w:rsidR="009C7F52" w:rsidRDefault="00731002">
      <w:pPr>
        <w:pStyle w:val="Heading3"/>
        <w:pBdr>
          <w:bottom w:val="single" w:sz="4" w:space="5" w:color="C8AE75"/>
        </w:pBdr>
      </w:pPr>
      <w:bookmarkStart w:id="54" w:name="X47781d212be6bed1d57471e6b8a9ab884bfe44b"/>
      <w:bookmarkEnd w:id="53"/>
      <w:r>
        <w:t>What Sending Preserves and What It Reshapes</w:t>
      </w:r>
    </w:p>
    <w:p w14:paraId="086F1107" w14:textId="77777777" w:rsidR="009C7F52" w:rsidRDefault="00731002">
      <w:pPr>
        <w:pStyle w:val="FirstParagraph"/>
      </w:pPr>
      <w:r>
        <w:t>The sending language preserves Old Testament monotheism in at least three ways that the Gospel writers clearly intend their readers to notice. First, it keeps the Father as the ultimate source and initiator: the Son does not send himself, and the Gospels never reverse the direction of the sending formula. Second, it keeps a genuine, not merely nominal, distinction of persons — the Father who sends is not identical to the Son who is sent, any more than a king sending an ambassador is identical to the ambassador. Third, it grounds the mission of the Son in love rather than in some cosmic necessity or conflict among rival deities, echoing the God of Israel’s covenant love for his people (Deuteronomy 7:7-8) now extended to the whole world: “God so loved the world” (John 3:16).</w:t>
      </w:r>
    </w:p>
    <w:p w14:paraId="27ECDC16" w14:textId="77777777" w:rsidR="009C7F52" w:rsidRDefault="00731002">
      <w:pPr>
        <w:pStyle w:val="BodyText"/>
      </w:pPr>
      <w:r>
        <w:t xml:space="preserve">But the sending language also reshapes what monotheism </w:t>
      </w:r>
      <w:r>
        <w:rPr>
          <w:i/>
          <w:iCs/>
        </w:rPr>
        <w:t>means</w:t>
      </w:r>
      <w:r>
        <w:t xml:space="preserve"> in a way the Old Testament alone never fully disclosed. In the Hebrew Scriptures, God sends prophets, angels, and even a mysterious figure called the Angel of the LORD who at times speaks and acts with Yahweh’s own authority — territory this book explored in Part I. But no prophet was ever sent from eternal, prior existence with the Father, and no prophet was ever the proper object of the same honor owed to God. The Son’s sending in John is uniquely qualified: he comes from being “in the beginning with God” (John 1:1-2), from a glory shared with the Father “before the world existed” (John 17:5), and to a destination of returning to the Father’s side. This is not the sending of a creature into existence for a task; it is the sending of one who already possesses eternal life and divine glory into a mission within history. The most concise summary John gives of the whole logic of Trinitarian sending Christology comes at the close of his prologue: “No one has ever seen God; the only God, who is at the Father’s side, has made him known” (John 1:18). Here — depending on the manuscript tradition, either “the only Son” or, in the oldest and best manuscripts, “the only God” — occupies the place at the Father’s side and reveals the Father to the world</w:t>
      </w:r>
      <w:hyperlink w:anchor="cite_62" w:history="1">
        <w:r>
          <w:rPr>
            <w:color w:val="671C2A"/>
            <w:sz w:val="16"/>
            <w:vertAlign w:val="superscript"/>
          </w:rPr>
          <w:t>62</w:t>
        </w:r>
      </w:hyperlink>
      <w:r>
        <w:t>.</w:t>
      </w:r>
    </w:p>
    <w:p w14:paraId="44C407B7" w14:textId="77777777" w:rsidR="009C7F52" w:rsidRDefault="00731002">
      <w:pPr>
        <w:pStyle w:val="Heading3"/>
        <w:pBdr>
          <w:bottom w:val="single" w:sz="4" w:space="5" w:color="C8AE75"/>
        </w:pBdr>
      </w:pPr>
      <w:bookmarkStart w:id="55" w:name="the-synoptic-witness-to-the-same-pattern"/>
      <w:bookmarkEnd w:id="54"/>
      <w:r>
        <w:t>The Synoptic Witness to the Same Pattern</w:t>
      </w:r>
    </w:p>
    <w:p w14:paraId="2F68DB83" w14:textId="77777777" w:rsidR="009C7F52" w:rsidRDefault="00731002">
      <w:pPr>
        <w:pStyle w:val="FirstParagraph"/>
      </w:pPr>
      <w:r>
        <w:t>It would be a mistake to think this Father-Son language is a peculiarity of John’s more theologically reflective Gospel. The Synoptics — Matthew, Mark, and Luke — tell the same story in a different key. At Jesus’s baptism, a voice from heaven declares, “This is my beloved Son, with whom I am well pleased” (Matthew 3:17), and the same declaration is repeated at the Transfiguration (Matthew 17:5). In each case, three distinguishable realities are present in a single scene: the Father’s voice from heaven, the Son standing visibly on the earth, and — in the baptism scene — the Spirit descending “like a dove” (Matthew 3:16). The earliest readers of these Gospels, steeped in the Shema, were not being handed a new pantheon. They were being shown, in narrative form rather than in developed doctrine, three distinguishable persons acting in a single divine mission.</w:t>
      </w:r>
    </w:p>
    <w:p w14:paraId="64B9F6DF" w14:textId="77777777" w:rsidR="009C7F52" w:rsidRDefault="00731002">
      <w:pPr>
        <w:pStyle w:val="BodyText"/>
      </w:pPr>
      <w:r>
        <w:t>Matthew’s Gospel preserves one of the most startling of all Father-Son sayings, appearing almost incidentally in the middle of a teaching discourse: “All things have been handed over to me by my Father, and no one knows the Son except the Father, and no one knows the Father except the Son and anyone to whom the Son chooses to reveal him” (Matthew 11:27). The claim to reciprocal, exclusive, mutual knowledge between the Father and the Son — a knowledge no third party possesses natively, and which only the Son can extend to others — places the Son in the position of the only qualified revealer of God, a role nowhere given to a mere prophet or angel in the Hebrew Bible. Luke preserves an almost identical saying (Luke 10:21-22), suggesting this was not John’s late theological embellishment but very early tradition shared across independent Gospel sources.</w:t>
      </w:r>
    </w:p>
    <w:p w14:paraId="4D40B163" w14:textId="77777777" w:rsidR="009C7F52" w:rsidRDefault="00731002">
      <w:pPr>
        <w:pStyle w:val="Heading3"/>
        <w:pBdr>
          <w:bottom w:val="single" w:sz="4" w:space="5" w:color="C8AE75"/>
        </w:pBdr>
      </w:pPr>
      <w:bookmarkStart w:id="56" w:name="the-sons-knowledge-of-the-fathers-timing"/>
      <w:bookmarkEnd w:id="55"/>
      <w:r>
        <w:t>The Son’s Knowledge of the Father’s Timing</w:t>
      </w:r>
    </w:p>
    <w:p w14:paraId="45E1FDC7" w14:textId="77777777" w:rsidR="009C7F52" w:rsidRDefault="00731002">
      <w:pPr>
        <w:pStyle w:val="FirstParagraph"/>
      </w:pPr>
      <w:r>
        <w:t>One further Synoptic saying deserves attention precisely because it is sometimes misread as evidence against the Son’s deity rather than for it. In Mark’s Gospel, discussing the timing of the end of the age, Jesus says, “But concerning that day or that hour, no one knows, not even the angels in heaven, nor the Son, but only the Father” (Mark 13:32). Some readers have taken this verse to mean the Son cannot be fully God, since an omniscient being could not lack knowledge of anything. But the verse’s own structure argues the opposite. Jesus does not place the Son in the same category as the angels by nature — he places the Son in a category above the angels and distinct from them, immediately adjacent to the Father, as the only other being whose knowledge is even worth mentioning in the same breath as the Father’s own. The Gospels elsewhere show Jesus exercising a scope of knowledge no ordinary human being possesses — he perceives Nathanael under the fig tree before ever meeting him (John 1:47-48), he knows the Samaritan woman’s entire domestic history without being told (John 4:17-18), and he predicts in detail his own betrayal, death, and resurrection (Mark 8:31; Mark 14:18-20). What Mark 13:32 most plausibly describes, in the judgment of the great majority of the church’s interpreters across history, is a limitation proper to the Son’s incarnate, human experience — the same voluntary self-limitation the Christ-hymn of Philippians 2 will describe at length later in this Part — not a limitation in the Son’s own eternal divine nature. The Gospels are consistently willing to show the incarnate Son operating within real human limits of time, hunger, weariness, and, in this one saying, a particular piece of end-times timing, without ever retracting the larger pattern of divine authority, divine knowledge, and divine prerogative this chapter has traced.</w:t>
      </w:r>
    </w:p>
    <w:p w14:paraId="09D19AD5" w14:textId="77777777" w:rsidR="009C7F52" w:rsidRDefault="00731002">
      <w:pPr>
        <w:pStyle w:val="Heading3"/>
        <w:pBdr>
          <w:bottom w:val="single" w:sz="4" w:space="5" w:color="C8AE75"/>
        </w:pBdr>
      </w:pPr>
      <w:bookmarkStart w:id="57" w:name="two-wills-in-a-single-mission"/>
      <w:bookmarkEnd w:id="56"/>
      <w:r>
        <w:t>Two Wills in a Single Mission</w:t>
      </w:r>
    </w:p>
    <w:p w14:paraId="492D8132" w14:textId="77777777" w:rsidR="009C7F52" w:rsidRDefault="00731002">
      <w:pPr>
        <w:pStyle w:val="FirstParagraph"/>
      </w:pPr>
      <w:r>
        <w:t>The Gospels also preserve moments of real, visible tension between the Father’s will and the Son’s own experience, and these moments matter for the same reason the sending language matters: they only make sense if Father and Son are genuinely two distinguishable persons, engaged in genuine relationship, rather than two names for a single divine actor. In Gethsemane, on the night before his crucifixion, Jesus prays, “My Father, if it be possible, let this cup pass from me; nevertheless, not as I will, but as you will” (Matthew 26:39). The prayer records a real human experience of dread facing the cross, addressed to a real, distinguishable Father, resolved not by the Son overriding the Father’s will but by the Son submitting his own will to it</w:t>
      </w:r>
      <w:hyperlink w:anchor="cite_63" w:history="1">
        <w:r>
          <w:rPr>
            <w:color w:val="671C2A"/>
            <w:sz w:val="16"/>
            <w:vertAlign w:val="superscript"/>
          </w:rPr>
          <w:t>63</w:t>
        </w:r>
      </w:hyperlink>
      <w:r>
        <w:t>. A being talking to itself does not plead with itself for a different outcome and then submit to its own decision; two persons in a genuine, trusting relationship do exactly this. The Gospels narrate this scene with no sense that it compromises the Son’s deity — indeed, the very next movement of the story is the Son’s arrest, trial, and death understood by every Gospel writer as the willing, sovereign act of the one “through whom all things were made”</w:t>
      </w:r>
      <w:hyperlink w:anchor="cite_64" w:history="1">
        <w:r>
          <w:rPr>
            <w:color w:val="671C2A"/>
            <w:sz w:val="16"/>
            <w:vertAlign w:val="superscript"/>
          </w:rPr>
          <w:t>64</w:t>
        </w:r>
      </w:hyperlink>
      <w:r>
        <w:t>, not the passive victimhood of a lesser being swept along by forces beyond his control.</w:t>
      </w:r>
    </w:p>
    <w:p w14:paraId="71C22E42" w14:textId="77777777" w:rsidR="009C7F52" w:rsidRDefault="00731002">
      <w:pPr>
        <w:pStyle w:val="Heading3"/>
        <w:pBdr>
          <w:bottom w:val="single" w:sz="4" w:space="5" w:color="C8AE75"/>
        </w:pBdr>
      </w:pPr>
      <w:bookmarkStart w:id="58" w:name="a-relationship-not-yet-a-full-doctrine"/>
      <w:bookmarkEnd w:id="57"/>
      <w:r>
        <w:t>A Relationship, Not Yet a Full Doctrine</w:t>
      </w:r>
    </w:p>
    <w:p w14:paraId="417584AD" w14:textId="77777777" w:rsidR="009C7F52" w:rsidRDefault="00731002">
      <w:pPr>
        <w:pStyle w:val="FirstParagraph"/>
      </w:pPr>
      <w:r>
        <w:t>It would be historically careless — and this book has said so repeatedly about Old Testament texts, and says so again here — to claim that the Gospel writers were self-consciously composing a doctrine of the Trinity as later councils would define it. The word “Trinity” appears nowhere in the Gospels. What the Gospels give their readers is something more foundational and, in its way, more compelling: a lived relationship, narrated in real scenes, in which the God of Israel is now known and addressed as Father by one who calls himself, and is called by others, the Son — a Son who prays, obeys, and depends, and yet who receives worship, forgives sins, and claims the very honor due to God. The chapters that follow will trace how the Gospels develop the second half of that pattern — the direct claims to deity Jesus makes about himself — before this book turns to the New Testament’s witness to the Spirit and finally to the mature Trinitarian grammar of the apostolic writings. The Father-Son relationship recorded in the Gospels is where the New Testament’s revelation of the triune God begins, but it is only the doorway into a much larger room.</w:t>
      </w:r>
    </w:p>
    <w:p w14:paraId="546FAD80" w14:textId="77777777" w:rsidR="009C7F52" w:rsidRDefault="007D6CCB">
      <w:r>
        <w:rPr>
          <w:noProof/>
        </w:rPr>
      </w:r>
      <w:r w:rsidR="007D6CCB">
        <w:rPr>
          <w:noProof/>
        </w:rPr>
        <w:pict w14:anchorId="41AD65CC">
          <v:rect id="_x0000_i1031" style="width:0;height:1.5pt" o:hralign="center" o:hrstd="t" o:hr="t"/>
        </w:pict>
      </w:r>
    </w:p>
    <w:p w14:paraId="5B5FDA5F" w14:textId="77777777" w:rsidR="009C7F52" w:rsidRDefault="00731002">
      <w:pPr>
        <w:pStyle w:val="Heading2"/>
        <w:pBdr>
          <w:bottom w:val="single" w:sz="10" w:space="8" w:color="A68037"/>
        </w:pBdr>
      </w:pPr>
      <w:bookmarkStart w:id="59" w:name="X81b2bf8f524726a37e4ff6d7c321c8cf520171f"/>
      <w:bookmarkEnd w:id="51"/>
      <w:bookmarkEnd w:id="58"/>
      <w:r>
        <w:t>Chapter 8: Jesus and the Claim to Deity in the Gospels</w:t>
      </w:r>
    </w:p>
    <w:p w14:paraId="0749444F" w14:textId="77777777" w:rsidR="009C7F52" w:rsidRDefault="00731002">
      <w:pPr>
        <w:pStyle w:val="FirstParagraph"/>
      </w:pPr>
      <w:r>
        <w:t>Ask a first-century Jew what could never, under any circumstances, be said of a human being, and near the top of the list would be this: that a human being existed before Abraham, that a human being deserved worship, and that a human being could forgive sins with a mere word. Jesus said all three things about himself, and the men who heard him understood exactly what he was claiming.</w:t>
      </w:r>
    </w:p>
    <w:p w14:paraId="20CE3D5A" w14:textId="77777777" w:rsidR="009C7F52" w:rsidRDefault="00731002">
      <w:pPr>
        <w:pStyle w:val="Heading3"/>
        <w:pBdr>
          <w:bottom w:val="single" w:sz="4" w:space="5" w:color="C8AE75"/>
        </w:pBdr>
      </w:pPr>
      <w:bookmarkStart w:id="60" w:name="before-abraham-was-i-am"/>
      <w:r>
        <w:t>“Before Abraham Was, I Am”</w:t>
      </w:r>
    </w:p>
    <w:p w14:paraId="23147772" w14:textId="77777777" w:rsidR="009C7F52" w:rsidRDefault="00731002">
      <w:pPr>
        <w:pStyle w:val="FirstParagraph"/>
      </w:pPr>
      <w:r>
        <w:t xml:space="preserve">The most direct of Jesus’s self-disclosures comes during a heated exchange in Jerusalem recorded in John 8. The conversation has been building toward the question of Jesus’s relationship to Abraham, the founding patriarch of the Jewish nation. Jesus’s opponents assume Abraham’s superiority is self-evident; Jesus answers with a claim that detonates the entire premise of the conversation: “Truly, truly, I say to you, before Abraham was, I am” (John 8:58). The grammar is deliberately strange. Jesus does not say “before Abraham was, I </w:t>
      </w:r>
      <w:r>
        <w:rPr>
          <w:i/>
          <w:iCs/>
        </w:rPr>
        <w:t>was</w:t>
      </w:r>
      <w:r>
        <w:t>” — the ordinary way to claim to be older than someone. He says “I am,” using the same construction, ἐγὼ εἰμί (egō eimi, “I am”), that the Greek translation of Exodus 3:14 uses for God’s self-revealed name to Moses at the burning bush: “I AM WHO I AM.” The reaction of the crowd confirms that this was heard as nothing less than a claim to the divine name itself: “So they picked up stones to throw at him” (John 8:59), the standard penalty under Jewish law for blasphemy against God (Leviticus 24:16).</w:t>
      </w:r>
    </w:p>
    <w:p w14:paraId="63370A68" w14:textId="77777777" w:rsidR="009C7F52" w:rsidRDefault="00731002">
      <w:pPr>
        <w:pStyle w:val="BodyText"/>
      </w:pPr>
      <w:r>
        <w:t>This is not an isolated instance. John’s Gospel records a cluster of “I am” sayings — “I am the bread of life” (John 6:35), “I am the light of the world” (John 8:12), “I am the good shepherd” (John 10:11), “I am the resurrection and the life” (John 11:25), “I am the way, and the truth, and the life” (John 14:6) — each of which claims for Jesus a role or attribute that the Old Testament assigns exclusively to Yahweh: Yahweh is Israel’s shepherd (Psalm 23:1; Ezekiel 34:11-16), Yahweh is Israel’s light (Psalm 27:1; Isaiah 60:19-20), Yahweh alone gives life and raises the dead (Deuteronomy 32:39; 1 Samuel 2:6). None of these sayings, taken alone, would be decisive. Taken together, and combined with the unqualified “I am” of John 8:58, they form a consistent pattern too deliberate to be accidental.</w:t>
      </w:r>
    </w:p>
    <w:p w14:paraId="5197283F" w14:textId="77777777" w:rsidR="009C7F52" w:rsidRDefault="00731002">
      <w:pPr>
        <w:pStyle w:val="Heading3"/>
        <w:pBdr>
          <w:bottom w:val="single" w:sz="4" w:space="5" w:color="C8AE75"/>
        </w:pBdr>
      </w:pPr>
      <w:bookmarkStart w:id="61" w:name="Xdb63ccd013db22e0278da175da043d8bbba79e9"/>
      <w:bookmarkEnd w:id="60"/>
      <w:r>
        <w:t>Thomas’s Confession: The Climax of John’s Gospel</w:t>
      </w:r>
    </w:p>
    <w:p w14:paraId="2EEFEB61" w14:textId="77777777" w:rsidR="009C7F52" w:rsidRDefault="00731002">
      <w:pPr>
        <w:pStyle w:val="FirstParagraph"/>
      </w:pPr>
      <w:r>
        <w:t>If John 8:58 shows Jesus claiming deity for himself, John 20:28 shows one of his closest followers recognizing it. After the resurrection, the disciple Thomas — who had refused to believe the other disciples’ report unless he could see and touch the wounds himself — is confronted by the risen Jesus, who invites him to do exactly that. Thomas’s response is immediate and complete: “My Lord and my God!” (John 20:28). The Greek text uses the definite article before both “Lord” and “God” — ὁ κύριός μου καὶ ὁ θεός μου (ho kyrios mou kai ho theos mou, “my Lord and my God,” literally “the Lord of me and the God of me”) — which grammatically rules out reading this as a vague expression of astonishment rather than a direct address to Jesus himself</w:t>
      </w:r>
      <w:hyperlink w:anchor="cite_65" w:history="1">
        <w:r>
          <w:rPr>
            <w:color w:val="671C2A"/>
            <w:sz w:val="16"/>
            <w:vertAlign w:val="superscript"/>
          </w:rPr>
          <w:t>65</w:t>
        </w:r>
      </w:hyperlink>
      <w:r>
        <w:t>. For a devout, monotheistic Jew of the first century, the phrase “my God” occurring on the lips of one addressing another person was, as several commentators have observed, virtually without precedent outside of address to Yahweh himself</w:t>
      </w:r>
      <w:hyperlink w:anchor="cite_66" w:history="1">
        <w:r>
          <w:rPr>
            <w:color w:val="671C2A"/>
            <w:sz w:val="16"/>
            <w:vertAlign w:val="superscript"/>
          </w:rPr>
          <w:t>66</w:t>
        </w:r>
      </w:hyperlink>
      <w:r>
        <w:t>. Crucially, Jesus does not correct Thomas or redirect the confession toward the Father, as, for example, an angel refuses worship intended for God in Revelation 19:10 and 22:8-9. Instead, Jesus commends the faith the confession expresses: “Have you believed because you have seen me? Blessed are those who have not seen and yet have believed” (John 20:29). The Gospel’s own concluding statement of purpose — “these are written so that you may believe that Jesus is the Christ, the Son of God” (John 20:31) — arrives immediately after this scene, framing Thomas’s confession as the theological high point toward which the entire Gospel has been building, deliberately bookending the claim made in the very first verse: “the Word was God” (John 1:1).</w:t>
      </w:r>
    </w:p>
    <w:p w14:paraId="4525B0B2" w14:textId="77777777" w:rsidR="009C7F52" w:rsidRDefault="00731002">
      <w:pPr>
        <w:pStyle w:val="Heading3"/>
        <w:pBdr>
          <w:bottom w:val="single" w:sz="4" w:space="5" w:color="C8AE75"/>
        </w:pBdr>
      </w:pPr>
      <w:bookmarkStart w:id="62" w:name="X8544c43ad99bc66da696481356143ea52a2e4c7"/>
      <w:bookmarkEnd w:id="61"/>
      <w:r>
        <w:t>Receiving Worship, Forgiving Sins, Claiming Authority</w:t>
      </w:r>
    </w:p>
    <w:p w14:paraId="51F868F1" w14:textId="77777777" w:rsidR="009C7F52" w:rsidRDefault="00731002">
      <w:pPr>
        <w:pStyle w:val="FirstParagraph"/>
      </w:pPr>
      <w:r>
        <w:t>The Gospels are not content to let deity claims rest on theological titles alone; they narrate Jesus doing things that only God has the right to do.</w:t>
      </w:r>
    </w:p>
    <w:p w14:paraId="41DEBBF1" w14:textId="77777777" w:rsidR="009C7F52" w:rsidRDefault="00731002">
      <w:pPr>
        <w:pStyle w:val="BodyText"/>
      </w:pPr>
      <w:r>
        <w:rPr>
          <w:b/>
          <w:bCs/>
        </w:rPr>
        <w:t>Receiving worship.</w:t>
      </w:r>
      <w:r>
        <w:t xml:space="preserve"> In a strictly monotheistic culture where worship (προσκυνέω, proskyneō, “to fall down and pay homage”) belonged to God alone, the Gospels repeatedly show people worshiping Jesus without correction. The disciples in the boat, having watched Jesus walk on water and calm the storm, “worshiped him, saying, ‘Truly you are the Son of God’” (Matthew 14:33). After the resurrection, the women at the tomb “worshiped him” (Matthew 28:9), and when Jesus commissions the disciples on the mountain, “they worshiped him” even as some still doubted (Matthew 28:17). This is a repeated narrative pattern, not a single ambiguous incident, and it stands in sharp contrast to the biblical pattern in which faithful angels and apostles alike refuse worship directed at them (Acts 10:25-26; Revelation 22:8-9).</w:t>
      </w:r>
    </w:p>
    <w:p w14:paraId="18DCF6F4" w14:textId="77777777" w:rsidR="009C7F52" w:rsidRDefault="00731002">
      <w:pPr>
        <w:pStyle w:val="BodyText"/>
      </w:pPr>
      <w:r>
        <w:rPr>
          <w:b/>
          <w:bCs/>
        </w:rPr>
        <w:t>Forgiving sins.</w:t>
      </w:r>
      <w:r>
        <w:t xml:space="preserve"> When a paralyzed man is lowered through a roof to Jesus in Capernaum, Jesus’s first response is not physical healing but a pronouncement: “Son, your sins are forgiven” (Mark 2:5). The theological experts present recognize immediately what is at stake: “Why does this man speak like this? He is blaspheming! Who can forgive sins but God alone?” (Mark 2:7). Their theology is not wrong — only God can forgive sins understood as offenses against God’s own law and person. Jesus’s response does not correct their theology; it accepts the premise and answers the implicit challenge by healing the man outright, “so that you may know that the Son of Man has authority on earth to forgive sins” (Mark 2:10). The miracle functions as evidence for the prior, more radical claim to divine authority</w:t>
      </w:r>
      <w:hyperlink w:anchor="cite_67" w:history="1">
        <w:r>
          <w:rPr>
            <w:color w:val="671C2A"/>
            <w:sz w:val="16"/>
            <w:vertAlign w:val="superscript"/>
          </w:rPr>
          <w:t>67</w:t>
        </w:r>
      </w:hyperlink>
      <w:r>
        <w:t>.</w:t>
      </w:r>
    </w:p>
    <w:p w14:paraId="6FFA9F6B" w14:textId="77777777" w:rsidR="009C7F52" w:rsidRDefault="00731002">
      <w:pPr>
        <w:pStyle w:val="BodyText"/>
      </w:pPr>
      <w:r>
        <w:rPr>
          <w:b/>
          <w:bCs/>
        </w:rPr>
        <w:t>Claiming authority belonging to Yahweh alone.</w:t>
      </w:r>
      <w:r>
        <w:t xml:space="preserve"> Jesus repeatedly claims prerogatives that the Old Testament reserves for God: authority over the Sabbath, which God himself instituted (Mark 2:28); the authority to judge all humanity at the end of the age, an office belonging to God as the world’s sole and final judge (John 5:22, 27; Matthew 25:31-46); and the authority to receive, on the final day, all people “gathered before him” for judgment, language drawn directly from Daniel’s vision of the “Ancient of Days” and the divine courtroom (Daniel 7:9-10; Matthew 25:31-32). Perhaps the most explicit and legally consequential of these claims comes at Jesus’s trial before the Sanhedrin. Asked directly whether he is “the Christ, the Son of the Blessed One,” Jesus answers, “I am, and you will see the Son of Man seated at the right hand of Power, and coming with the clouds of heaven” (Mark 14:61-62), deliberately fusing Daniel 7:13-14’s vision of a divine-human figure enthroned beside “the Ancient of Days” with Psalm 110:1’s oracle of the Lord seated “at the right hand” of Yahweh. The high priest’s reaction — tearing his garments and declaring the words blasphemy, the capital charge that leads directly to the crucifixion (Mark 14:63-64) — is itself historical evidence for how the claim was heard by those best positioned to understand its weight</w:t>
      </w:r>
      <w:hyperlink w:anchor="cite_68" w:history="1">
        <w:r>
          <w:rPr>
            <w:color w:val="671C2A"/>
            <w:sz w:val="16"/>
            <w:vertAlign w:val="superscript"/>
          </w:rPr>
          <w:t>68</w:t>
        </w:r>
      </w:hyperlink>
      <w:r>
        <w:t>. New Testament scholar Denny Burk’s close exegetical treatment of John 5:19-23 reaches the same conclusion from the Johannine material examined earlier in this chapter, arguing that the passage’s own internal logic requires the Son’s equality with the Father in nature even while affirming a real, ongoing relationship of dependence in the economy of the Son’s mission</w:t>
      </w:r>
      <w:hyperlink w:anchor="cite_69" w:history="1">
        <w:r>
          <w:rPr>
            <w:color w:val="671C2A"/>
            <w:sz w:val="16"/>
            <w:vertAlign w:val="superscript"/>
          </w:rPr>
          <w:t>69</w:t>
        </w:r>
      </w:hyperlink>
      <w:r>
        <w:t>.</w:t>
      </w:r>
    </w:p>
    <w:p w14:paraId="7CC2AF39" w14:textId="77777777" w:rsidR="009C7F52" w:rsidRDefault="00731002">
      <w:pPr>
        <w:pStyle w:val="Heading3"/>
        <w:pBdr>
          <w:bottom w:val="single" w:sz="4" w:space="5" w:color="C8AE75"/>
        </w:pBdr>
      </w:pPr>
      <w:bookmarkStart w:id="63" w:name="X9d77e27ddea8c70a7757109dcc0aeab44cc1dda"/>
      <w:bookmarkEnd w:id="62"/>
      <w:r>
        <w:t>Not Just John: The Synoptic Case for Implicit Deity</w:t>
      </w:r>
    </w:p>
    <w:p w14:paraId="53C9185D" w14:textId="77777777" w:rsidR="009C7F52" w:rsidRDefault="00731002">
      <w:pPr>
        <w:pStyle w:val="FirstParagraph"/>
      </w:pPr>
      <w:r>
        <w:t>A common but mistaken assumption holds that “high” claims to Jesus’s deity belong only to John’s theologically developed Gospel, while the Synoptics present a more modest, merely human Jesus. The evidence above already tells against this — the forgiveness of sins, the Sabbath authority claim, and the trial scene are all Synoptic material, most of it (Mark’s Gospel especially) among the earliest written traditions about Jesus. The “Son of Man” title itself, used by Jesus roughly eighty times across the Gospels and drawn directly from Daniel 7’s vision of a figure who approaches the divine throne, receives worship from “all peoples, nations, and languages,” and is given “an everlasting dominion that will not pass away” (Daniel 7:13-14), was not a title of humility. In its Danielic source, it names a figure who shares in divine sovereignty and receives an allegiance elsewhere reserved for God alone — a connection New Testament scholarship, including studies on Second Temple Jewish “two powers” speculation discussed earlier in this book, has increasingly recognized as central to how Jesus’s earliest followers understood his self-designation</w:t>
      </w:r>
      <w:hyperlink w:anchor="cite_70" w:history="1">
        <w:r>
          <w:rPr>
            <w:color w:val="671C2A"/>
            <w:sz w:val="16"/>
            <w:vertAlign w:val="superscript"/>
          </w:rPr>
          <w:t>70</w:t>
        </w:r>
      </w:hyperlink>
      <w:r>
        <w:t>.</w:t>
      </w:r>
    </w:p>
    <w:p w14:paraId="64B88EF6" w14:textId="77777777" w:rsidR="009C7F52" w:rsidRDefault="00731002">
      <w:pPr>
        <w:pStyle w:val="BodyText"/>
      </w:pPr>
      <w:r>
        <w:t>Luke, too, records Jesus applying to himself Isaiah 61’s prophecy of the Spirit-anointed servant who proclaims good news and liberty (Luke 4:18-21), and preserves the same exclusive Father-Son mutual-knowledge saying found in Matthew (Luke 10:21-22). Mark opens his entire Gospel by applying to Jesus an Old Testament prophecy about preparing “the way of the Lord” — Yahweh himself — in the wilderness (Mark 1:2-3, quoting Isaiah 40:3 and Malachi 3:1), identifying Jesus’s coming with Yahweh’s own coming to his people.</w:t>
      </w:r>
    </w:p>
    <w:p w14:paraId="175151C8" w14:textId="77777777" w:rsidR="009C7F52" w:rsidRDefault="00731002">
      <w:pPr>
        <w:pStyle w:val="Heading3"/>
        <w:pBdr>
          <w:bottom w:val="single" w:sz="4" w:space="5" w:color="C8AE75"/>
        </w:pBdr>
      </w:pPr>
      <w:bookmarkStart w:id="64" w:name="lord-of-the-temple"/>
      <w:bookmarkEnd w:id="63"/>
      <w:r>
        <w:t>Lord of the Temple</w:t>
      </w:r>
    </w:p>
    <w:p w14:paraId="25BB140A" w14:textId="77777777" w:rsidR="009C7F52" w:rsidRDefault="00731002">
      <w:pPr>
        <w:pStyle w:val="FirstParagraph"/>
      </w:pPr>
      <w:r>
        <w:t>A further claim, easy to pass over quickly but startling in its original context, appears when Jesus drives merchants and money-changers from the Jerusalem temple courts. Quoting Isaiah and Jeremiah, he declares, “My house shall be called a house of prayer… but you make it a den of robbers” (Matthew 21:13, quoting Isaiah 56:7 and Jeremiah 7:11). The phrase “my house” is drawn directly from Old Testament oracles in which Yahweh himself speaks of the temple as his own dwelling and calls it “my house” because it belongs to him and houses his own presence (Isaiah 56:7; 1 Kings 8:13). Jesus applies this possessive language to himself without qualification, claiming an owner’s authority over the one building in the ancient world universally understood to belong exclusively to God. John’s Gospel records the same episode with an added detail: when challenged for a sign proving his authority to act this way, Jesus answers, “Destroy this temple, and in three days I will raise it up,” which John explains “he was speaking about the temple of his body” (John 2:19-21) — identifying his own body, and by extension his own person, as the true and greater temple, the ultimate locus of God’s dwelling with his people that the Jerusalem temple had only ever anticipated.</w:t>
      </w:r>
    </w:p>
    <w:p w14:paraId="14FC87D2" w14:textId="77777777" w:rsidR="009C7F52" w:rsidRDefault="00731002">
      <w:pPr>
        <w:pStyle w:val="Heading3"/>
        <w:pBdr>
          <w:bottom w:val="single" w:sz="4" w:space="5" w:color="C8AE75"/>
        </w:pBdr>
      </w:pPr>
      <w:bookmarkStart w:id="65" w:name="X2fe6055de54f3e3069af2b0e031b4887cda263d"/>
      <w:bookmarkEnd w:id="64"/>
      <w:r>
        <w:t>The Stilling of the Storm and the God Who Rules the Sea</w:t>
      </w:r>
    </w:p>
    <w:p w14:paraId="36F34201" w14:textId="77777777" w:rsidR="009C7F52" w:rsidRDefault="00731002">
      <w:pPr>
        <w:pStyle w:val="FirstParagraph"/>
      </w:pPr>
      <w:r>
        <w:t>One further Synoptic episode deserves attention alongside the trial scene and the forgiveness of sins, because it draws on a specific strand of Old Testament imagery its first hearers would have recognized instantly. When a sudden storm threatens to sink the disciples’ boat on the Sea of Galilee, Jesus “rebuked the wind and said to the sea, ‘Peace! Be still!’ And the wind ceased, and there was a great calm” (Mark 4:39). The disciples’ reaction is telling: rather than simple relief, Mark records that “they were filled with great fear and said to one another, ‘Who then is this, that even the wind and the sea obey him?’” (Mark 4:41). In the Hebrew Scriptures, mastery over the raging sea is consistently and exclusively Yahweh’s own prerogative — the Psalms describe God as the one who “stilled the storm to a whisper” and “hushed the waves” (Psalm 107:29), who alone “rules the raging of the sea” and “stills” its rising waves (Psalm 89:9), and Job describes the sea as something only God has power to shut in with doors and limits (Job 38:8-11). The disciples’ question is not merely rhetorical bewilderment; within their own scriptural categories, mastery over the sea belonged to one being alone, and Jesus had just exercised it with a word</w:t>
      </w:r>
      <w:hyperlink w:anchor="cite_71" w:history="1">
        <w:r>
          <w:rPr>
            <w:color w:val="671C2A"/>
            <w:sz w:val="16"/>
            <w:vertAlign w:val="superscript"/>
          </w:rPr>
          <w:t>71</w:t>
        </w:r>
      </w:hyperlink>
      <w:r>
        <w:t>.</w:t>
      </w:r>
    </w:p>
    <w:p w14:paraId="2D37FB7A" w14:textId="77777777" w:rsidR="009F2F79" w:rsidRDefault="001A04A2">
      <w:pPr>
        <w:pStyle w:val="Heading3"/>
      </w:pPr>
      <w:r>
        <w:t>Seven Converging Lines of Testimony</w:t>
      </w:r>
    </w:p>
    <w:p w14:paraId="57B74C5D" w14:textId="77777777" w:rsidR="009F2F79" w:rsidRDefault="001A04A2">
      <w:pPr>
        <w:pStyle w:val="FirstParagraph"/>
      </w:pPr>
      <w:r>
        <w:t>A strong case for the deity of Christ does not depend on making one verse carry more weight than it can bear. The evidence converges from several directions. The Son exists before his human birth and before the created order; prophecy places the coming Messiah within the identity and work of Yahweh; divine names and titles are given to him; divine perfections characterize him; he stands in eternal relation to the Father and the Spirit; he performs works that Scripture reserves for God; and he receives the honor due to God. None of those lines should be isolated from the others. Together they form a canonical judgment about who Jesus is.</w:t>
      </w:r>
      <w:hyperlink w:anchor="cite_381" w:history="1">
        <w:r>
          <w:rPr>
            <w:color w:val="671C2A"/>
            <w:sz w:val="16"/>
            <w:vertAlign w:val="superscript"/>
          </w:rPr>
          <w:t>381</w:t>
        </w:r>
      </w:hyperlink>
    </w:p>
    <w:p w14:paraId="2DF96BD8" w14:textId="77777777" w:rsidR="009F2F79" w:rsidRDefault="001A04A2">
      <w:pPr>
        <w:pStyle w:val="BodyText"/>
      </w:pPr>
      <w:r>
        <w:t>Preexistence is not simply foreordination in the divine plan. John presents the Word as already existing when the beginning began, and Jesus speaks of the glory he shared with the Father before the world existed. The prophetic line is equally personal: the promised ruler comes from ancient days, bears names that exceed merely royal dignity, and performs the saving visitation Scripture attributes to the LORD. The New Testament does not attach these texts to Jesus as decorative prooftexts. It reads Israel’s Scriptures as reaching their intended climax in him.</w:t>
      </w:r>
    </w:p>
    <w:p w14:paraId="54AB1210" w14:textId="77777777" w:rsidR="009F2F79" w:rsidRDefault="001A04A2">
      <w:pPr>
        <w:pStyle w:val="BodyText"/>
      </w:pPr>
      <w:r>
        <w:t>Names and attributes clarify what this fulfillment entails. Jesus is called God and Lord in contexts where those words identify the divine ruler, and he possesses eternity, sovereign authority, comprehensive knowledge, omnipresence, life in himself, and unchanging faithfulness. Scripture does not distribute these perfections as though the Son possessed fragments of deity. The fullness of deity dwells in him. Because the divine essence is indivisible, “fully God” cannot mean that the Son owns one share of God alongside the Father’s and the Spirit’s shares.</w:t>
      </w:r>
      <w:hyperlink w:anchor="cite_382" w:history="1">
        <w:r>
          <w:rPr>
            <w:color w:val="671C2A"/>
            <w:sz w:val="16"/>
            <w:vertAlign w:val="superscript"/>
          </w:rPr>
          <w:t>382</w:t>
        </w:r>
      </w:hyperlink>
    </w:p>
    <w:p w14:paraId="41E0CC6D" w14:textId="77777777" w:rsidR="009F2F79" w:rsidRDefault="001A04A2">
      <w:pPr>
        <w:pStyle w:val="BodyText"/>
      </w:pPr>
      <w:r>
        <w:t>The works and honors attributed to Christ confirm the same conclusion. He creates and sustains all things, forgives sins by his own authority, gives life, sends the Spirit, preserves his people, raises the dead, and executes final judgment. Angels and apostles refuse worship when it is misdirected toward them; Christ receives worship as fitting. The cumulative force is decisive: Scripture places the Son on the Creator side of the Creator-creature distinction while personally distinguishing him from the Father who sends and loves him.</w:t>
      </w:r>
    </w:p>
    <w:p w14:paraId="680F388D" w14:textId="77777777" w:rsidR="009C7F52" w:rsidRDefault="00731002">
      <w:pPr>
        <w:pStyle w:val="Heading3"/>
        <w:pBdr>
          <w:bottom w:val="single" w:sz="4" w:space="5" w:color="C8AE75"/>
        </w:pBdr>
      </w:pPr>
      <w:bookmarkStart w:id="66" w:name="the-cumulative-case"/>
      <w:bookmarkEnd w:id="65"/>
      <w:r>
        <w:t>The Cumulative Case</w:t>
      </w:r>
    </w:p>
    <w:p w14:paraId="2AF979F3" w14:textId="77777777" w:rsidR="009C7F52" w:rsidRDefault="00731002">
      <w:pPr>
        <w:pStyle w:val="FirstParagraph"/>
      </w:pPr>
      <w:r>
        <w:t>No single text in the Gospels functions as an isolated, all-sufficient proof of Jesus’s deity in the way later creeds would articulate it — this book has insisted throughout on historical carefulness about what a text does and does not establish on its own. But cumulative weight matters in historical argument as much as in a court of law. A figure who claims pre-existence before Abraham using the divine name, who receives worship without rebuke, who forgives sins as only God can, who claims authority over the Sabbath that God instituted, who claims the office of final judge over all humanity, and who applies to himself Old Testament language reserved for Yahweh’s own coming — this is not a portrait built from isolated, ambiguous fragments. It is a consistent, multiply-attested pattern running through every Gospel source, early and late, Synoptic and Johannine alike. The Gospels do not present a merely human teacher who was later divinized by enthusiastic followers; they present, from their earliest layers, a figure who made — and whose earliest witnesses understood him to be making — claims that only make sense if he is who Thomas confessed him to be: Lord and God. The chapters that follow will trace how this same conviction runs through the New Testament’s witness to the Spirit, through Paul’s letters, and through the remaining apostolic writings, before this Part turns to the Greek grammar underlying these claims and finally to the formal vocabulary later theology would use to hold them all together.</w:t>
      </w:r>
    </w:p>
    <w:p w14:paraId="3FC83B5D" w14:textId="77777777" w:rsidR="009C7F52" w:rsidRDefault="007D6CCB">
      <w:r>
        <w:rPr>
          <w:noProof/>
        </w:rPr>
      </w:r>
      <w:r w:rsidR="007D6CCB">
        <w:rPr>
          <w:noProof/>
        </w:rPr>
        <w:pict w14:anchorId="34271B73">
          <v:rect id="_x0000_i1032" style="width:0;height:1.5pt" o:hralign="center" o:hrstd="t" o:hr="t"/>
        </w:pict>
      </w:r>
    </w:p>
    <w:p w14:paraId="7F9A41B0" w14:textId="77777777" w:rsidR="009F2F79" w:rsidRDefault="001A04A2">
      <w:pPr>
        <w:pStyle w:val="Heading3"/>
      </w:pPr>
      <w:r>
        <w:t>James White’s Cumulative Case for the Deity of Christ</w:t>
      </w:r>
    </w:p>
    <w:p w14:paraId="5BD6F426" w14:textId="77777777" w:rsidR="009F2F79" w:rsidRDefault="001A04A2">
      <w:pPr>
        <w:pStyle w:val="FirstParagraph"/>
      </w:pPr>
      <w:r>
        <w:t>White’s defense of Christ’s deity is deliberately cumulative. He does not rest the doctrine on one disputed translation but asks what category can contain the whole witness of Scripture. John 8:58 presents Jesus claiming existence before Abraham in the absolute language “I am,” while John 8:24 warns that refusal to believe Jesus’ identity leaves the hearer in sin. John 20:28 then brings the Gospel to its confessional climax when Thomas addresses the risen Christ as “My Lord and my God.” These statements stand within a Gospel that has already identified the Word as eternal, personally with God, fully divine, creator of all things, and incarnate in Jesus Christ.</w:t>
      </w:r>
    </w:p>
    <w:p w14:paraId="60612F58" w14:textId="77777777" w:rsidR="009F2F79" w:rsidRDefault="001A04A2">
      <w:pPr>
        <w:pStyle w:val="BodyText"/>
      </w:pPr>
      <w:r>
        <w:t>The same confession appears in texts whose grammar joins the titles “God” and “Savior” to Jesus Christ. Titus 2:13 speaks of the appearing of “our great God and Savior, Jesus Christ,” and 2 Peter 1:1 speaks of the righteousness of “our God and Savior Jesus Christ.” Romans 9:5 climaxes Paul’s description of Israel’s privileges by identifying the Messiah according to the flesh as God over all, blessed forever. Each text deserves grammatical care, but together they form a pattern too consistent to dismiss as a chain of accidents.</w:t>
      </w:r>
    </w:p>
    <w:p w14:paraId="0B621F22" w14:textId="77777777" w:rsidR="009F2F79" w:rsidRDefault="001A04A2">
      <w:pPr>
        <w:pStyle w:val="BodyText"/>
      </w:pPr>
      <w:r>
        <w:t>Christ is also placed on the Creator side of the Creator-creature distinction. John 1:3 states that all created things came into being through the Word and excludes even one created thing from that totality. Colossians 1:16–17 says that all things in heaven and earth, visible and invisible, including every throne, dominion, ruler, and authority, were created through Christ and for Christ, and that he exists before all things and sustains them. Hebrews 1:2–3 likewise presents the Son as the agent of creation, the radiance of God’s glory, the exact imprint of his nature, and the one who upholds all things by his powerful word. A being through whom every created thing came to exist cannot coherently be placed inside the class of created things.</w:t>
      </w:r>
    </w:p>
    <w:p w14:paraId="4E511EDD" w14:textId="77777777" w:rsidR="009F2F79" w:rsidRDefault="001A04A2">
      <w:pPr>
        <w:pStyle w:val="BodyText"/>
      </w:pPr>
      <w:r>
        <w:t>Several New Testament writers go still further by applying Old Testament Yahweh texts directly to Jesus. Hebrews 1:10–12 applies Psalm 102:25–27, a hymn to the unchanging Creator, to the Son. John 12:41 explains Isaiah’s temple vision by saying that Isaiah saw Christ’s glory. First Peter 3:15 echoes Isaiah 8:12–13 while directing believers to sanctify Christ as Lord in their hearts. Philippians 2:10–11 applies Isaiah 45:23’s universal bending of the knee and confession of Yahweh to Jesus Christ. The cumulative force is not that Jesus resembles Yahweh but that the apostles include Jesus within Yahweh’s unique divine identity.</w:t>
      </w:r>
    </w:p>
    <w:p w14:paraId="1919D104" w14:textId="77777777" w:rsidR="009F2F79" w:rsidRDefault="001A04A2">
      <w:pPr>
        <w:pStyle w:val="BodyText"/>
      </w:pPr>
      <w:r>
        <w:t>First Corinthians 8:6 is especially important because Paul does not abandon the Shema when he confesses Christ. Against the many gods and many lords of paganism, he names “one God, the Father,” from whom are all things, and “one Lord, Jesus Christ,” through whom are all things. “Lord” here is not a lesser rank added beside God. Paul takes the central confession of Israel and expresses it Christologically, placing the Father and the Son within the one divine identity while preserving their personal distinction.</w:t>
      </w:r>
    </w:p>
    <w:p w14:paraId="0E7439EF" w14:textId="77777777" w:rsidR="009F2F79" w:rsidRDefault="001A04A2">
      <w:pPr>
        <w:pStyle w:val="BodyText"/>
      </w:pPr>
      <w:r>
        <w:t>The Son’s voluntary humiliation does not weaken this case. Philippians 2:6–11 begins with Christ existing in the form of God and possessing equality with God, then describes his self-emptying not as surrendering deity but as taking the form of a servant and becoming obedient unto death. The movement is addition, not subtraction: the eternal Son assumes true humanity and the servant’s condition. The Father’s exaltation of the Son displays personal distinction and the incarnate Messiah’s vindication; it does not imply that the Son first became divine after the resurrection.</w:t>
      </w:r>
    </w:p>
    <w:p w14:paraId="1BDF3123" w14:textId="77777777" w:rsidR="009F2F79" w:rsidRDefault="001A04A2">
      <w:pPr>
        <w:pStyle w:val="BodyText"/>
      </w:pPr>
      <w:r>
        <w:t>John 17:5 supplies the same preincarnate horizon. The Son asks the Father to glorify him with the glory he possessed alongside the Father before the world existed. The statement cannot be reduced to an impersonal plan in God’s mind without emptying the dialogue of its natural meaning. A real “I” addresses a real “You” concerning shared glory before creation. The Gospels therefore demand both truths at once: the Son is personally distinct from the Father, and the Son shares the divine glory that belongs to God alone.</w:t>
      </w:r>
    </w:p>
    <w:p w14:paraId="5C6CBEBD" w14:textId="77777777" w:rsidR="009C7F52" w:rsidRDefault="00731002">
      <w:pPr>
        <w:pStyle w:val="Heading2"/>
        <w:pBdr>
          <w:bottom w:val="single" w:sz="10" w:space="8" w:color="A68037"/>
        </w:pBdr>
      </w:pPr>
      <w:bookmarkStart w:id="67" w:name="X3c8279e0240423125df32717dcbaf78c6bf4efc"/>
      <w:bookmarkEnd w:id="59"/>
      <w:bookmarkEnd w:id="66"/>
      <w:r>
        <w:t>Chapter 9: The Holy Spirit as a Divine Person</w:t>
      </w:r>
    </w:p>
    <w:p w14:paraId="52DE4D3F" w14:textId="77777777" w:rsidR="009C7F52" w:rsidRDefault="00731002">
      <w:pPr>
        <w:pStyle w:val="FirstParagraph"/>
      </w:pPr>
      <w:r>
        <w:t xml:space="preserve">Ask most Christians to describe the Father and the Son, and words come easily — Father, Son, love, sending, incarnation. Ask the same Christians to describe the Holy Spirit, and the words often thin out into vague talk of “power” or “presence.” The New Testament will not let the Spirit remain a vague force. It insists, with as much clarity as it insists on the deity of the Son, that the Spirit is a person who can be grieved, who teaches, who intercedes, who can be lied to as one lies to God — because the Spirit </w:t>
      </w:r>
      <w:r>
        <w:rPr>
          <w:i/>
          <w:iCs/>
        </w:rPr>
        <w:t>is</w:t>
      </w:r>
      <w:r>
        <w:t xml:space="preserve"> God.</w:t>
      </w:r>
    </w:p>
    <w:p w14:paraId="35465C01" w14:textId="77777777" w:rsidR="009C7F52" w:rsidRDefault="00731002">
      <w:pPr>
        <w:pStyle w:val="Heading3"/>
        <w:pBdr>
          <w:bottom w:val="single" w:sz="4" w:space="5" w:color="C8AE75"/>
        </w:pBdr>
      </w:pPr>
      <w:bookmarkStart w:id="68" w:name="two-errors-to-avoid"/>
      <w:r>
        <w:t>Two Errors to Avoid</w:t>
      </w:r>
    </w:p>
    <w:p w14:paraId="67445E57" w14:textId="77777777" w:rsidR="009C7F52" w:rsidRDefault="00731002">
      <w:pPr>
        <w:pStyle w:val="FirstParagraph"/>
      </w:pPr>
      <w:r>
        <w:t>Before tracing the biblical evidence, it is worth naming the two opposite mistakes the church has had to resist regarding the Spirit, mistakes explored more fully later in this book’s survey of historic heresies. The first is depersonalizing the Spirit — treating the Spirit as an impersonal force or energy that emanates from God the way heat emanates from a fire, rather than as a person who thinks, wills, and relates. The second is subordinating the Spirit — acknowledging the Spirit as a person but treating that person as a lesser, created, or derivative being rather than as fully and eternally God alongside the Father and the Son. The New Testament rules out both errors, and it does so with two distinct kinds of evidence: texts that show the Spirit possesses genuine personhood, and texts that show the Spirit possesses full deity.</w:t>
      </w:r>
    </w:p>
    <w:p w14:paraId="44E4107D" w14:textId="77777777" w:rsidR="009C7F52" w:rsidRDefault="00731002">
      <w:pPr>
        <w:pStyle w:val="Heading3"/>
        <w:pBdr>
          <w:bottom w:val="single" w:sz="4" w:space="5" w:color="C8AE75"/>
        </w:pBdr>
      </w:pPr>
      <w:bookmarkStart w:id="69" w:name="X9f47eb78f2f4cb9b46d54393a15828325b75e8a"/>
      <w:bookmarkEnd w:id="68"/>
      <w:r>
        <w:t>The Spirit’s Personhood: Grieving, Teaching, Interceding</w:t>
      </w:r>
    </w:p>
    <w:p w14:paraId="7C595FED" w14:textId="77777777" w:rsidR="009C7F52" w:rsidRDefault="00731002">
      <w:pPr>
        <w:pStyle w:val="FirstParagraph"/>
      </w:pPr>
      <w:r>
        <w:t>Personhood, in the sense theologians mean it here, is not primarily about having a body — angels are persons without physical bodies, and human souls are persons even when separated from the body at death. Personhood means being a genuine “who,” a subject capable of mind, will, and relationship, rather than a mere “what,” an impersonal force, quality, or influence. The New Testament attributes exactly this kind of personhood to the Spirit in three especially clear ways.</w:t>
      </w:r>
    </w:p>
    <w:p w14:paraId="0BC2031C" w14:textId="77777777" w:rsidR="009C7F52" w:rsidRDefault="00731002">
      <w:pPr>
        <w:pStyle w:val="BodyText"/>
      </w:pPr>
      <w:r>
        <w:rPr>
          <w:b/>
          <w:bCs/>
        </w:rPr>
        <w:t>The Spirit can be grieved.</w:t>
      </w:r>
      <w:r>
        <w:t xml:space="preserve"> Paul writes to the Ephesian church, “And do not grieve the Holy Spirit of God, by whom you were sealed for the day of redemption” (Ephesians 4:30). Grief is not something one predicates of a force or a substance; forces do not feel sorrow when mistreated. The context makes the point unmistakable — Paul has just finished warning against “corrupting talk,” “bitterness,” and “wrath” (Ephesians 4:29, 31), and identifies the true weight of such sins as an offense against a person who is genuinely wounded by them, echoing the Old Testament language of Israel grieving God’s Spirit in the wilderness (Isaiah 63:10)</w:t>
      </w:r>
      <w:hyperlink w:anchor="cite_72" w:history="1">
        <w:r>
          <w:rPr>
            <w:color w:val="671C2A"/>
            <w:sz w:val="16"/>
            <w:vertAlign w:val="superscript"/>
          </w:rPr>
          <w:t>72</w:t>
        </w:r>
      </w:hyperlink>
      <w:r>
        <w:t>.</w:t>
      </w:r>
    </w:p>
    <w:p w14:paraId="2CFDEDF7" w14:textId="77777777" w:rsidR="009C7F52" w:rsidRDefault="00731002">
      <w:pPr>
        <w:pStyle w:val="BodyText"/>
      </w:pPr>
      <w:r>
        <w:rPr>
          <w:b/>
          <w:bCs/>
        </w:rPr>
        <w:t>The Spirit teaches and testifies.</w:t>
      </w:r>
      <w:r>
        <w:t xml:space="preserve"> In his final discourse to the disciples, Jesus promises, “the Helper, the Holy Spirit, whom the Father will send in my name, he will teach you all things and bring to your remembrance all that I have said to you” (John 14:26). The Greek term translated “Helper” here, παράκλητος (paraklētos, “advocate” or “one called alongside to help”), denotes an advocate or counselor who comes alongside another — precisely the language of personal agency, not impersonal influence. Jesus consistently uses masculine personal pronouns for the Spirit throughout this discourse (John 14:26; 15:26; 16:7-15), despite the fact that the Greek word for “spirit,” πνεῦμα (pneuma, “spirit”), is itself grammatically neuter — a detail grammarians have long noted as significant, since John could easily have used neuter pronouns to match and instead chose personal ones. The Spirit, in this same discourse, is described as one who “will guide you into all the truth,” who “will not speak on his own authority,” and who “will glorify” the Son (John 16:13-14) — verbs of speech, guidance, and relational deference that belong to persons, not forces.</w:t>
      </w:r>
    </w:p>
    <w:p w14:paraId="249ED754" w14:textId="77777777" w:rsidR="009C7F52" w:rsidRDefault="00731002">
      <w:pPr>
        <w:pStyle w:val="BodyText"/>
      </w:pPr>
      <w:r>
        <w:rPr>
          <w:b/>
          <w:bCs/>
        </w:rPr>
        <w:t>The Spirit intercedes.</w:t>
      </w:r>
      <w:r>
        <w:t xml:space="preserve"> Paul writes that “the Spirit himself intercedes for us with groanings too deep for words” (Romans 8:26), because “we do not know what to pray for as we ought.” Intercession is inherently relational and volitional — it requires a mind that understands the need and a will that petitions on another’s behalf. Paul places the Spirit’s intercession in this passage alongside the Son’s own intercessory role (Romans 8:34), presenting a coordinated, two-Person work of intercession on behalf of believers, directed toward the Father.</w:t>
      </w:r>
    </w:p>
    <w:p w14:paraId="7CB766A3" w14:textId="77777777" w:rsidR="009C7F52" w:rsidRDefault="00731002">
      <w:pPr>
        <w:pStyle w:val="Heading3"/>
        <w:pBdr>
          <w:bottom w:val="single" w:sz="4" w:space="5" w:color="C8AE75"/>
        </w:pBdr>
      </w:pPr>
      <w:bookmarkStart w:id="70" w:name="X8d1775c3fd541d8c22f97787cf41c4f6dd83f2b"/>
      <w:bookmarkEnd w:id="69"/>
      <w:r>
        <w:t>The Spirit Convicts, Wills, and Distributes Gifts</w:t>
      </w:r>
    </w:p>
    <w:p w14:paraId="22E9731A" w14:textId="77777777" w:rsidR="009C7F52" w:rsidRDefault="00731002">
      <w:pPr>
        <w:pStyle w:val="FirstParagraph"/>
      </w:pPr>
      <w:r>
        <w:t>Beyond grieving, teaching, and interceding, the New Testament credits the Spirit with a further mark of personhood: sovereign, deliberate choice. Paul tells the Corinthian church that spiritual gifts — wisdom, knowledge, faith, healing, and the rest — are “empowered by one and the same Spirit, who apportions to each one individually as he wills” (1 Corinthians 12:11). The verb “wills” (from βούλομαι, boulomai, “to will” or “to purpose”) describes an act of deliberate, personal decision, not a mechanical or random distribution — forces do not “will” outcomes; only genuine agents do</w:t>
      </w:r>
      <w:hyperlink w:anchor="cite_73" w:history="1">
        <w:r>
          <w:rPr>
            <w:color w:val="671C2A"/>
            <w:sz w:val="16"/>
            <w:vertAlign w:val="superscript"/>
          </w:rPr>
          <w:t>73</w:t>
        </w:r>
      </w:hyperlink>
      <w:r>
        <w:t>. Jesus makes a similar point in his final discourse when he describes the Spirit’s coming ministry to the world: “when he comes, he will convict the world concerning sin and righteousness and judgment” (John 16:8) — conviction is a distinctly personal, relational act, requiring both moral discernment and a will directed toward another’s good, not the passive emanation of an impersonal influence</w:t>
      </w:r>
      <w:hyperlink w:anchor="cite_74" w:history="1">
        <w:r>
          <w:rPr>
            <w:color w:val="671C2A"/>
            <w:sz w:val="16"/>
            <w:vertAlign w:val="superscript"/>
          </w:rPr>
          <w:t>74</w:t>
        </w:r>
      </w:hyperlink>
      <w:r>
        <w:t>.</w:t>
      </w:r>
    </w:p>
    <w:p w14:paraId="70F177E5" w14:textId="77777777" w:rsidR="009C7F52" w:rsidRDefault="00731002">
      <w:pPr>
        <w:pStyle w:val="Heading3"/>
        <w:pBdr>
          <w:bottom w:val="single" w:sz="4" w:space="5" w:color="C8AE75"/>
        </w:pBdr>
      </w:pPr>
      <w:bookmarkStart w:id="71" w:name="X26f16f295c78c48f0a890d86e8b04d75531c5ba"/>
      <w:bookmarkEnd w:id="70"/>
      <w:r>
        <w:t>The Spirit’s Deity: Lying to God, Indwelling as God’s Temple</w:t>
      </w:r>
    </w:p>
    <w:p w14:paraId="7A918905" w14:textId="77777777" w:rsidR="009C7F52" w:rsidRDefault="00731002">
      <w:pPr>
        <w:pStyle w:val="FirstParagraph"/>
      </w:pPr>
      <w:r>
        <w:t>Personhood alone would not settle the question of the Spirit’s deity — angels are persons, and no orthodox Christian worships an angel. The New Testament goes further and directly identifies the Spirit as God.</w:t>
      </w:r>
    </w:p>
    <w:p w14:paraId="3C42762F" w14:textId="77777777" w:rsidR="009C7F52" w:rsidRDefault="00731002">
      <w:pPr>
        <w:pStyle w:val="BodyText"/>
      </w:pPr>
      <w:r>
        <w:rPr>
          <w:b/>
          <w:bCs/>
        </w:rPr>
        <w:t>Acts 5:3-4 — lying to the Spirit is lying to God.</w:t>
      </w:r>
      <w:r>
        <w:t xml:space="preserve"> When Ananias and Sapphira attempt to deceive the early church about the proceeds of a sale, Peter confronts Ananias with words that collapse any distinction between the Spirit and God: “Why has Satan filled your heart to lie to the Holy Spirit… You have not lied to man but to God” (Acts 5:3-4). The structure of Peter’s rebuke is a straightforward logical equation: lying to the Holy Spirit </w:t>
      </w:r>
      <w:r>
        <w:rPr>
          <w:i/>
          <w:iCs/>
        </w:rPr>
        <w:t>equals</w:t>
      </w:r>
      <w:r>
        <w:t xml:space="preserve"> lying to God. If the Spirit were merely a created force or a lesser being, Peter’s accusation would be either an overstatement or a category error. Instead, the text treats the identification as self-evident, requiring no further argument or justification — a striking piece of evidence precisely because it is offered so casually, as background assumption rather than as a point under dispute.</w:t>
      </w:r>
    </w:p>
    <w:p w14:paraId="5CBCBC2B" w14:textId="77777777" w:rsidR="009C7F52" w:rsidRDefault="00731002">
      <w:pPr>
        <w:pStyle w:val="BodyText"/>
      </w:pPr>
      <w:r>
        <w:rPr>
          <w:b/>
          <w:bCs/>
        </w:rPr>
        <w:t>1 Corinthians 3:16 and 6:19 — the Spirit’s indwelling makes believers God’s temple.</w:t>
      </w:r>
      <w:r>
        <w:t xml:space="preserve"> Paul asks the Corinthian church, “Do you not know that you are God’s temple and that God’s Spirit dwells in you?” (1 Corinthians 3:16). In the Old Testament, the temple was the unique dwelling place of Yahweh’s own presence among his people (1 Kings 8:10-13); no lesser being’s indwelling could make a physical space or a human community “God’s temple.” Paul’s logic requires that the Spirit’s presence and God’s presence be one and the same reality — the Spirit does not merely represent God or convey a message from God; the Spirit’s indwelling constitutes the very presence of God among his people</w:t>
      </w:r>
      <w:hyperlink w:anchor="cite_75" w:history="1">
        <w:r>
          <w:rPr>
            <w:color w:val="671C2A"/>
            <w:sz w:val="16"/>
            <w:vertAlign w:val="superscript"/>
          </w:rPr>
          <w:t>75</w:t>
        </w:r>
      </w:hyperlink>
      <w:r>
        <w:t>.</w:t>
      </w:r>
    </w:p>
    <w:p w14:paraId="4F8BA851" w14:textId="77777777" w:rsidR="009C7F52" w:rsidRDefault="00731002">
      <w:pPr>
        <w:pStyle w:val="BodyText"/>
      </w:pPr>
      <w:r>
        <w:rPr>
          <w:b/>
          <w:bCs/>
        </w:rPr>
        <w:t>The Spirit shares divine titles and attributes.</w:t>
      </w:r>
      <w:r>
        <w:t xml:space="preserve"> The Spirit is called “the Spirit of the living God” and identified with the omniscient searching of “the depths of God” (1 Corinthians 2:10-11), is present everywhere at once in a way only God can be (Psalm 139:7-10, echoed in the Spirit’s universal presence assumed throughout the New Testament), and is invoked alongside the Father and the Son as co-equal source of grace in Paul’s benediction: “The grace of the Lord Jesus Christ and the love of God and the fellowship of the Holy Spirit be with you all” (2 Corinthians 13:14). This threefold benediction — grace from the Son, love from the Father, fellowship from the Spirit, given as a single unified blessing — places the Spirit in exactly the same structural position as the Father and the Son, receiving no lesser billing and performing no lesser divine function.</w:t>
      </w:r>
    </w:p>
    <w:p w14:paraId="3BC51E71" w14:textId="77777777" w:rsidR="009C7F52" w:rsidRDefault="00731002">
      <w:pPr>
        <w:pStyle w:val="Heading3"/>
        <w:pBdr>
          <w:bottom w:val="single" w:sz="4" w:space="5" w:color="C8AE75"/>
        </w:pBdr>
      </w:pPr>
      <w:bookmarkStart w:id="72" w:name="X0ba9b26a9a05ed381536e5ebd976ad6712db314"/>
      <w:bookmarkEnd w:id="71"/>
      <w:r>
        <w:t>The Baptismal Formula and the Great Commission</w:t>
      </w:r>
    </w:p>
    <w:p w14:paraId="142DA7ED" w14:textId="77777777" w:rsidR="009C7F52" w:rsidRDefault="00731002">
      <w:pPr>
        <w:pStyle w:val="FirstParagraph"/>
      </w:pPr>
      <w:r>
        <w:t>Perhaps no text unites the Spirit’s personhood and deity as compactly as Jesus’s final commissioning of the disciples: “baptizing them in the name of the Father and of the Son and of the Holy Spirit” (Matthew 28:19). The grammar is worth pausing over. Jesus does not say “in the names” (plural), as though three separate authorities were being invoked. He says “in the name” (singular) — one name, one authority, shared undivided among three distinct persons who are named individually: the Father, and the Son, and the Holy Spirit. A merely impersonal force would have no “name” to be invoked in baptism alongside two persons; the grammar assumes the Spirit is exactly the kind of reality that can be named, invoked, and related to in worship on equal footing with the Father and the Son.</w:t>
      </w:r>
    </w:p>
    <w:p w14:paraId="368FDE87" w14:textId="77777777" w:rsidR="009C7F52" w:rsidRDefault="00731002">
      <w:pPr>
        <w:pStyle w:val="Heading3"/>
        <w:pBdr>
          <w:bottom w:val="single" w:sz="4" w:space="5" w:color="C8AE75"/>
        </w:pBdr>
      </w:pPr>
      <w:bookmarkStart w:id="73" w:name="Xfe907b20e5eae37ee42b2fc41db65c2b386d02a"/>
      <w:bookmarkEnd w:id="72"/>
      <w:r>
        <w:t>The Spirit at Work in Creation and New Creation</w:t>
      </w:r>
    </w:p>
    <w:p w14:paraId="4858BA0F" w14:textId="77777777" w:rsidR="009C7F52" w:rsidRDefault="00731002">
      <w:pPr>
        <w:pStyle w:val="FirstParagraph"/>
      </w:pPr>
      <w:r>
        <w:t>The Spirit’s activity is not confined to the New Testament era; the New Testament writers understood the Spirit as the same divine agent already active from the world’s very beginning. Genesis opens with “the Spirit of God” hovering “over the face of the waters” at creation itself (Genesis 1:2), and Job affirms, “the Spirit of God has made me, and the breath of the Almighty gives me life” (Job 33:4) — creative, life-giving power the Hebrew Scriptures assign to God alone. The New Testament extends this same creative, life-giving role of the Spirit into the new creation inaugurated by Christ. Jesus tells Nicodemus that entering the kingdom of God requires being “born of the Spirit,” comparing the Spirit’s regenerating work to the wind, which “blows where it wishes,” mysterious and sovereign in its movement, obedient to no human control (John 3:5-8) — a comparison built on the fact that the single Greek word πνεῦμα (pneuma) can mean both “wind” and “Spirit,” letting Jesus draw out one reality through the other</w:t>
      </w:r>
      <w:hyperlink w:anchor="cite_76" w:history="1">
        <w:r>
          <w:rPr>
            <w:color w:val="671C2A"/>
            <w:sz w:val="16"/>
            <w:vertAlign w:val="superscript"/>
          </w:rPr>
          <w:t>76</w:t>
        </w:r>
      </w:hyperlink>
      <w:r>
        <w:t>. Paul describes the resurrection itself as the Spirit’s own work: “if the Spirit of him who raised Jesus from the dead dwells in you, he who raised Christ Jesus from the dead will also give life to your mortal bodies through his Spirit who dwells in you” (Romans 8:11). The Spirit who hovered over the waters at the first creation is the same Spirit who raises the dead at the last — continuity of divine identity and divine power across the whole of the biblical story, not a new or lesser force introduced only in the New Testament era.</w:t>
      </w:r>
    </w:p>
    <w:p w14:paraId="0EE6A333" w14:textId="77777777" w:rsidR="009C7F52" w:rsidRDefault="00731002">
      <w:pPr>
        <w:pStyle w:val="Heading3"/>
        <w:pBdr>
          <w:bottom w:val="single" w:sz="4" w:space="5" w:color="C8AE75"/>
        </w:pBdr>
      </w:pPr>
      <w:bookmarkStart w:id="74" w:name="the-spirit-as-down-payment-and-seal"/>
      <w:bookmarkEnd w:id="73"/>
      <w:r>
        <w:t>The Spirit as Down Payment and Seal</w:t>
      </w:r>
    </w:p>
    <w:p w14:paraId="410F9586" w14:textId="77777777" w:rsidR="009C7F52" w:rsidRDefault="00731002">
      <w:pPr>
        <w:pStyle w:val="FirstParagraph"/>
      </w:pPr>
      <w:r>
        <w:t>Paul reaches for two vivid commercial images to describe how the Spirit’s presence in a believer’s life functions as a guarantee of God’s own faithfulness, and both images assume the Spirit is nothing less than God’s own presence pledged in advance. Believers are “sealed” with the Spirit, Paul writes, who is “the guarantee of our inheritance until we acquire possession of it” (Ephesians 1:13-14) — the Greek term behind “guarantee,” ἀρραβών (arrabōn, “down payment” or “first installment”), was used in everyday Koine commerce for the first installment of a purchase price, legally binding the buyer to complete the transaction. To say the Spirit is God’s arrabōn is to say that receiving the Spirit is receiving a genuine down payment of the very inheritance believers will one day possess in full — not a symbolic gesture, but God’s own presence, given in advance, as surety of God’s own future faithfulness. Paul repeats the image in 2 Corinthians: “he who establishes us with you in Christ, and has anointed us, and who has also put his seal on us and given us his Spirit in our hearts as a guarantee”</w:t>
      </w:r>
      <w:hyperlink w:anchor="cite_77" w:history="1">
        <w:r>
          <w:rPr>
            <w:color w:val="671C2A"/>
            <w:sz w:val="16"/>
            <w:vertAlign w:val="superscript"/>
          </w:rPr>
          <w:t>77</w:t>
        </w:r>
      </w:hyperlink>
      <w:r>
        <w:t>. A mere impersonal force could not function as a personal guarantee of God’s own future faithfulness in this way; only the abiding presence of God himself, given now as a pledge of what is to come, satisfies the weight the image carries.</w:t>
      </w:r>
    </w:p>
    <w:p w14:paraId="0DE7FFCA" w14:textId="77777777" w:rsidR="009F2F79" w:rsidRDefault="001A04A2">
      <w:pPr>
        <w:pStyle w:val="Heading3"/>
      </w:pPr>
      <w:r>
        <w:t>A Sevenfold Witness to the Spirit’s Deity</w:t>
      </w:r>
    </w:p>
    <w:p w14:paraId="184C8E26" w14:textId="77777777" w:rsidR="009F2F79" w:rsidRDefault="001A04A2">
      <w:pPr>
        <w:pStyle w:val="FirstParagraph"/>
      </w:pPr>
      <w:r>
        <w:t>The biblical case for the Spirit’s deity can be tested by the same broad categories used for the Son. The Spirit bears divine names, possesses divine attributes, stands in divine relations, performs divine works, exercises divine authority, manifests God’s indwelling presence, and receives divine honor. The value of this arrangement is not numerical neatness. It prevents an interpretation from explaining away one passage while ignoring the wider pattern.</w:t>
      </w:r>
      <w:hyperlink w:anchor="cite_383" w:history="1">
        <w:r>
          <w:rPr>
            <w:color w:val="671C2A"/>
            <w:sz w:val="16"/>
            <w:vertAlign w:val="superscript"/>
          </w:rPr>
          <w:t>383</w:t>
        </w:r>
      </w:hyperlink>
    </w:p>
    <w:p w14:paraId="4BF61043" w14:textId="77777777" w:rsidR="009F2F79" w:rsidRDefault="001A04A2">
      <w:pPr>
        <w:pStyle w:val="BodyText"/>
      </w:pPr>
      <w:r>
        <w:t>The Spirit speaks as the LORD spoke in the Old Testament, and Peter can move from lying to the Holy Spirit to lying to God without changing the referent of the offense. Omniscience, omnipresence, eternity, holiness, truth, goodness, love, infinity, and life are attributed to him. These are not acquired gifts. They identify the nature of the one who searches the depths of God, fills God’s people across the earth, and gives life to creatures. His relation to the Father and the Son is likewise intrinsic: he is the Spirit of the Father and of the Son, sent in the economy of salvation without being a created servant.</w:t>
      </w:r>
    </w:p>
    <w:p w14:paraId="39DAA69E" w14:textId="77777777" w:rsidR="009F2F79" w:rsidRDefault="001A04A2">
      <w:pPr>
        <w:pStyle w:val="BodyText"/>
      </w:pPr>
      <w:r>
        <w:t>His works belong to God’s own agency. The Spirit acts in creation and providence, inspires the prophetic word, empowers the incarnate Messiah, regenerates sinners, sanctifies the church, distributes gifts according to his will, and raises the dead. He does not merely carry divine power as an instrument external to God. His sovereign action is the action of the one God, personally exercised according to his relation as Spirit.</w:t>
      </w:r>
      <w:hyperlink w:anchor="cite_384" w:history="1">
        <w:r>
          <w:rPr>
            <w:color w:val="671C2A"/>
            <w:sz w:val="16"/>
            <w:vertAlign w:val="superscript"/>
          </w:rPr>
          <w:t>384</w:t>
        </w:r>
      </w:hyperlink>
    </w:p>
    <w:p w14:paraId="1436D1CB" w14:textId="77777777" w:rsidR="009F2F79" w:rsidRDefault="001A04A2">
      <w:pPr>
        <w:pStyle w:val="BodyText"/>
      </w:pPr>
      <w:r>
        <w:t>His presence and honor complete the pattern. Believers and the gathered church are God’s temple because the Spirit dwells in them; this indwelling cannot be reduced to the local presence of a finite creature. Baptism names him together with the Father and the Son under one divine name, and the apostolic benediction invokes his communion alongside the Son’s grace and the Father’s love. These texts establish both distinction and equality: the Spirit is neither the Father nor the Son, yet he belongs within the identity, worship, and saving action of the one God.</w:t>
      </w:r>
    </w:p>
    <w:p w14:paraId="161B1CC9" w14:textId="77777777" w:rsidR="009C7F52" w:rsidRDefault="00731002">
      <w:pPr>
        <w:pStyle w:val="Heading3"/>
        <w:pBdr>
          <w:bottom w:val="single" w:sz="4" w:space="5" w:color="C8AE75"/>
        </w:pBdr>
      </w:pPr>
      <w:bookmarkStart w:id="75" w:name="neither-depersonalized-nor-subordinated"/>
      <w:bookmarkEnd w:id="74"/>
      <w:r>
        <w:t>Neither Depersonalized Nor Subordinated</w:t>
      </w:r>
    </w:p>
    <w:p w14:paraId="292BFBCD" w14:textId="77777777" w:rsidR="009C7F52" w:rsidRDefault="00731002">
      <w:pPr>
        <w:pStyle w:val="FirstParagraph"/>
      </w:pPr>
      <w:r>
        <w:t>Taken together, this evidence rules out both errors named at the start of this chapter. The Spirit cannot be depersonalized into a mere force, because the New Testament describes the Spirit grieving, teaching, guiding, testifying, and interceding — all activities that require a mind and a will, the marks of a genuine person. And the Spirit cannot be subordinated into a lesser, created being, because the New Testament identifies lying to the Spirit with lying to God himself, describes the Spirit’s indwelling as constituting God’s own temple presence, and places the Spirit in a position of co-equal honor with the Father and the Son in baptism and benediction alike.</w:t>
      </w:r>
    </w:p>
    <w:p w14:paraId="1767A478" w14:textId="77777777" w:rsidR="009C7F52" w:rsidRDefault="00731002">
      <w:pPr>
        <w:pStyle w:val="BodyText"/>
      </w:pPr>
      <w:r>
        <w:t>What the New Testament does not do — and this book must say so with the same historical carefulness it has exercised throughout — is offer a developed technical vocabulary for exactly how the Spirit’s personhood and deity relate to the personhood and deity of the Father and the Son. That vocabulary, the language of “person” and “procession” this book will explore in Part III, took centuries of careful reflection to hammer out. But the raw material the councils would later work with — a real, relational, personal Spirit who is nothing less than God — is already fully present in the pages of the New Testament itself. The next chapters will show this same conviction running through Paul’s letters and the remaining apostolic writings before this Part turns to the underlying Greek grammar and, finally, to the formal vocabulary that later theological reflection developed to hold Father, Son, and Spirit together as one God in three persons.</w:t>
      </w:r>
    </w:p>
    <w:p w14:paraId="7E1D3D85" w14:textId="77777777" w:rsidR="009C7F52" w:rsidRDefault="007D6CCB">
      <w:r>
        <w:rPr>
          <w:noProof/>
        </w:rPr>
      </w:r>
      <w:r w:rsidR="007D6CCB">
        <w:rPr>
          <w:noProof/>
        </w:rPr>
        <w:pict w14:anchorId="5B54EA89">
          <v:rect id="_x0000_i1033" style="width:0;height:1.5pt" o:hralign="center" o:hrstd="t" o:hr="t"/>
        </w:pict>
      </w:r>
    </w:p>
    <w:p w14:paraId="42CE24C8" w14:textId="77777777" w:rsidR="009F2F79" w:rsidRDefault="001A04A2">
      <w:pPr>
        <w:pStyle w:val="Heading3"/>
      </w:pPr>
      <w:r>
        <w:t>The Spirit Must Be Known Personally</w:t>
      </w:r>
    </w:p>
    <w:p w14:paraId="7965E418" w14:textId="77777777" w:rsidR="009F2F79" w:rsidRDefault="001A04A2">
      <w:pPr>
        <w:pStyle w:val="FirstParagraph"/>
      </w:pPr>
      <w:r>
        <w:t>White’s apologetic framework insists that the Holy Spirit must not become the forgotten person of the Trinity. It is possible to defend the Father’s deity and the Son’s deity while speaking of the Spirit as little more than divine power. Scripture will not permit that reduction. The Spirit knows and searches the depths of God (1 Corinthians 2:10–11), distributes gifts according to his own will (1 Corinthians 12:11), speaks and sends ministers (Acts 13:2), forbids and redirects missionary work (Acts 16:6–7), intercedes for believers (Romans 8:26–27), teaches and reminds the disciples (John 14:26), testifies concerning Christ (John 15:26), and can be grieved (Ephesians 4:30). These are not merely poetic descriptions of an impersonal force; they are the actions of a knowing, willing, speaking subject.</w:t>
      </w:r>
    </w:p>
    <w:p w14:paraId="54EC6BF2" w14:textId="77777777" w:rsidR="009F2F79" w:rsidRDefault="001A04A2">
      <w:pPr>
        <w:pStyle w:val="BodyText"/>
      </w:pPr>
      <w:r>
        <w:t>His deity is equally clear. Peter’s accusation in Acts 5:3–4 moves without qualification from lying to the Holy Spirit to lying to God. The Spirit possesses exhaustive divine knowledge, gives life, participates in creation, and makes believers God’s temple by his indwelling presence. Genesis 1:2, Job 33:4, and Psalm 104:30 associate the Spirit with creation and the giving of life; Romans 8 associates him with resurrection life and the final renewal of the body. The Spirit does not merely deliver a divine gift from a distance. God himself is present and active in his people by the Spirit.</w:t>
      </w:r>
    </w:p>
    <w:p w14:paraId="0CF60D17" w14:textId="77777777" w:rsidR="009F2F79" w:rsidRDefault="001A04A2">
      <w:pPr>
        <w:pStyle w:val="BodyText"/>
      </w:pPr>
      <w:r>
        <w:t>The Spirit is also personally distinguished from the Father and the Son. Jesus asks the Father to send “another Helper” (John 14:16), and later says that the Helper proceeds from the Father and bears witness concerning the Son (John 15:26). In John 16:13–14 the Spirit hears, speaks, guides, and glorifies Christ. The one who sends, the one who is sent, and the one concerning whom testimony is given cannot be collapsed into one person performing three temporary roles.</w:t>
      </w:r>
    </w:p>
    <w:p w14:paraId="5660ED97" w14:textId="77777777" w:rsidR="009F2F79" w:rsidRDefault="001A04A2">
      <w:pPr>
        <w:pStyle w:val="BodyText"/>
      </w:pPr>
      <w:r>
        <w:t>Matthew 28:19 and 2 Corinthians 13:14 gather the evidence into the church’s ordinary life. Baptism is into the one “name” of the Father, the Son, and the Holy Spirit, and the apostolic benediction invokes the grace of Christ, the love of God, and the fellowship of the Spirit. The Spirit stands alongside the Father and the Son within the divine name and blessing, neither depersonalized nor subordinated.</w:t>
      </w:r>
    </w:p>
    <w:p w14:paraId="5F87A992" w14:textId="77777777" w:rsidR="009F2F79" w:rsidRDefault="001A04A2">
      <w:pPr>
        <w:pStyle w:val="Heading3"/>
      </w:pPr>
      <w:r>
        <w:t>Personal Agency Cannot Be Reduced to Power</w:t>
      </w:r>
    </w:p>
    <w:p w14:paraId="72813F92" w14:textId="77777777" w:rsidR="009F2F79" w:rsidRDefault="001A04A2">
      <w:pPr>
        <w:pStyle w:val="FirstParagraph"/>
      </w:pPr>
      <w:r>
        <w:t>The personal evidence concerning the Spirit includes moral relations as well as intellectual activity. The Spirit may be grieved (Ephesians 4:30) and insulted (Hebrews 10:29). He distributes different gifts to different members “just as he wills” (1 Corinthians 12:11). Grief, insult, deliberate distribution, speech, testimony, and intercession together establish will, agency, and personal relation. A force can be resisted or redirected, but it cannot be morally insulted, choose among recipients, or bear witness concerning another person.</w:t>
      </w:r>
    </w:p>
    <w:p w14:paraId="6370B5B4" w14:textId="77777777" w:rsidR="009F2F79" w:rsidRDefault="001A04A2">
      <w:pPr>
        <w:pStyle w:val="BodyText"/>
      </w:pPr>
      <w:r>
        <w:t>These actions also distinguish the Spirit from the Father and the Son. The Spirit does not merely name God’s activity viewed from another angle. He is sent by the Father in the Son’s name, proceeds from the Father, glorifies the Son, and brings the words of Christ to the disciples. The relations are interactive: one sends, another is sent, and the sent person testifies concerning the Son. The biblical language loses its natural meaning if all three references denote one solitary person changing descriptions.</w:t>
      </w:r>
    </w:p>
    <w:p w14:paraId="75F7A95B" w14:textId="77777777" w:rsidR="009C7F52" w:rsidRDefault="00731002">
      <w:pPr>
        <w:pStyle w:val="Heading2"/>
        <w:pBdr>
          <w:bottom w:val="single" w:sz="10" w:space="8" w:color="A68037"/>
        </w:pBdr>
      </w:pPr>
      <w:bookmarkStart w:id="76" w:name="chapter-10-pauls-trinitarian-grammar"/>
      <w:bookmarkEnd w:id="67"/>
      <w:bookmarkEnd w:id="75"/>
      <w:r>
        <w:t>Chapter 10: Paul’s Trinitarian Grammar</w:t>
      </w:r>
    </w:p>
    <w:p w14:paraId="392908A3" w14:textId="77777777" w:rsidR="009C7F52" w:rsidRDefault="00731002">
      <w:pPr>
        <w:pStyle w:val="FirstParagraph"/>
      </w:pPr>
      <w:r>
        <w:t>Paul of Tarsus was trained by one of the great rabbinic teachers of his generation and would have recited the Shema — “the Lord our God, the Lord is one” — every day of his observant Jewish life before his encounter with the risen Christ. It is this same man, steeped to the bone in Jewish monotheism, who writes some of the New Testament’s most startling sentences: sentences that place Jesus and the Spirit inside the very identity of the one God of Israel, without a flicker of embarrassment or a hint that he senses any contradiction.</w:t>
      </w:r>
    </w:p>
    <w:p w14:paraId="763D235D" w14:textId="77777777" w:rsidR="009C7F52" w:rsidRDefault="00731002">
      <w:pPr>
        <w:pStyle w:val="Heading3"/>
        <w:pBdr>
          <w:bottom w:val="single" w:sz="4" w:space="5" w:color="C8AE75"/>
        </w:pBdr>
      </w:pPr>
      <w:bookmarkStart w:id="77" w:name="Xcf7f00e7d2b628d4e25658c00c1cbf69782b62f"/>
      <w:r>
        <w:t>The Christological Shema: 1 Corinthians 8:6</w:t>
      </w:r>
    </w:p>
    <w:p w14:paraId="228291EF" w14:textId="77777777" w:rsidR="009C7F52" w:rsidRDefault="00731002">
      <w:pPr>
        <w:pStyle w:val="FirstParagraph"/>
      </w:pPr>
      <w:r>
        <w:t>Nowhere is this clearer than in a single verse Paul writes almost in passing, while addressing a mundane pastoral dispute about whether Christians may eat food previously offered to idols. Paul’s underlying theology, however, is anything but mundane: “For although there may be so-called gods in heaven or on earth—as indeed there are many ‘gods’ and many ‘lords’—yet for us there is one God, the Father, from whom all things came and for whom we live; and there is one Lord, Jesus Christ, through whom all things came and through whom we live” (1 Corinthians 8:5-6). Scholars including N.T. Wright and Larry Hurtado have identified this verse as a deliberate reformulation of the Shema itself, in which Paul takes the single divine name of Israel’s ancient confession and distributes its two great titles — “God” and “Lord” (κύριος, kyrios, “Lord,” the standard translation for the sacred name YHWH in the Greek Old Testament Paul used) — across two persons, the Father and Jesus Christ, without multiplying the number of gods being confessed</w:t>
      </w:r>
      <w:hyperlink w:anchor="cite_78" w:history="1">
        <w:r>
          <w:rPr>
            <w:color w:val="671C2A"/>
            <w:sz w:val="16"/>
            <w:vertAlign w:val="superscript"/>
          </w:rPr>
          <w:t>78</w:t>
        </w:r>
      </w:hyperlink>
      <w:r>
        <w:t>. This is not polytheism smuggled into a monotheistic creed. It is, as Bauckham and others have argued, an expansion of who counts as included within the identity of the one God, not an addition of a second god alongside the first.</w:t>
      </w:r>
    </w:p>
    <w:p w14:paraId="06254DED" w14:textId="77777777" w:rsidR="009C7F52" w:rsidRDefault="00731002">
      <w:pPr>
        <w:pStyle w:val="BodyText"/>
      </w:pPr>
      <w:r>
        <w:t xml:space="preserve">This move — including Jesus within, rather than alongside, the identity of the God of Israel — is the central thesis of what New Testament scholarship has called “Christological monotheism,” a phrase describing how the earliest Christians, without abandoning Jewish monotheistic conviction, came to worship Jesus as sharing fully in the identity of the one God. Richard Bauckham’s influential study </w:t>
      </w:r>
      <w:r>
        <w:rPr>
          <w:i/>
          <w:iCs/>
        </w:rPr>
        <w:t>Jesus and the God of Israel</w:t>
      </w:r>
      <w:r>
        <w:t xml:space="preserve"> (republishing his earlier essay “God Crucified”) argues that “earliest Christology was already the highest Christology,” a “fully divine Christology, maintaining that Jesus Christ is intrinsic to the unique and eternal identity of God,” and situates this claim carefully within, rather than against, the strict Jewish monotheism of Second Temple Judaism</w:t>
      </w:r>
      <w:hyperlink w:anchor="cite_79" w:history="1">
        <w:r>
          <w:rPr>
            <w:color w:val="671C2A"/>
            <w:sz w:val="16"/>
            <w:vertAlign w:val="superscript"/>
          </w:rPr>
          <w:t>79</w:t>
        </w:r>
      </w:hyperlink>
      <w:r>
        <w:t xml:space="preserve">. Larry Hurtado’s related and complementary study, </w:t>
      </w:r>
      <w:r>
        <w:rPr>
          <w:i/>
          <w:iCs/>
        </w:rPr>
        <w:t>Lord Jesus Christ: Devotion to Jesus in Earliest Christianity</w:t>
      </w:r>
      <w:r>
        <w:t>, traces the same conclusion through a different lens — not primarily through titles but through worship practice, arguing that devotion to Jesus emerged “amazingly early” and “with unparalleled intensity,” and that the earliest Christians who exhibited this devotion nevertheless understood themselves to remain fully within the bounds of Jewish monotheism</w:t>
      </w:r>
      <w:hyperlink w:anchor="cite_80" w:history="1">
        <w:r>
          <w:rPr>
            <w:color w:val="671C2A"/>
            <w:sz w:val="16"/>
            <w:vertAlign w:val="superscript"/>
          </w:rPr>
          <w:t>80</w:t>
        </w:r>
      </w:hyperlink>
      <w:r>
        <w:t>. N.T. Wright has developed a parallel argument across his multi-volume work on Christian origins, contending that Paul and the earliest Jewish Christians reworked Israel’s monotheistic categories — the Shema, the divine name, the throne of God — around Jesus without any sense that they were abandoning the faith of their fathers, but rather that they were seeing it fulfilled</w:t>
      </w:r>
      <w:hyperlink w:anchor="cite_81" w:history="1">
        <w:r>
          <w:rPr>
            <w:color w:val="671C2A"/>
            <w:sz w:val="16"/>
            <w:vertAlign w:val="superscript"/>
          </w:rPr>
          <w:t>81</w:t>
        </w:r>
      </w:hyperlink>
      <w:r>
        <w:t>.</w:t>
      </w:r>
    </w:p>
    <w:p w14:paraId="602B373E" w14:textId="77777777" w:rsidR="009C7F52" w:rsidRDefault="00731002">
      <w:pPr>
        <w:pStyle w:val="Heading3"/>
        <w:pBdr>
          <w:bottom w:val="single" w:sz="4" w:space="5" w:color="C8AE75"/>
        </w:pBdr>
      </w:pPr>
      <w:bookmarkStart w:id="78" w:name="corinthians-1314-a-triadic-benediction"/>
      <w:bookmarkEnd w:id="77"/>
      <w:r>
        <w:t>2 Corinthians 13:14: A Triadic Benediction</w:t>
      </w:r>
    </w:p>
    <w:p w14:paraId="74F31D90" w14:textId="77777777" w:rsidR="009C7F52" w:rsidRDefault="00731002">
      <w:pPr>
        <w:pStyle w:val="FirstParagraph"/>
      </w:pPr>
      <w:r>
        <w:t>Paul’s letters do not only fold Jesus into the divine identity; they repeatedly name Father, Son, and Spirit together in a single breath, functioning together in a single act of blessing. His closing words to the troubled Corinthian church are a small masterpiece of triadic grammar: “The grace of the Lord Jesus Christ and the love of God and the fellowship of the Holy Spirit be with you all” (2 Corinthians 13:14). Three distinct persons are named — the Lord Jesus Christ, God (here specifically the Father, distinguished from the Son and the Spirit named alongside him), and the Holy Spirit — and each is credited with a distinct but complementary gift: grace from the Son, love from the Father, fellowship from the Spirit. Paul is not composing a philosophical treatise on the inner nature of God here; he is simply praying, out of pastoral instinct, in the grammar that his theology of God had already become</w:t>
      </w:r>
      <w:hyperlink w:anchor="cite_82" w:history="1">
        <w:r>
          <w:rPr>
            <w:color w:val="671C2A"/>
            <w:sz w:val="16"/>
            <w:vertAlign w:val="superscript"/>
          </w:rPr>
          <w:t>82</w:t>
        </w:r>
      </w:hyperlink>
      <w:r>
        <w:t>. That instinctive, unselfconscious triadic pattern is, in some ways, more significant as historical evidence than a formal doctrinal statement would be — it shows what Paul’s mind reached for automatically when invoking the fullness of divine blessing.</w:t>
      </w:r>
    </w:p>
    <w:p w14:paraId="2DC20790" w14:textId="77777777" w:rsidR="009C7F52" w:rsidRDefault="00731002">
      <w:pPr>
        <w:pStyle w:val="Heading3"/>
        <w:pBdr>
          <w:bottom w:val="single" w:sz="4" w:space="5" w:color="C8AE75"/>
        </w:pBdr>
      </w:pPr>
      <w:bookmarkStart w:id="79" w:name="X375a302f39716b8c56cf3646c2d0294b9a175f2"/>
      <w:bookmarkEnd w:id="78"/>
      <w:r>
        <w:t>Ephesians 4:4-6: One Body, Structured by Three</w:t>
      </w:r>
    </w:p>
    <w:p w14:paraId="07A8E885" w14:textId="77777777" w:rsidR="009C7F52" w:rsidRDefault="00731002">
      <w:pPr>
        <w:pStyle w:val="FirstParagraph"/>
      </w:pPr>
      <w:r>
        <w:t>Paul’s appeal for unity in the Ephesian church follows the identical triadic pattern, expanded into a sevenfold list that still resolves into a threefold structure: “There is one body and one Spirit—just as you were called to the one hope that belongs to your call—one Lord, one faith, one baptism, one God and Father of all, who is over all and through all and in all” (Ephesians 4:4-6). The passage’s rhetorical power depends on the reader recognizing that Spirit, Lord (Jesus), and God the Father are not being listed as three competing objects of loyalty needing to be reconciled but as the one, unified ground of the church’s own unity. If Spirit, Son, and Father were three separate beings, Paul’s appeal to unity through them would undercut its own argument, multiplying the objects of Christian devotion rather than grounding a single body in a single divine reality. The passage’s logic — one body because one Spirit, one Lord, one God — only holds together if the three named are, in some profound sense, the one God the Ephesian church already confessed as monotheists.</w:t>
      </w:r>
    </w:p>
    <w:p w14:paraId="75ECFB8C" w14:textId="77777777" w:rsidR="009C7F52" w:rsidRDefault="00731002">
      <w:pPr>
        <w:pStyle w:val="Heading3"/>
        <w:pBdr>
          <w:bottom w:val="single" w:sz="4" w:space="5" w:color="C8AE75"/>
        </w:pBdr>
      </w:pPr>
      <w:bookmarkStart w:id="80" w:name="X25ae5965c5ae01c5c67ddbdf96b7a51c627a11d"/>
      <w:bookmarkEnd w:id="79"/>
      <w:r>
        <w:t>Philippians 2:5-11: The Hymn of Self-Emptying and Universal Confession</w:t>
      </w:r>
    </w:p>
    <w:p w14:paraId="1F7B23C5" w14:textId="77777777" w:rsidR="009C7F52" w:rsidRDefault="00731002">
      <w:pPr>
        <w:pStyle w:val="FirstParagraph"/>
      </w:pPr>
      <w:r>
        <w:t>Perhaps the most theologically dense of all Paul’s Christ-hymns appears in his letter to the Philippians, likely adapting an early Christian hymn already in liturgical use before Paul wrote it down. Paul urges the Philippian church to imitate the mindset of Christ, “who, though he was in the form of God, did not count equality with God a thing to be grasped, but emptied himself, by taking the form of a servant, being born in the likeness of men” (Philippians 2:6-7). The phrase “form of God” (μορφῇ θεοῦ, morphē theou, “form of God”) denotes the essential, defining nature or reality of something, not merely its outward appearance — Paul is saying that Christ’s prior mode of existence was genuinely, essentially divine, and that his becoming human involved a real self-emptying (later theology would call this kenosis, from ἐκένωσεν, ekenōsen, “he emptied himself,” the Greek verb used here) of divine glory and prerogative rather than of divine nature itself. The hymn’s second half describes God’s response to Christ’s humiliation and death: “Therefore God has highly exalted him and bestowed on him the name that is above every name, so that at the name of Jesus every knee should bow… and every tongue confess that Jesus Christ is Lord, to the glory of God the Father” (Philippians 2:9-11). This exaltation quotes, almost verbatim, Isaiah 45:23 — a passage in which Yahweh declares that every knee will bow and every tongue swear allegiance to him alone, in the most emphatically monotheistic chapter of the entire Hebrew Bible (“I am God, and there is no other,” Isaiah 45:22). Paul applies Yahweh’s own exclusive prerogative directly to Jesus, and does so, remarkably, “to the glory of God the Father” — the Son’s exaltation to the identity and honor of Yahweh redounds to, rather than competing with, the Father’s own glory.</w:t>
      </w:r>
    </w:p>
    <w:p w14:paraId="5218046C" w14:textId="77777777" w:rsidR="009C7F52" w:rsidRDefault="00731002">
      <w:pPr>
        <w:pStyle w:val="Heading3"/>
        <w:pBdr>
          <w:bottom w:val="single" w:sz="4" w:space="5" w:color="C8AE75"/>
        </w:pBdr>
      </w:pPr>
      <w:bookmarkStart w:id="81" w:name="Xf527daeff36a2aa5cccbb3e4b29eb39e15eca0e"/>
      <w:bookmarkEnd w:id="80"/>
      <w:r>
        <w:t>Colossians 1:15-20: The Image, the Firstborn, the Fullness</w:t>
      </w:r>
    </w:p>
    <w:p w14:paraId="7E6E847D" w14:textId="77777777" w:rsidR="009C7F52" w:rsidRDefault="00731002">
      <w:pPr>
        <w:pStyle w:val="FirstParagraph"/>
      </w:pPr>
      <w:r>
        <w:t xml:space="preserve">Paul’s letter to the Colossians contains a hymn of comparable density describing Christ’s relationship to creation. Christ is “the image of the invisible God, the firstborn of all creation. For by him all things were created, in heaven and on earth, visible and invisible… And he is before all things, and in him all things hold together” (Colossians 1:15-17). “Firstborn” here does not mean “first created,” a misreading later heresies would seize upon (a matter this book will address directly in its chapter on Arianism); in both biblical usage and the hymn’s own argument, “firstborn” designates supremacy of rank and inheritance, not chronological origin — the very next clause explains that “all things were created” </w:t>
      </w:r>
      <w:r>
        <w:rPr>
          <w:i/>
          <w:iCs/>
        </w:rPr>
        <w:t>through</w:t>
      </w:r>
      <w:r>
        <w:t xml:space="preserve"> this firstborn one, which would be self-contradictory if the firstborn were himself merely the first item among the things created. Paul continues: “For in him all the fullness of God was pleased to dwell” (Colossians 1:19) — the totality of God’s nature, not a fraction or a delegated portion of it, is said to dwell bodily in Christ (compare Colossians 2:9, πᾶν τὸ πλήρωμα τῆς θεότητος, pan to plērōma tēs theotētos, “all the fullness of deity,” i.e. “in him the whole fullness of deity dwells bodily”). The hymn closes by describing Christ as the one through whom God chose “to reconcile to himself all things… making peace by the blood of his cross” (Colossians 1:20), locating the cosmic, creation-encompassing Christ of the hymn’s opening within the same historical crucifixion the Gospels narrate — cosmic deity and concrete history, in Paul’s grammar, describe one and the same person.</w:t>
      </w:r>
    </w:p>
    <w:p w14:paraId="70DDA6C5" w14:textId="77777777" w:rsidR="009C7F52" w:rsidRDefault="00731002">
      <w:pPr>
        <w:pStyle w:val="Heading3"/>
        <w:pBdr>
          <w:bottom w:val="single" w:sz="4" w:space="5" w:color="C8AE75"/>
        </w:pBdr>
      </w:pPr>
      <w:bookmarkStart w:id="82" w:name="timothy-316-the-mystery-of-godliness"/>
      <w:bookmarkEnd w:id="81"/>
      <w:r>
        <w:t>1 Timothy 3:16: The Mystery of Godliness</w:t>
      </w:r>
    </w:p>
    <w:p w14:paraId="0253BB0C" w14:textId="77777777" w:rsidR="009C7F52" w:rsidRDefault="00731002">
      <w:pPr>
        <w:pStyle w:val="FirstParagraph"/>
      </w:pPr>
      <w:r>
        <w:t>Paul’s letters to Timothy preserve what many scholars believe is another fragment of early Christian hymn or creedal material, quoted rather than composed by Paul, which suggests the conviction it expresses was already fixed and familiar well before Paul wrote it down: “Great indeed, we confess, is the mystery of godliness: He was manifested in the flesh, vindicated by the Spirit, seen by angels, proclaimed among the nations, believed on in the world, taken up in glory” (1 Timothy 3:16). Some early manuscripts read the opening pronoun as Θεός (Theos, “God”) rather than the relative pronoun ὅς (hos, “he who”) preferred by most modern critical editions — a textual variant later scribes plausibly introduced to make explicit what the hymn’s content already assumes, since only God could be “manifested in the flesh” in the sense the hymn describes, having existed prior to and independent of that flesh. Whichever textual reading is original, the hymn’s logic requires a subject who pre-existed his own incarnation, was vindicated (not merely empowered) by the Spirit, and was worthy of the nations’ faith and worship — exactly the pattern of pre-existence, incarnation, and worship this Part has traced from the Gospels onward.</w:t>
      </w:r>
    </w:p>
    <w:p w14:paraId="613B68FD" w14:textId="77777777" w:rsidR="009C7F52" w:rsidRDefault="00731002">
      <w:pPr>
        <w:pStyle w:val="Heading3"/>
        <w:pBdr>
          <w:bottom w:val="single" w:sz="4" w:space="5" w:color="C8AE75"/>
        </w:pBdr>
      </w:pPr>
      <w:bookmarkStart w:id="83" w:name="romans-95-god-over-all"/>
      <w:bookmarkEnd w:id="82"/>
      <w:r>
        <w:t>Romans 9:5: “God Over All”</w:t>
      </w:r>
    </w:p>
    <w:p w14:paraId="3F37A381" w14:textId="77777777" w:rsidR="009C7F52" w:rsidRDefault="00731002">
      <w:pPr>
        <w:pStyle w:val="FirstParagraph"/>
      </w:pPr>
      <w:r>
        <w:t>A further Pauline text, contested chiefly on punctuation rather than vocabulary, deserves mention because it bears directly on the same pattern. Writing about the privileges God gave to Israel — “the adoption, the glory, the covenants, the giving of the law, the worship, and the promises” — Paul climaxes the list with the patriarchs and, from them, “the Christ, who is God over all, blessed forever” (Romans 9:5, following the reading adopted by most major translations and the majority of modern commentators). The Greek text at this point contains no punctuation of its own — ancient manuscripts did not typically mark sentence breaks the way modern printed texts do — so translators must decide, from grammar and context, whether “who is God over all” describes Christ or begins an independent doxology addressed to the Father alone. The most natural reading of the Greek word order, in which the relative pronoun ὁ ὤν (ho ōn, “who is”) immediately follows “Christ” with no intervening subject change, favors taking the entire phrase as a description of Christ himself: Christ, who is God over all, blessed forever. Even granting the genuine grammatical debate on this verse, its most probable reading places it alongside Titus 2:13, John 1:1, and John 20:28 as one more direct predication of the title “God” to Jesus from Paul’s own pen</w:t>
      </w:r>
      <w:hyperlink w:anchor="cite_83" w:history="1">
        <w:r>
          <w:rPr>
            <w:color w:val="671C2A"/>
            <w:sz w:val="16"/>
            <w:vertAlign w:val="superscript"/>
          </w:rPr>
          <w:t>83</w:t>
        </w:r>
      </w:hyperlink>
      <w:r>
        <w:t>.</w:t>
      </w:r>
    </w:p>
    <w:p w14:paraId="5488646D" w14:textId="77777777" w:rsidR="009C7F52" w:rsidRDefault="00731002">
      <w:pPr>
        <w:pStyle w:val="Heading3"/>
        <w:pBdr>
          <w:bottom w:val="single" w:sz="4" w:space="5" w:color="C8AE75"/>
        </w:pBdr>
      </w:pPr>
      <w:bookmarkStart w:id="84" w:name="X31f57680a4380d5d5e4c7d82bf7b1c3422aab68"/>
      <w:bookmarkEnd w:id="83"/>
      <w:r>
        <w:t>Galatians 4:4-6: Sending Both Son and Spirit</w:t>
      </w:r>
    </w:p>
    <w:p w14:paraId="0F819E44" w14:textId="77777777" w:rsidR="009C7F52" w:rsidRDefault="00731002">
      <w:pPr>
        <w:pStyle w:val="FirstParagraph"/>
      </w:pPr>
      <w:r>
        <w:t>Paul’s letter to the Galatians compresses an entire Trinitarian narrative into two sentences describing salvation’s basic shape: “when the fullness of time had come, God sent forth his Son, born of woman, born under the law, to redeem those who were under the law, so that we might receive adoption as sons. And because you are sons, God has sent the Spirit of his Son into our hearts, crying, ‘Abba! Father!’” (Galatians 4:4-6). The pattern is precise and deliberate: God the Father is the one sender throughout; the Son is sent first, into history, to accomplish redemption; the Spirit is sent second, into believers’ hearts, to accomplish adoption’s ongoing, experienced reality. Paul calls the Spirit here “the Spirit of his Son” — a striking possessive construction that binds the Spirit’s identity to the Son’s own identity even while distinguishing the Spirit as a distinct sent one, mirroring exactly the sending pattern this book traced at length in the Gospel of John. Three distinguishable persons, one single unified work of adoption: the Father who sends, the Son who redeems, and the Spirit who cries out within believers’ hearts using the Son’s own intimate address to the Father.</w:t>
      </w:r>
    </w:p>
    <w:p w14:paraId="7AA1430F" w14:textId="77777777" w:rsidR="009C7F52" w:rsidRDefault="00731002">
      <w:pPr>
        <w:pStyle w:val="Heading3"/>
        <w:pBdr>
          <w:bottom w:val="single" w:sz="4" w:space="5" w:color="C8AE75"/>
        </w:pBdr>
      </w:pPr>
      <w:bookmarkStart w:id="85" w:name="absorption-not-addition"/>
      <w:bookmarkEnd w:id="84"/>
      <w:r>
        <w:t>Absorption, Not Addition</w:t>
      </w:r>
    </w:p>
    <w:p w14:paraId="179684AC" w14:textId="77777777" w:rsidR="009C7F52" w:rsidRDefault="00731002">
      <w:pPr>
        <w:pStyle w:val="FirstParagraph"/>
      </w:pPr>
      <w:r>
        <w:t>What unites all these Pauline texts is a consistent pattern that recent New Testament scholarship, including the work of Bauckham, Hurtado, and Wright already cited, has increasingly recognized as the shape of earliest Christology: Paul’s rigorous Jewish monotheism does not make room for Jesus and the Spirit as junior partners added alongside the one God. It absorbs them into the identity of the one God himself — into the Shema’s own confession, into the divine name, into the exclusive worship-language of Isaiah 45, into the “fullness” of deity itself. Paul never abandons the numerical singularity of God; he never entertains the idea of three gods, and would have regarded such an idea with the same horror any faithful Jew of his era would have felt. What his letters do, again and again, almost as a matter of pastoral reflex rather than deliberate philosophical argument, is speak of Father, Son, and Spirit in a single grammatical and theological breath — establishing, well over a century before the word “Trinity” was coined, the raw scriptural grammar that later theological reflection would need centuries to fully articulate.</w:t>
      </w:r>
    </w:p>
    <w:p w14:paraId="046C7575" w14:textId="77777777" w:rsidR="009C7F52" w:rsidRDefault="007D6CCB">
      <w:r>
        <w:rPr>
          <w:noProof/>
        </w:rPr>
      </w:r>
      <w:r w:rsidR="007D6CCB">
        <w:rPr>
          <w:noProof/>
        </w:rPr>
        <w:pict w14:anchorId="63B668DA">
          <v:rect id="_x0000_i1034" style="width:0;height:1.5pt" o:hralign="center" o:hrstd="t" o:hr="t"/>
        </w:pict>
      </w:r>
    </w:p>
    <w:p w14:paraId="4FE2BB1B" w14:textId="77777777" w:rsidR="009C7F52" w:rsidRDefault="00731002">
      <w:pPr>
        <w:pStyle w:val="Heading2"/>
        <w:pBdr>
          <w:bottom w:val="single" w:sz="10" w:space="8" w:color="A68037"/>
        </w:pBdr>
      </w:pPr>
      <w:bookmarkStart w:id="86" w:name="X75fc267931d1f6e55d5fa1af669c9a0086f28fe"/>
      <w:bookmarkEnd w:id="76"/>
      <w:bookmarkEnd w:id="85"/>
      <w:r>
        <w:t>Chapter 11: John, Hebrews, and the Rest of the Apostolic Witness</w:t>
      </w:r>
    </w:p>
    <w:p w14:paraId="4830DE17" w14:textId="77777777" w:rsidR="009C7F52" w:rsidRDefault="00731002">
      <w:pPr>
        <w:pStyle w:val="FirstParagraph"/>
      </w:pPr>
      <w:r>
        <w:t>If Paul’s letters supply the earliest apostolic grammar for speaking of Father, Son, and Spirit together, the remaining New Testament writings — John’s Gospel prologue, the letter to the Hebrews, the book of Revelation, and the shorter epistles of Peter and John — supply some of its most soaring and most carefully constructed statements. Taken together, they show that Paul’s instinct to fold Jesus and the Spirit into the identity of the one God was not a private theological innovation but the shared conviction of the entire apostolic church.</w:t>
      </w:r>
    </w:p>
    <w:p w14:paraId="15C4E5AF" w14:textId="77777777" w:rsidR="009C7F52" w:rsidRDefault="00731002">
      <w:pPr>
        <w:pStyle w:val="Heading3"/>
        <w:pBdr>
          <w:bottom w:val="single" w:sz="4" w:space="5" w:color="C8AE75"/>
        </w:pBdr>
      </w:pPr>
      <w:bookmarkStart w:id="87" w:name="X0cf4ea31e47e5d11b340dc445fbd1f026ac27f9"/>
      <w:r>
        <w:t>John 1:1-18: The Word Who Was With God and Was God</w:t>
      </w:r>
    </w:p>
    <w:p w14:paraId="3DAC2F6F" w14:textId="77777777" w:rsidR="009C7F52" w:rsidRDefault="00731002">
      <w:pPr>
        <w:pStyle w:val="FirstParagraph"/>
      </w:pPr>
      <w:r>
        <w:t>John’s Gospel opens not with a genealogy or a birth narrative but with a deliberate echo of Genesis 1: “In the beginning was the Word, and the Word was with God, and the Word was God. He was in the beginning with God” (John 1:1-2). The Greek term Λόγος (Logos, “Word”) carried rich associations for John’s original readers — in Jewish thought, it evoked the creative, active speech of God (Genesis 1:3, “And God said…”; Psalm 33:6, “By the word of the LORD the heavens were made”) and the personified Wisdom of God present with him at creation (Proverbs 8:22-31), themes this book has already traced in its discussion of Old Testament plurality texture. John’s sentence structure is theologically exact: “the Word was with God” affirms real distinction — the Word is not simply a synonym for God the Father, but stands in relationship to him — while “the Word was God” (καὶ θεός ἦν ὁ λόγος, kai theos ēn ho logos, “and the Word was God”) affirms full deity, using the same Greek noun (θεός, theos, “God”) applied to the Father earlier in the same sentence. John does not blur Father and Word into one undifferentiated person, nor does he demote the Word to a lesser, created being; he holds both distinction and full deity together in two adjacent clauses, deliberately preserved in tension.</w:t>
      </w:r>
    </w:p>
    <w:p w14:paraId="11A48C65" w14:textId="77777777" w:rsidR="009C7F52" w:rsidRDefault="00731002">
      <w:pPr>
        <w:pStyle w:val="BodyText"/>
      </w:pPr>
      <w:r>
        <w:t>The prologue continues: “And the Word became flesh and dwelt among us, and we have seen his glory, glory as of the only Son from the Father, full of grace and truth” (John 1:14). The term John uses here, μονογενής (monogenēs, traditionally rendered “only begotten,” and more precisely meaning “one of a kind” or “unique”), describes the Son’s singular, unrepeatable relationship to the Father — a relationship of nature, not merely of appointment or adoption. The prologue closes by returning to this theme: “No one has ever seen God; the only God, who is at the Father’s side, has made him known” (John 1:18) — in the earliest and most reliable Greek manuscripts, the one who reveals the unseen Father is himself called θεός (theos, “God”), standing at the Father’s side</w:t>
      </w:r>
      <w:hyperlink w:anchor="cite_84" w:history="1">
        <w:r>
          <w:rPr>
            <w:color w:val="671C2A"/>
            <w:sz w:val="16"/>
            <w:vertAlign w:val="superscript"/>
          </w:rPr>
          <w:t>84</w:t>
        </w:r>
      </w:hyperlink>
      <w:r>
        <w:t>. The prologue’s entire arc — Word with God, Word as God, Word becoming flesh, Word revealing God — supplies, in eighteen verses, nearly the entire christological vocabulary the church would spend the next several centuries carefully defining.</w:t>
      </w:r>
    </w:p>
    <w:p w14:paraId="70AAB4B6" w14:textId="77777777" w:rsidR="009C7F52" w:rsidRDefault="00731002">
      <w:pPr>
        <w:pStyle w:val="Heading3"/>
        <w:pBdr>
          <w:bottom w:val="single" w:sz="4" w:space="5" w:color="C8AE75"/>
        </w:pBdr>
      </w:pPr>
      <w:bookmarkStart w:id="88" w:name="X7269e8c7cfc6339b1eb1713a4a4949e409693dc"/>
      <w:bookmarkEnd w:id="87"/>
      <w:r>
        <w:t>Hebrews’s Warning Texts and the Sin Against the Spirit</w:t>
      </w:r>
    </w:p>
    <w:p w14:paraId="5FE3A8E5" w14:textId="77777777" w:rsidR="009C7F52" w:rsidRDefault="00731002">
      <w:pPr>
        <w:pStyle w:val="FirstParagraph"/>
      </w:pPr>
      <w:r>
        <w:t>Before turning to Hebrews’s opening chapter, it is worth noting that the letter’s high view of the Son is matched by an equally high view of the Spirit, expressed in one of its most severe warnings. The author warns that those who deliberately and finally reject the gospel after once professing it have “outraged the Spirit of grace” (Hebrews 10:29), naming this offense in the same breath as “trampling underfoot the Son of God” and treating his blood as unholy (Hebrews 10:29) — placing an offense against the Spirit on exactly the same level of seriousness as an offense against the Son himself. The same letter elsewhere describes apostasy as being unable to be restored once someone has “shared in the Holy Spirit” and then “fallen away”</w:t>
      </w:r>
      <w:hyperlink w:anchor="cite_85" w:history="1">
        <w:r>
          <w:rPr>
            <w:color w:val="671C2A"/>
            <w:sz w:val="16"/>
            <w:vertAlign w:val="superscript"/>
          </w:rPr>
          <w:t>85</w:t>
        </w:r>
      </w:hyperlink>
      <w:r>
        <w:t>, again treating participation in the Spirit as participation in the very reality of God, not in some lesser or subordinate power. Hebrews’s Christology and its theology of the Spirit rise and fall together, each reinforcing the other’s claim to full deity.</w:t>
      </w:r>
    </w:p>
    <w:p w14:paraId="3BD33FEB" w14:textId="77777777" w:rsidR="009C7F52" w:rsidRDefault="00731002">
      <w:pPr>
        <w:pStyle w:val="Heading3"/>
        <w:pBdr>
          <w:bottom w:val="single" w:sz="4" w:space="5" w:color="C8AE75"/>
        </w:pBdr>
      </w:pPr>
      <w:bookmarkStart w:id="89" w:name="X301f37da0a9780528d6e69d1e68c76eea8f694e"/>
      <w:bookmarkEnd w:id="88"/>
      <w:r>
        <w:t>Hebrews 1: Radiance of Glory, Exact Imprint of His Nature</w:t>
      </w:r>
    </w:p>
    <w:p w14:paraId="3247F556" w14:textId="77777777" w:rsidR="009C7F52" w:rsidRDefault="00731002">
      <w:pPr>
        <w:pStyle w:val="FirstParagraph"/>
      </w:pPr>
      <w:r>
        <w:t>The letter to the Hebrews opens with one of the New Testament’s most concentrated statements of the Son’s deity, deliberately building toward it through a comparison with the prophets and the angels. “Long ago, at many times and in many ways, God spoke to our fathers by the prophets, but in these last days he has spoken to us by his Son, whom he appointed the heir of all things, through whom also he created the world. He is the radiance of the glory of God and the exact imprint of his nature, and he upholds the universe by the word of his power” (Hebrews 1:1-3). Two images anchor this description, drawn from the single Greek clause ἀπαύγασμα τῆς δόξης καὶ χαρακτὴρ τῆς ὑποστάσεως αὐτοῦ (apaugasma tēs doxēs kai charaktēr tēs hypostaseōs autou, “radiance of his glory and exact imprint of his nature”). “Radiance of the glory of God” (ἀπαύγασμα, apaugasma, “radiance” or “effulgence”) pictures light streaming from its source — inseparable from that source, sharing its very nature, yet distinguishable as the light that proceeds from it, an image later theologians would develop at length when explaining the eternal relationship of the Son to the Father. “The exact imprint of his nature” (χαρακτήρ, charaktēr, the term for the precise impression a die leaves on a coin, or a seal leaves in wax) claims that the Son bears the exact character and substance of God the Father, not a resemblance or an approximation but a perfect representation of the same divine nature. It is worth flagging here, because the next chapter will return to it, that the word Hebrews uses for “nature” in this clause is ὑπόστασις (hypostasis) — one of the New Testament’s rare uses of the very term the fourth-century councils would later formalize as their technical word for “person.”</w:t>
      </w:r>
    </w:p>
    <w:p w14:paraId="0D9BAB5A" w14:textId="77777777" w:rsidR="009C7F52" w:rsidRDefault="00731002">
      <w:pPr>
        <w:pStyle w:val="BodyText"/>
      </w:pPr>
      <w:r>
        <w:t>Hebrews reinforces this claim with a series of Old Testament citations applied directly to the Son, including one addressed by God to the Son as “God” in its own original context: “But of the Son he says, ‘Your throne, O God, is forever and ever’”</w:t>
      </w:r>
      <w:hyperlink w:anchor="cite_86" w:history="1">
        <w:r>
          <w:rPr>
            <w:color w:val="671C2A"/>
            <w:sz w:val="16"/>
            <w:vertAlign w:val="superscript"/>
          </w:rPr>
          <w:t>86</w:t>
        </w:r>
      </w:hyperlink>
      <w:r>
        <w:t>. The author does not treat this as a strained or forced reading; he presents it as the plain sense of applying royal-messianic psalms to their ultimate fulfillment in Christ. The chapter closes by applying to the Son a psalm addressed to Yahweh as Creator, unchanging amid a changing creation: “You, Lord, laid the foundation of the earth in the beginning, and the heavens are the work of your hands… but you are the same, and your years will have no end” (Hebrews 1:10-12, quoting Psalm 102:25-27). Hebrews’ Christology, in short, is not merely “high” in the sense of exalted human honor; it identifies the Son directly with the Creator and Sustainer of the universe, the immutable one whose years never end.</w:t>
      </w:r>
    </w:p>
    <w:p w14:paraId="28095DA2" w14:textId="77777777" w:rsidR="009C7F52" w:rsidRDefault="00731002">
      <w:pPr>
        <w:pStyle w:val="Heading3"/>
        <w:pBdr>
          <w:bottom w:val="single" w:sz="4" w:space="5" w:color="C8AE75"/>
        </w:pBdr>
      </w:pPr>
      <w:bookmarkStart w:id="90" w:name="X3a9b7c135317fa242f54cd5876a8e8ab14f37a4"/>
      <w:bookmarkEnd w:id="89"/>
      <w:r>
        <w:t>Revelation: Worship of the Lamb Alongside the One on the Throne</w:t>
      </w:r>
    </w:p>
    <w:p w14:paraId="0A59E3B3" w14:textId="77777777" w:rsidR="009C7F52" w:rsidRDefault="00731002">
      <w:pPr>
        <w:pStyle w:val="FirstParagraph"/>
      </w:pPr>
      <w:r>
        <w:t>The book of Revelation offers the New Testament’s most vivid liturgical picture of what the earlier chapters have described theologically. In the throne-room vision of chapters four and five, John sees “one seated on the throne” (Revelation 4:2) receiving the unceasing worship of heavenly creatures who cry, “Holy, holy, holy, is the Lord God Almighty” (Revelation 4:8) — worship reserved, throughout Scripture, for God alone. Immediately following, in chapter five, a Lamb appears, “standing, as though it had been slain” (Revelation 5:6), who alone is worthy to open the scroll of God’s purposes for history. The response of heaven is decisive: the same creatures who worship the one on the throne now sing to the Lamb, “Worthy are you… for you were slain, and by your blood you ransomed people for God” (Revelation 5:9), and the vision climaxes with every creature in heaven and on earth declaring together, “To him who sits on the throne and to the Lamb be blessing and honor and glory and might forever and ever!” (Revelation 5:13). The Lamb receives the identical worship, in the identical setting, using the identical vocabulary, as “him who sits on the throne” — and the two are worshiped together, in a single act of adoration, without any suggestion that the Lamb’s worship diminishes or competes with the Father’s. This is the New Testament’s clearest liturgical enactment of what Paul argued theologically in 1 Corinthians 8:6 and Philippians 2: Jesus, the slain and risen Lamb, shares fully in the worship due to the one true God, without multiplying the objects of heaven’s devotion.</w:t>
      </w:r>
    </w:p>
    <w:p w14:paraId="35810752" w14:textId="77777777" w:rsidR="009C7F52" w:rsidRDefault="00731002">
      <w:pPr>
        <w:pStyle w:val="Heading3"/>
        <w:pBdr>
          <w:bottom w:val="single" w:sz="4" w:space="5" w:color="C8AE75"/>
        </w:pBdr>
      </w:pPr>
      <w:bookmarkStart w:id="91" w:name="X20a549d3d7384c20d9d13e38f93474c1a0c6978"/>
      <w:bookmarkEnd w:id="90"/>
      <w:r>
        <w:t>Revelation’s Divine Titles Shared by the Father and the Son</w:t>
      </w:r>
    </w:p>
    <w:p w14:paraId="32029E98" w14:textId="77777777" w:rsidR="009C7F52" w:rsidRDefault="00731002">
      <w:pPr>
        <w:pStyle w:val="FirstParagraph"/>
      </w:pPr>
      <w:r>
        <w:t>Revelation reinforces this liturgical picture with a set of exalted titles the book applies, deliberately and repeatedly, to both the one on the throne and to Christ. Early in the book, the risen Christ declares of himself, “I am the Alpha and the Omega, the first and the last” (Revelation 1:17; compare 22:13) — alpha and omega being the first and last letters of the Greek alphabet, a merism meaning “the beginning and the end of all things,” the totality of existence. This is precisely the title God the Father uses of himself earlier in the same book: “I am the Alpha and the Omega, says the Lord God, who is and who was and who is to come, the Almighty” (Revelation 1:8), and again at the very close of the book: “I am the Alpha and the Omega, the beginning and the end”</w:t>
      </w:r>
      <w:hyperlink w:anchor="cite_87" w:history="1">
        <w:r>
          <w:rPr>
            <w:color w:val="671C2A"/>
            <w:sz w:val="16"/>
            <w:vertAlign w:val="superscript"/>
          </w:rPr>
          <w:t>87</w:t>
        </w:r>
      </w:hyperlink>
      <w:r>
        <w:t>. Revelation does not treat this as an accidental overlap of language; it is the same title, applied without qualification or softening to both the Father and the Son, naming a comprehensive, all-encompassing sovereignty over the whole of history that Isaiah had earlier claimed belongs to Yahweh alone: “I am the first, and I am the last; besides me there is no god”</w:t>
      </w:r>
      <w:hyperlink w:anchor="cite_88" w:history="1">
        <w:r>
          <w:rPr>
            <w:color w:val="671C2A"/>
            <w:sz w:val="16"/>
            <w:vertAlign w:val="superscript"/>
          </w:rPr>
          <w:t>88</w:t>
        </w:r>
      </w:hyperlink>
      <w:r>
        <w:t>. Revelation’s vision of the future new creation likewise pictures “the throne of God and of the Lamb” as a single, unified throne (Revelation 22:1, 3) from which “his servants will worship him” (Revelation 22:3) — a single throne, a single unqualified “him,” shared without division between the one seated on it and the Lamb beside him.</w:t>
      </w:r>
    </w:p>
    <w:p w14:paraId="298B03D6" w14:textId="77777777" w:rsidR="009C7F52" w:rsidRDefault="00731002">
      <w:pPr>
        <w:pStyle w:val="Heading3"/>
        <w:pBdr>
          <w:bottom w:val="single" w:sz="4" w:space="5" w:color="C8AE75"/>
        </w:pBdr>
      </w:pPr>
      <w:bookmarkStart w:id="92" w:name="the-petrine-and-johannine-epistles"/>
      <w:bookmarkEnd w:id="91"/>
      <w:r>
        <w:t>The Petrine and Johannine Epistles</w:t>
      </w:r>
    </w:p>
    <w:p w14:paraId="551F01AE" w14:textId="77777777" w:rsidR="009C7F52" w:rsidRDefault="00731002">
      <w:pPr>
        <w:pStyle w:val="FirstParagraph"/>
      </w:pPr>
      <w:r>
        <w:t>The shorter apostolic letters confirm that this conviction was not confined to any one theological school within the early church. Peter’s second letter opens by addressing its recipients as those who have “obtained a faith of equal standing with ours by the righteousness of our God and Savior Jesus Christ” (2 Peter 1:1) — a construction examined in careful grammatical detail in the next chapter, where a single Greek article governs both “God” and “Savior,” identifying them as one and the same person: Jesus Christ himself, called God outright in the letter’s opening line, before a single verse of argument has been offered, as though the identification required no defense at all. Peter’s first letter opens with an explicitly triadic structure of salvation: believers are chosen “according to the foreknowledge of God the Father, in the sanctification of the Spirit, for obedience to Jesus Christ and for sprinkling with his blood” (1 Peter 1:2) — Father, Spirit, and Son each credited with a distinct role in a single unified work of salvation, echoing the same triadic instinct found throughout Paul’s letters</w:t>
      </w:r>
      <w:hyperlink w:anchor="cite_89" w:history="1">
        <w:r>
          <w:rPr>
            <w:color w:val="671C2A"/>
            <w:sz w:val="16"/>
            <w:vertAlign w:val="superscript"/>
          </w:rPr>
          <w:t>89</w:t>
        </w:r>
      </w:hyperlink>
      <w:r>
        <w:t>. John’s first epistle closes with one of the New Testament’s most direct identifications of Jesus with God, described almost as an afterthought summarizing everything the letter has argued: “And we know that the Son of God has come and has given us understanding, so that we may know him who is true; and we are in him who is true, in his Son Jesus Christ. He is the true God and eternal life” (1 John 5:20). Some ambiguity exists in the Greek as to whether “he” in the final sentence refers to the Father or to Jesus Christ, but the grammatical antecedent most naturally points to “his Son Jesus Christ,” named immediately before — making this one of the clearest direct predications of the title “true God” to Jesus anywhere in the New Testament outside of John’s Gospel</w:t>
      </w:r>
      <w:hyperlink w:anchor="cite_90" w:history="1">
        <w:r>
          <w:rPr>
            <w:color w:val="671C2A"/>
            <w:sz w:val="16"/>
            <w:vertAlign w:val="superscript"/>
          </w:rPr>
          <w:t>90</w:t>
        </w:r>
      </w:hyperlink>
      <w:r>
        <w:t>.</w:t>
      </w:r>
    </w:p>
    <w:p w14:paraId="2190615B" w14:textId="77777777" w:rsidR="009C7F52" w:rsidRDefault="00731002">
      <w:pPr>
        <w:pStyle w:val="Heading3"/>
        <w:pBdr>
          <w:bottom w:val="single" w:sz="4" w:space="5" w:color="C8AE75"/>
        </w:pBdr>
      </w:pPr>
      <w:bookmarkStart w:id="93" w:name="a-unified-apostolic-witness"/>
      <w:bookmarkEnd w:id="92"/>
      <w:r>
        <w:t>A Unified Apostolic Witness</w:t>
      </w:r>
    </w:p>
    <w:p w14:paraId="3AF39E2D" w14:textId="77777777" w:rsidR="009C7F52" w:rsidRDefault="00731002">
      <w:pPr>
        <w:pStyle w:val="FirstParagraph"/>
      </w:pPr>
      <w:r>
        <w:t>What emerges from surveying John’s prologue, the letter to the Hebrews, the throne-room visions of Revelation, and the Petrine and Johannine epistles is not a patchwork of isolated, disconnected proof-texts assembled after the fact by later theologians eager to find support for a doctrine they had already decided to believe. It is a remarkably unified pattern, arising independently across writers separated by decades, geography, and theological temperament, all converging on the same basic conviction: that the Son who became flesh and the Spirit who indwells the church belong, in the fullest and most exalted sense, within the identity of the one God of Israel — worshiped together, without division, and without the slightest sense among these writers that they were compromising the strict monotheism in which every one of them had been raised. Having traced this pattern through the Gospels, the Pauline letters, and the wider apostolic writings, this Part now turns to the underlying Greek grammar itself, before arriving, in its final chapter, at the formal vocabulary later theology would use to state what all these writers, each in his own voice, had already confessed.</w:t>
      </w:r>
    </w:p>
    <w:p w14:paraId="2F07EE14" w14:textId="77777777" w:rsidR="009C7F52" w:rsidRDefault="007D6CCB">
      <w:r>
        <w:rPr>
          <w:noProof/>
        </w:rPr>
      </w:r>
      <w:r w:rsidR="007D6CCB">
        <w:rPr>
          <w:noProof/>
        </w:rPr>
        <w:pict w14:anchorId="67E1604A">
          <v:rect id="_x0000_i1035" style="width:0;height:1.5pt" o:hralign="center" o:hrstd="t" o:hr="t"/>
        </w:pict>
      </w:r>
    </w:p>
    <w:p w14:paraId="5E4544EA" w14:textId="77777777" w:rsidR="009C7F52" w:rsidRDefault="00731002">
      <w:pPr>
        <w:pStyle w:val="Heading2"/>
        <w:pBdr>
          <w:bottom w:val="single" w:sz="10" w:space="8" w:color="A68037"/>
        </w:pBdr>
      </w:pPr>
      <w:bookmarkStart w:id="94" w:name="X3cb55f4af674b94d74624ff836ab55535d2f747"/>
      <w:bookmarkEnd w:id="86"/>
      <w:bookmarkEnd w:id="93"/>
      <w:r>
        <w:t>Chapter 12: The Greek Text and the Grammar of Deity</w:t>
      </w:r>
    </w:p>
    <w:p w14:paraId="2271A212" w14:textId="77777777" w:rsidR="009C7F52" w:rsidRDefault="00731002">
      <w:pPr>
        <w:pStyle w:val="FirstParagraph"/>
      </w:pPr>
      <w:r>
        <w:t xml:space="preserve">A translation can only tell you what a sentence says. It cannot always show you why translators are so confident they got it right, or why a handful of contested verses have occupied professional Greek grammarians for over a century. This chapter steps back from the English text to look directly at the Greek words themselves — not because Greek is a magic key that unlocks secrets English hides, but because the New Testament’s clearest claims about the deity of Christ hang, in a few crucial cases, on grammatical decisions ordinary translation cannot always show. A reader does not need to know Greek to trust these translations; every rendering in this chapter is checked against the standard scholarly interlinear text and against Daniel B. Wallace’s </w:t>
      </w:r>
      <w:r>
        <w:rPr>
          <w:i/>
          <w:iCs/>
        </w:rPr>
        <w:t>Greek Grammar Beyond the Basics</w:t>
      </w:r>
      <w:r>
        <w:t>, the reference grammar most widely used in seminary Greek instruction today. But seeing the grammar itself, laid bare, shows why serious linguists — not merely theologians with a doctrine to defend — have reached the conclusions this book has been building toward.</w:t>
      </w:r>
    </w:p>
    <w:p w14:paraId="7C6356F1" w14:textId="77777777" w:rsidR="009C7F52" w:rsidRDefault="00731002">
      <w:pPr>
        <w:pStyle w:val="Heading3"/>
        <w:pBdr>
          <w:bottom w:val="single" w:sz="4" w:space="5" w:color="C8AE75"/>
        </w:pBdr>
      </w:pPr>
      <w:bookmarkStart w:id="95" w:name="john-11c-the-word-was-god-not-a-god"/>
      <w:r>
        <w:t>John 1:1c: The Word Was God, Not “a god”</w:t>
      </w:r>
    </w:p>
    <w:p w14:paraId="0A0B438E" w14:textId="77777777" w:rsidR="009C7F52" w:rsidRDefault="00731002">
      <w:pPr>
        <w:pStyle w:val="FirstParagraph"/>
      </w:pPr>
      <w:r>
        <w:t>The single most contested clause in New Testament Christology is the final phrase of John 1:1: καὶ θεὸς ἦν ὁ λόγος (kai theos ēn ho logos, “and the Word was God”). The verse’s first two clauses are grammatically uncontroversial: Ἐν ἀρχῇ ἦν ὁ λόγος (En archē ēn ho logos, “In the beginning was the Word”) and καὶ ὁ λόγος ἦν πρὸς τὸν θεόν (kai ho logos ēn pros ton theon, “and the Word was with God”)</w:t>
      </w:r>
      <w:hyperlink w:anchor="cite_91" w:history="1">
        <w:r>
          <w:rPr>
            <w:color w:val="671C2A"/>
            <w:sz w:val="16"/>
            <w:vertAlign w:val="superscript"/>
          </w:rPr>
          <w:t>91</w:t>
        </w:r>
      </w:hyperlink>
      <w:r>
        <w:t>. Here, “God” (τὸν θεόν, ton theon) carries the definite article τόν and functions as the object of the preposition πρός (“with”), clearly designating God the Father as a distinct person the Word is “with.”</w:t>
      </w:r>
    </w:p>
    <w:p w14:paraId="6D2B568E" w14:textId="77777777" w:rsidR="009C7F52" w:rsidRDefault="00731002">
      <w:pPr>
        <w:pStyle w:val="BodyText"/>
      </w:pPr>
      <w:r>
        <w:t>The third clause changes shape. In the Greek text, the word order is θεὸς ἦν ὁ λόγος — literally “God was the Word,” with the noun θεός (“God”) placed first, before the verb, and lacking the definite article that appeared on “God” in the previous clause. English requires a fixed subject-verb-object order, so translators must decide which noun is the grammatical subject. Every standard English translation renders this “the Word was God,” correctly treating ὁ λόγος (“the Word”) as the subject, because ὁ λόγος carries the article and has already been established as the subject of the entire sentence, while θεός, arriving without the article, functions as the predicate.</w:t>
      </w:r>
    </w:p>
    <w:p w14:paraId="32A479BA" w14:textId="77777777" w:rsidR="009C7F52" w:rsidRDefault="00731002">
      <w:pPr>
        <w:pStyle w:val="BodyText"/>
      </w:pPr>
      <w:r>
        <w:t xml:space="preserve">This raises the crucial question: why does θεός lack the article here, and does that missing article mean John intends something less than full deity — perhaps “the Word was a god,” as some translations outside the historic Christian mainstream have rendered it? The answer lies in a well-studied feature of Koine Greek grammar called Colwell’s Rule, named for the New Testament scholar E.C. Colwell, who published his findings in the </w:t>
      </w:r>
      <w:r>
        <w:rPr>
          <w:i/>
          <w:iCs/>
        </w:rPr>
        <w:t>Journal of Biblical Literature</w:t>
      </w:r>
      <w:r>
        <w:t xml:space="preserve"> in 1933. Colwell’s Rule observes that “definite predicate nouns which precede the verb usually lack the article,” and that “a predicate nominative which precedes the verb cannot be translated as an indefinite or a ‘qualitative’ noun solely because of the absence of the article; if the context suggests that the predicate is definite, it should be translated as a definite noun”</w:t>
      </w:r>
      <w:hyperlink w:anchor="cite_92" w:history="1">
        <w:r>
          <w:rPr>
            <w:color w:val="671C2A"/>
            <w:sz w:val="16"/>
            <w:vertAlign w:val="superscript"/>
          </w:rPr>
          <w:t>92</w:t>
        </w:r>
      </w:hyperlink>
      <w:r>
        <w:t>. In plainer terms: Greek writers regularly dropped the article from a predicate noun (the noun that describes the subject, following a “to be” verb) whenever that predicate noun came before the verb in the sentence — and the missing article by itself tells a reader nothing about whether the noun should be read as definite (“the God”), indefinite (“a god”), or qualitative (describing the kind or quality of nature something has). The article’s absence is simply what predicate nouns in this position usually do in Greek; it is not, on its own, evidence of a lesser or different kind of “God.”</w:t>
      </w:r>
    </w:p>
    <w:p w14:paraId="6ADE9CE0" w14:textId="77777777" w:rsidR="009C7F52" w:rsidRDefault="00731002">
      <w:pPr>
        <w:pStyle w:val="BodyText"/>
      </w:pPr>
      <w:r>
        <w:t>Daniel Wallace, professor of New Testament studies and the author of the standard advanced Greek grammar used in most seminaries, argues that John 1:1c is best read as a “qualitative” use of θεός — meaning the clause emphasizes the nature or quality of deity the Word possesses, not a claim that the Word is merely “divine” in some lesser, generic sense, and certainly not a claim that the Word is one god among several. Wallace explains that John’s construction “was the most concise way he could have stated that the Word was God and yet was distinct from the Father”</w:t>
      </w:r>
      <w:hyperlink w:anchor="cite_93" w:history="1">
        <w:r>
          <w:rPr>
            <w:color w:val="671C2A"/>
            <w:sz w:val="16"/>
            <w:vertAlign w:val="superscript"/>
          </w:rPr>
          <w:t>93</w:t>
        </w:r>
      </w:hyperlink>
      <w:r>
        <w:t>. Had John written ὁ θεός ἦν ὁ λόγος, with the article on both nouns, he would have equated the Word totally and exhaustively with the Father — collapsing the very distinction of persons the previous clause (“the Word was with God”) had just established, and sliding into the modalist error this book has already discussed at length. Had John instead wanted to say “a god,” in the sense of a lesser or created divine being, Koine Greek had straightforward ways to say exactly that, and John does not use any of them. The construction he chose sits precisely between those two extremes: the Word is not identical to the person of the Father, and the Word is not a secondary, lesser deity — the Word possesses, fully and completely, the same divine essence the Father possesses, while remaining a distinct person.</w:t>
      </w:r>
    </w:p>
    <w:p w14:paraId="79352213" w14:textId="77777777" w:rsidR="009C7F52" w:rsidRDefault="00731002">
      <w:pPr>
        <w:pStyle w:val="BodyText"/>
      </w:pPr>
      <w:r>
        <w:t xml:space="preserve">This grammatical question has not stayed confined to seminary classrooms. It became the center of a public scholarly exchange when Jason BeDuhn, a religious studies scholar, argued in his book </w:t>
      </w:r>
      <w:r>
        <w:rPr>
          <w:i/>
          <w:iCs/>
        </w:rPr>
        <w:t>Truth in Translation</w:t>
      </w:r>
      <w:r>
        <w:t xml:space="preserve"> that “a god” is a defensible rendering of John 1:1c; Trinitarian scholars, including contributors responding directly to BeDuhn’s argument, have countered that his proposal does not adequately reckon with Colwell’s Rule and the qualitative force the anarthrous (article-less) construction most naturally carries in this kind of sentence</w:t>
      </w:r>
      <w:hyperlink w:anchor="cite_94" w:history="1">
        <w:r>
          <w:rPr>
            <w:color w:val="671C2A"/>
            <w:sz w:val="16"/>
            <w:vertAlign w:val="superscript"/>
          </w:rPr>
          <w:t>94</w:t>
        </w:r>
      </w:hyperlink>
      <w:r>
        <w:t>. The debate is a useful reminder that Greek grammar, like any technical field, has genuine scholarly disagreement at its edges — but the weight of grammatical argument, from Colwell’s original 1933 study through Wallace’s more recent and more detailed grammar, falls consistently on reading John 1:1c as affirming the full deity of the Word, distinguished in person from, but not lesser in nature than, the Father.</w:t>
      </w:r>
    </w:p>
    <w:p w14:paraId="066937E7" w14:textId="77777777" w:rsidR="009C7F52" w:rsidRDefault="00731002">
      <w:pPr>
        <w:pStyle w:val="Heading3"/>
        <w:pBdr>
          <w:bottom w:val="single" w:sz="4" w:space="5" w:color="C8AE75"/>
        </w:pBdr>
      </w:pPr>
      <w:bookmarkStart w:id="96" w:name="X61da2d8227d468a33b0970562745f03b8facf2a"/>
      <w:bookmarkEnd w:id="95"/>
      <w:r>
        <w:t>Titus 2:13 and 2 Peter 1:1: Granville Sharp’s Rule</w:t>
      </w:r>
    </w:p>
    <w:p w14:paraId="0D925C48" w14:textId="77777777" w:rsidR="009C7F52" w:rsidRDefault="00731002">
      <w:pPr>
        <w:pStyle w:val="FirstParagraph"/>
      </w:pPr>
      <w:r>
        <w:t>A second grammatical pattern settles two more New Testament texts that directly call Jesus “God”: Titus 2:13 and 2 Peter 1:1. Titus 2:13 speaks of “the appearing of the glory of our great God and Savior Jesus Christ,” and its Greek text reads τοῦ μεγάλου Θεοῦ καὶ Σωτῆρος ἡμῶν Χριστοῦ Ἰησοῦ (tou megalou Theou kai Sōtēros hēmōn Christou Iēsou, “of the great God and Savior of us, Christ Jesus”)</w:t>
      </w:r>
      <w:hyperlink w:anchor="cite_95" w:history="1">
        <w:r>
          <w:rPr>
            <w:color w:val="671C2A"/>
            <w:sz w:val="16"/>
            <w:vertAlign w:val="superscript"/>
          </w:rPr>
          <w:t>95</w:t>
        </w:r>
      </w:hyperlink>
      <w:r>
        <w:t>. Notice the structure: a single definite article, τοῦ (“the”), governs both nouns, Θεοῦ (“God”) and Σωτῆρος (“Savior”), which are joined by the conjunction καί (“and”). The second noun, Σωτῆρος, has no article of its own. 2 Peter 1:1 follows an identical pattern: τοῦ Θεοῦ ἡμῶν καὶ Σωτῆρος Ἰησοῦ Χριστοῦ (tou Theou hēmōn kai Sōtēros Iēsou Christou, “of our God and Savior, Jesus Christ”)</w:t>
      </w:r>
      <w:hyperlink w:anchor="cite_96" w:history="1">
        <w:r>
          <w:rPr>
            <w:color w:val="671C2A"/>
            <w:sz w:val="16"/>
            <w:vertAlign w:val="superscript"/>
          </w:rPr>
          <w:t>96</w:t>
        </w:r>
      </w:hyperlink>
      <w:r>
        <w:t>.</w:t>
      </w:r>
    </w:p>
    <w:p w14:paraId="42EAF4F2" w14:textId="77777777" w:rsidR="009C7F52" w:rsidRDefault="00731002">
      <w:pPr>
        <w:pStyle w:val="BodyText"/>
      </w:pPr>
      <w:r>
        <w:t>This article-noun-καί-noun pattern (grammarians often abbreviate it “TSKS,” for “The-Substantive-Kai-Substantive”) is governed by a rule of Greek grammar first identified in 1798 by Granville Sharp, an English biblical scholar and abolitionist. Sharp observed, and later grammarians including Wallace have confirmed through exhaustive study of the entire New Testament, that when a single article joins two singular, personal, common nouns (meaning ordinary nouns like “God,” “Savior,” “king,” or “brother” — not proper names like “Paul” or “Peter”) with καί, both nouns describe one and the same person, not two different people</w:t>
      </w:r>
      <w:hyperlink w:anchor="cite_97" w:history="1">
        <w:r>
          <w:rPr>
            <w:color w:val="671C2A"/>
            <w:sz w:val="16"/>
            <w:vertAlign w:val="superscript"/>
          </w:rPr>
          <w:t>97</w:t>
        </w:r>
      </w:hyperlink>
      <w:r>
        <w:t>. Wallace states the rule’s technical conditions precisely: the second noun refers to the same person as the first “when: (1) neither is impersonal; (2) neither is plural; (3) neither is a proper name”</w:t>
      </w:r>
      <w:hyperlink w:anchor="cite_98" w:history="1">
        <w:r>
          <w:rPr>
            <w:color w:val="671C2A"/>
            <w:sz w:val="16"/>
            <w:vertAlign w:val="superscript"/>
          </w:rPr>
          <w:t>98</w:t>
        </w:r>
      </w:hyperlink>
      <w:r>
        <w:t>. Both Θεοῦ (“God”) and Σωτῆρος (“Savior”) meet every one of these conditions in Titus 2:13 and 2 Peter 1:1 — they are personal, singular, and common (not proper) nouns, joined by καί under a single article. Wallace’s own extensive survey of roughly eighty comparable constructions across the New Testament found no clear exceptions to the pattern within these specific grammatical limits, leading him to judge the rule “inviolable” for constructions that meet all three conditions</w:t>
      </w:r>
      <w:hyperlink w:anchor="cite_99" w:history="1">
        <w:r>
          <w:rPr>
            <w:color w:val="671C2A"/>
            <w:sz w:val="16"/>
            <w:vertAlign w:val="superscript"/>
          </w:rPr>
          <w:t>99</w:t>
        </w:r>
      </w:hyperlink>
      <w:r>
        <w:t>.</w:t>
      </w:r>
    </w:p>
    <w:p w14:paraId="4AC3C9FF" w14:textId="77777777" w:rsidR="009C7F52" w:rsidRDefault="00731002">
      <w:pPr>
        <w:pStyle w:val="BodyText"/>
      </w:pPr>
      <w:r>
        <w:t>The theological upshot is direct: Titus 2:13 and 2 Peter 1:1 are not describing two persons — “God” (the Father) and, separately, “our Savior Jesus Christ” — but one person, called by two titles: Jesus Christ is “our great God and Savior.” The apologist and radio broadcaster James White, whose formal definition of the Trinity anchors the closing chapter of this Part, has argued the same grammatical point at length in his own ministry writing, noting that in both texts “God” carries the article, is followed by καί, and “Savior” lacks its own article — “hence, both nouns are being applied to the same person, Jesus Christ,” a construction White and the broader grammatical consensus both judge to be exceptionless in the New Testament’s actual usage</w:t>
      </w:r>
      <w:hyperlink w:anchor="cite_100" w:history="1">
        <w:r>
          <w:rPr>
            <w:color w:val="671C2A"/>
            <w:sz w:val="16"/>
            <w:vertAlign w:val="superscript"/>
          </w:rPr>
          <w:t>100</w:t>
        </w:r>
      </w:hyperlink>
      <w:r>
        <w:t>. It bears repeating, in the spirit of historical care this book has tried to maintain throughout, that not every scholar agrees on every detail of application — some have questioned whether Sharp’s Rule extends cleanly to every proposed New Testament instance, and readers interested in that narrower debate can consult the Tyndale Bulletin study already cited. But for Titus 2:13 and 2 Peter 1:1 specifically, the grammatical case that both texts directly call Jesus Christ “God” is unusually strong, resting not on theological preference but on a well-documented and independently verifiable pattern of Koine Greek syntax.</w:t>
      </w:r>
    </w:p>
    <w:p w14:paraId="54290C8F" w14:textId="77777777" w:rsidR="009C7F52" w:rsidRDefault="00731002">
      <w:pPr>
        <w:pStyle w:val="Heading3"/>
        <w:pBdr>
          <w:bottom w:val="single" w:sz="4" w:space="5" w:color="C8AE75"/>
        </w:pBdr>
      </w:pPr>
      <w:bookmarkStart w:id="97" w:name="X4cd677d4afcf95b4e4a16dd2642592ac55dc91f"/>
      <w:bookmarkEnd w:id="96"/>
      <w:r>
        <w:t>Philippians 2:6-7: Form, Grasping, and Emptying</w:t>
      </w:r>
    </w:p>
    <w:p w14:paraId="45D3AA62" w14:textId="77777777" w:rsidR="009C7F52" w:rsidRDefault="00731002">
      <w:pPr>
        <w:pStyle w:val="FirstParagraph"/>
      </w:pPr>
      <w:r>
        <w:t>The Christ-hymn of Philippians 2, already examined in this Part for its theological content, rewards a closer look at three specific Greek terms. The hymn opens: ὃς ἐν μορφῇ Θεοῦ ὑπάρχων οὐχ ἁρπαγμὸν ἡγήσατο τὸ εἶναι ἴσα Θεῷ (hos en morphē Theou hyparchōn ouch harpagmon hēgēsato to einai isa Theō, “who, being in the form of God, did not consider it a thing to be grasped to be equal with God”)</w:t>
      </w:r>
      <w:hyperlink w:anchor="cite_101" w:history="1">
        <w:r>
          <w:rPr>
            <w:color w:val="671C2A"/>
            <w:sz w:val="16"/>
            <w:vertAlign w:val="superscript"/>
          </w:rPr>
          <w:t>101</w:t>
        </w:r>
      </w:hyperlink>
      <w:r>
        <w:t>.</w:t>
      </w:r>
    </w:p>
    <w:p w14:paraId="643C42AC" w14:textId="77777777" w:rsidR="009C7F52" w:rsidRDefault="00731002">
      <w:pPr>
        <w:pStyle w:val="BodyText"/>
      </w:pPr>
      <w:r>
        <w:t>The word μορφή (morphē, “form”) does not mean mere outward appearance, the way an English speaker might use “form” to describe a costume or a disguise. In the philosophical Greek of the period, μορφή denoted the outward expression of an inner, essential reality — the way a thing’s true nature necessarily shows itself. To exist ἐν μορφῇ Θεοῦ (en morphē Theou, “in the form of God”) is to possess, and to visibly express, the very nature and glory that belong to God. The participle ὑπάρχων (hyparchōn, “existing” or “being”) reinforces this: it describes a continuous, ongoing state of being, not a temporary role Christ was merely playing before the incarnation.</w:t>
      </w:r>
    </w:p>
    <w:p w14:paraId="76D6AEDA" w14:textId="77777777" w:rsidR="009C7F52" w:rsidRDefault="00731002">
      <w:pPr>
        <w:pStyle w:val="BodyText"/>
      </w:pPr>
      <w:r>
        <w:t>The second key term, ἁρπαγμόν (harpagmon), is a rare word built from the verb ἁρπάζω (“to seize” or “to snatch”), and its precise nuance here has occasioned real scholarly discussion. The traditional and still most defensible reading understands the phrase οὐχ ἁρπαγμὸν ἡγήσατο (“did not consider it a thing to be grasped”) to mean that Christ, already possessing equality with God by nature, did not treat that equality as something to be selfishly clutched onto or exploited for his own advantage — precisely the opposite move Adam made in Genesis 3, reaching to grasp equality with God he did not possess. Christ already had what Adam wrongly reached for, and instead of clutching it, gave it up in humility. This reading requires that Christ already possess full deity — the hymn’s argument only makes rhetorical sense if the “emptying” that follows is a real renunciation of something genuinely his, not the surrender of something he never had.</w:t>
      </w:r>
    </w:p>
    <w:p w14:paraId="24FED064" w14:textId="77777777" w:rsidR="009C7F52" w:rsidRDefault="00731002">
      <w:pPr>
        <w:pStyle w:val="BodyText"/>
      </w:pPr>
      <w:r>
        <w:t>That “emptying” is named by the third term: ἀλλὰ ἑαυτὸν ἐκένωσεν μορφὴν δούλου λαβών (alla heauton ekenōsen morphēn doulou labōn, “but he emptied himself, taking the form of a servant”)</w:t>
      </w:r>
      <w:hyperlink w:anchor="cite_102" w:history="1">
        <w:r>
          <w:rPr>
            <w:color w:val="671C2A"/>
            <w:sz w:val="16"/>
            <w:vertAlign w:val="superscript"/>
          </w:rPr>
          <w:t>102</w:t>
        </w:r>
      </w:hyperlink>
      <w:r>
        <w:t>. The verb ἐκένωσεν (ekenōsen, from κενόω, “to empty”) gives later theology its technical term for the incarnation’s self-limitation: kenosis. It is essential to state plainly, in the same careful spirit this book has applied to every doctrinal term it has introduced, what kenosis does not mean. Paul does not say Christ emptied himself of his divine nature, as though the Son ceased to be fully God during the incarnation — the grammar gives no object for ἐκένωσεν at all; Christ “emptied himself,” full stop, and the following participle clarifies how: by “taking the form of a servant.” Christ did not subtract deity; he added a genuine, full humanity, and in that addition set aside the outward display of divine glory and prerogative — the way a king might set aside his crown and robes to wash a servant’s feet, without ceasing for one moment to be king. The hymn’s entire logic, as this Part’s earlier chapter on Paul argued, depends on Christ retaining the full divine nature he already possessed even as he took on a fully human one.</w:t>
      </w:r>
    </w:p>
    <w:p w14:paraId="5E8D5515" w14:textId="77777777" w:rsidR="009C7F52" w:rsidRDefault="00731002">
      <w:pPr>
        <w:pStyle w:val="Heading3"/>
        <w:pBdr>
          <w:bottom w:val="single" w:sz="4" w:space="5" w:color="C8AE75"/>
        </w:pBdr>
      </w:pPr>
      <w:bookmarkStart w:id="98" w:name="X3aa7a48fe6689a791edcfd0bc06b3b4de685708"/>
      <w:bookmarkEnd w:id="97"/>
      <w:r>
        <w:t>Colossians 2:9: The Whole Fullness of Deity</w:t>
      </w:r>
    </w:p>
    <w:p w14:paraId="6F05EEC7" w14:textId="77777777" w:rsidR="009C7F52" w:rsidRDefault="00731002">
      <w:pPr>
        <w:pStyle w:val="FirstParagraph"/>
      </w:pPr>
      <w:r>
        <w:t>Paul returns to this same theme in his letter to the Colossians with a phrase of striking density: πᾶν τὸ πλήρωμα τῆς θεότητος (pan to plērōma tēs theotētos, “all the fullness of deity”), completing the sentence ὅτι ἐν αὐτῷ κατοικεῖ πᾶν τὸ πλήρωμα τῆς θεότητος σωματικῶς (hoti en autō katoikei pan to plērōma tēs theotētos sōmatikōs, “for in him dwells all the fullness of deity, bodily”)</w:t>
      </w:r>
      <w:hyperlink w:anchor="cite_103" w:history="1">
        <w:r>
          <w:rPr>
            <w:color w:val="671C2A"/>
            <w:sz w:val="16"/>
            <w:vertAlign w:val="superscript"/>
          </w:rPr>
          <w:t>103</w:t>
        </w:r>
      </w:hyperlink>
      <w:r>
        <w:t>. Two grammatical choices here carry real theological weight. First, θεότης (theotēs, here in the genitive form θεότητος) is a more abstract and comprehensive noun than the ordinary word θεός (“God”); where θεός names God as a person or a category, θεότης names the abstract quality or nature of deity itself — the totality of what it means to be God. Paul is not saying merely that something “godlike” or “divine-ish” dwells in Christ; he is saying the entire, complete essence of deity itself resides in him. Second, the adjective πᾶν (“all,” “the whole”) intensifies this claim further, ruling out the possibility that Christ possesses deity only partially or by delegation. Third, the adverb σωματικῶς (“bodily”) anchors this cosmic claim in the concrete, physical reality of the incarnate Christ — the fullness of deity does not merely visit or overshadow Jesus of Nazareth the way the Spirit might inspire a prophet; it dwells in him bodily, permanently, as the very shape of his existence.</w:t>
      </w:r>
    </w:p>
    <w:p w14:paraId="51A63490" w14:textId="77777777" w:rsidR="009C7F52" w:rsidRDefault="00731002">
      <w:pPr>
        <w:pStyle w:val="Heading3"/>
        <w:pBdr>
          <w:bottom w:val="single" w:sz="4" w:space="5" w:color="C8AE75"/>
        </w:pBdr>
      </w:pPr>
      <w:bookmarkStart w:id="99" w:name="hebrews-13-radiance-and-exact-imprint"/>
      <w:bookmarkEnd w:id="98"/>
      <w:r>
        <w:t>Hebrews 1:3: Radiance and Exact Imprint</w:t>
      </w:r>
    </w:p>
    <w:p w14:paraId="703B6448" w14:textId="77777777" w:rsidR="009C7F52" w:rsidRDefault="00731002">
      <w:pPr>
        <w:pStyle w:val="FirstParagraph"/>
      </w:pPr>
      <w:r>
        <w:t>The letter to the Hebrews supplies a grammatical construction already introduced in the previous chapter that deserves a closer look here for its unusual vocabulary. Hebrews describes the Son as ἀπαύγασμα τῆς δόξης καὶ χαρακτὴρ τῆς ὑποστάσεως αὐτοῦ (apaugasma tēs doxēs kai charaktēr tēs hypostaseōs autou, “radiance of his glory and exact imprint of his nature”)</w:t>
      </w:r>
      <w:hyperlink w:anchor="cite_104" w:history="1">
        <w:r>
          <w:rPr>
            <w:color w:val="671C2A"/>
            <w:sz w:val="16"/>
            <w:vertAlign w:val="superscript"/>
          </w:rPr>
          <w:t>104</w:t>
        </w:r>
      </w:hyperlink>
      <w:r>
        <w:t>. The noun χαρακτήρ (charaktēr) referred, in everyday Koine usage, to the die used to stamp a design onto a coin or a seal pressed into wax — the tool that leaves an exact, faithful impression of itself on another surface. Applied to the Son, the image claims that he bears the precise, accurate stamp of God’s own nature: not a rough approximation, not a family resemblance, but an exact correspondence.</w:t>
      </w:r>
    </w:p>
    <w:p w14:paraId="3183148B" w14:textId="77777777" w:rsidR="009C7F52" w:rsidRDefault="00731002">
      <w:pPr>
        <w:pStyle w:val="BodyText"/>
      </w:pPr>
      <w:r>
        <w:t>The word Hebrews uses for “nature” in this clause, ὑπόστασις (hypostasis, here in the genitive form ὑποστάσεως), deserves special attention, because it is one of only a handful of New Testament occurrences of the very term that later fourth-century theology would adopt as its technical word for “person” — the “who” of the Father, Son, and Spirit, as this Part’s closing chapter explains at length. Hebrews uses ὑπόστασις here to mean something closer to “essential nature” or “real substance” than to the later technical sense of “individual person” — a reminder, worth pausing on, that biblical writers used their era’s existing vocabulary in flexible, pre-technical ways, and that it took the church several centuries of careful, hard-won precision to settle ὑπόστασις into the fixed, specialized meaning it would carry at the Council of Constantinople and beyond. The word was already present in Scripture; its most precise theological use still lay in the future.</w:t>
      </w:r>
    </w:p>
    <w:p w14:paraId="0CB7F20A" w14:textId="77777777" w:rsidR="009C7F52" w:rsidRDefault="00731002">
      <w:pPr>
        <w:pStyle w:val="Heading3"/>
        <w:pBdr>
          <w:bottom w:val="single" w:sz="4" w:space="5" w:color="C8AE75"/>
        </w:pBdr>
      </w:pPr>
      <w:bookmarkStart w:id="100" w:name="X76c2b881b36a98df466378dc4eab874413003c1"/>
      <w:bookmarkEnd w:id="99"/>
      <w:r>
        <w:t>John 20:28: Grammar as Evidence for Address, Not Exclamation</w:t>
      </w:r>
    </w:p>
    <w:p w14:paraId="07CD1F6F" w14:textId="77777777" w:rsidR="009C7F52" w:rsidRDefault="00731002">
      <w:pPr>
        <w:pStyle w:val="FirstParagraph"/>
      </w:pPr>
      <w:r>
        <w:t>Finally, this chapter returns to Thomas’s confession, examined in an earlier chapter of this Part, because its grammar offers additional, independent confirmation of what that chapter argued on contextual grounds. The Greek text reads: ἀπεκρίθη Θωμᾶς καὶ εἶπεν αὐτῷ· Ὁ κύριός μου καὶ ὁ θεός μου (apekrithē Thōmas kai eipen autō: Ho kyrios mou kai ho theos mou, “Thomas answered and said to him: My Lord and my God”)</w:t>
      </w:r>
      <w:hyperlink w:anchor="cite_105" w:history="1">
        <w:r>
          <w:rPr>
            <w:color w:val="671C2A"/>
            <w:sz w:val="16"/>
            <w:vertAlign w:val="superscript"/>
          </w:rPr>
          <w:t>105</w:t>
        </w:r>
      </w:hyperlink>
      <w:r>
        <w:t>. Three grammatical features rule out reading this as a startled, undirected exclamation rather than a deliberate address to Jesus. First, the verb phrase εἶπεν αὐτῷ (“said to him”) is a standard New Testament construction that always introduces direct speech addressed to the person named — here, unambiguously Jesus, since the entire scene is a two-person exchange between Thomas and the risen Christ. Second, both nouns, κύριος (“Lord”) and θεός (“God”), appear with the definite article (Ὁ κύριός… ὁ θεός) and in the nominative case functioning as a vocative — the grammatical case ancient Greek regularly used for direct address, especially in constructions of exactly this kind. Third, each noun carries the possessive pronoun μου (“of me,” “my”), a distinctly personal, relational form of address that a shocked exclamation directed at nothing in particular would not naturally take. Together, these features describe a sentence grammatically indistinguishable from any other instance in the New Testament of one person directly addressing another by name and title — which is exactly why the overwhelming majority of Greek grammarians and translators, across doctrinal lines, render John 20:28 as Thomas’s direct confession of Jesus as Lord and God, rather than as a surprised oath spoken past him toward heaven.</w:t>
      </w:r>
    </w:p>
    <w:p w14:paraId="633BA8D5" w14:textId="77777777" w:rsidR="009C7F52" w:rsidRDefault="00731002">
      <w:pPr>
        <w:pStyle w:val="Heading3"/>
        <w:pBdr>
          <w:bottom w:val="single" w:sz="4" w:space="5" w:color="C8AE75"/>
        </w:pBdr>
      </w:pPr>
      <w:bookmarkStart w:id="101" w:name="what-the-grammar-does-and-does-not-prove"/>
      <w:bookmarkEnd w:id="100"/>
      <w:r>
        <w:t>What the Grammar Does and Does Not Prove</w:t>
      </w:r>
    </w:p>
    <w:p w14:paraId="02C8E679" w14:textId="77777777" w:rsidR="009C7F52" w:rsidRDefault="00731002">
      <w:pPr>
        <w:pStyle w:val="FirstParagraph"/>
      </w:pPr>
      <w:r>
        <w:t>None of the grammatical arguments surveyed in this chapter functions as a knock-down mathematical proof capable of ending every possible objection — languages are living, flexible things, and careful scholars will continue to debate edge cases, as the BeDuhn exchange over John 1:1 shows. But grammar is not merely decorative in the study of Scripture; it is part of the very substance of what the text says, and in each of the cases surveyed here — the qualitative, non-indefinite force of the anarthrous θεός in John 1:1c, the well-documented and largely exceptionless pattern of Granville Sharp’s Rule in Titus 2:13 and 2 Peter 1:1, the technical vocabulary of “form,” “grasping,” and “emptying” in Philippians 2, the comprehensive reach of θεότης in Colossians 2:9, the careful stamping-image of Hebrews 1:3, and the grammar of direct address in John 20:28 — the weight of careful, professionally vetted grammatical analysis converges on the same conclusion the rest of this Part has reached through historical and theological argument. The New Testament’s Greek text, read on its own terms and checked against its own best grammarians, calls Jesus Christ God — not once, not accidentally, and not in a manner grammar leaves genuinely ambiguous.</w:t>
      </w:r>
    </w:p>
    <w:p w14:paraId="703E636E" w14:textId="77777777" w:rsidR="009C7F52" w:rsidRDefault="007D6CCB">
      <w:r>
        <w:rPr>
          <w:noProof/>
        </w:rPr>
      </w:r>
      <w:r w:rsidR="007D6CCB">
        <w:rPr>
          <w:noProof/>
        </w:rPr>
        <w:pict w14:anchorId="4C37E2B4">
          <v:rect id="_x0000_i1036" style="width:0;height:1.5pt" o:hralign="center" o:hrstd="t" o:hr="t"/>
        </w:pict>
      </w:r>
    </w:p>
    <w:p w14:paraId="24796B00" w14:textId="77777777" w:rsidR="009F2F79" w:rsidRDefault="001A04A2">
      <w:pPr>
        <w:pStyle w:val="Heading3"/>
      </w:pPr>
      <w:r>
        <w:t>The Logos in John 1: Was, With, and Was God</w:t>
      </w:r>
    </w:p>
    <w:p w14:paraId="610AA8F4" w14:textId="77777777" w:rsidR="009F2F79" w:rsidRDefault="001A04A2">
      <w:pPr>
        <w:pStyle w:val="FirstParagraph"/>
      </w:pPr>
      <w:r>
        <w:t>White’s treatment of John 1 turns on John’s careful choice of verbs and word order. When John looks back to “the beginning,” he does not say that the Word came into being. He uses ἦν (ēn, “was”), describing the Word as already existing when the beginning arrived. By contrast, John 1:3 uses forms of ἐγένετο (egeneto, “came into being”) for creation, and John 1:14 uses the same verb when the Word “became flesh.” The Word eternally was; creation came to be through him; and the eternal Word later entered a new condition by becoming human.</w:t>
      </w:r>
    </w:p>
    <w:p w14:paraId="71007D31" w14:textId="77777777" w:rsidR="009F2F79" w:rsidRDefault="001A04A2">
      <w:pPr>
        <w:pStyle w:val="BodyText"/>
      </w:pPr>
      <w:r>
        <w:t>The phrase πρὸς τὸν θεόν (pros ton theon, “with God”) adds personal relation to eternal existence. Pros in this construction does not suggest that an impersonal word or thought rested inside God. It portrays communion and orientation: the Word was with God, in active relation to him. John therefore distinguishes the Word from the person he calls “God” in this clause, ordinarily understood here as the Father, before affirming the Word’s deity in the next clause.</w:t>
      </w:r>
    </w:p>
    <w:p w14:paraId="3ACFB7DD" w14:textId="77777777" w:rsidR="009F2F79" w:rsidRDefault="001A04A2">
      <w:pPr>
        <w:pStyle w:val="BodyText"/>
      </w:pPr>
      <w:r>
        <w:t>Then John writes καὶ θεὸς ἦν ὁ λόγος (kai theos ēn ho logos, “and the Word was God”). The absence of the article before θεός does not turn the noun into “a god.” In this predicate position the construction emphasizes quality or nature: everything that makes God truly God belongs to the Word. At the same time, John’s word order avoids saying that the Word is the same person as the Father. If both nouns were made definite in a simple equation, the personal distinction established by “with God” would be obscured. John’s grammar is therefore both anti-Arian and anti-modalist: the Word is fully divine, yet the Word is not the Father.</w:t>
      </w:r>
    </w:p>
    <w:p w14:paraId="4DCD64E3" w14:textId="77777777" w:rsidR="009F2F79" w:rsidRDefault="001A04A2">
      <w:pPr>
        <w:pStyle w:val="BodyText"/>
      </w:pPr>
      <w:r>
        <w:t>John 1:3 closes the created-Word escape route. “All things” that came into existence did so through the Word, and apart from him not even one created thing came into existence. If the Word were himself a creature, John’s categories would require him to be both the maker of the entire created order and a member of the order he made. The evangelist instead places the Word before and outside the class of things that came into being.</w:t>
      </w:r>
    </w:p>
    <w:p w14:paraId="5BA43CDE" w14:textId="77777777" w:rsidR="009F2F79" w:rsidRDefault="001A04A2">
      <w:pPr>
        <w:pStyle w:val="BodyText"/>
      </w:pPr>
      <w:r>
        <w:t>Finally, “the Word became flesh” (John 1:14) confirms that the Logos is personal. An impersonal divine plan does not assume a human nature, dwell among witnesses, reveal glory, and make the unseen God known. The one who was eternally with God and was God enters history as Jesus Christ. John 1:1–18 thus supplies in narrative and grammar the essential categories later doctrine would call eternal existence, personal distinction, full deity, incarnation, and revelation.</w:t>
      </w:r>
    </w:p>
    <w:p w14:paraId="46BFF9C6" w14:textId="77777777" w:rsidR="009C7F52" w:rsidRDefault="00731002">
      <w:pPr>
        <w:pStyle w:val="Heading2"/>
        <w:pBdr>
          <w:bottom w:val="single" w:sz="10" w:space="8" w:color="A68037"/>
        </w:pBdr>
      </w:pPr>
      <w:bookmarkStart w:id="102" w:name="Xbcdb6aa4bfa780fbf26b658afdf04adb873fbbd"/>
      <w:bookmarkEnd w:id="94"/>
      <w:bookmarkEnd w:id="101"/>
      <w:r>
        <w:t>Chapter 13: One God, Three Persons: How the New Testament Completes the Picture</w:t>
      </w:r>
    </w:p>
    <w:p w14:paraId="4DDDF4B3" w14:textId="77777777" w:rsidR="009C7F52" w:rsidRDefault="00731002">
      <w:pPr>
        <w:pStyle w:val="FirstParagraph"/>
      </w:pPr>
      <w:r>
        <w:t>Every road this book has walked so far — the rigorous monotheism of the Shema, the strange plural textures of Genesis and the Angel of the LORD, the throne visions of Daniel, the Father who sends and the Son who is sent, the “I am” that shattered a crowd’s composure, the Spirit who grieves and indwells and cannot be lied to without lying to God himself, Paul’s instinctive triadic grammar, John’s Word who was both with God and was God — all of it has been leading here. This chapter is the hinge on which the entire argument of the book turns.</w:t>
      </w:r>
    </w:p>
    <w:p w14:paraId="570153B6" w14:textId="77777777" w:rsidR="009C7F52" w:rsidRDefault="00731002">
      <w:pPr>
        <w:pStyle w:val="Heading3"/>
        <w:pBdr>
          <w:bottom w:val="single" w:sz="4" w:space="5" w:color="C8AE75"/>
        </w:pBdr>
      </w:pPr>
      <w:bookmarkStart w:id="103" w:name="what-the-old-testament-could-not-finish"/>
      <w:r>
        <w:t>What the Old Testament Could Not Finish</w:t>
      </w:r>
    </w:p>
    <w:p w14:paraId="68F56167" w14:textId="77777777" w:rsidR="009C7F52" w:rsidRDefault="00731002">
      <w:pPr>
        <w:pStyle w:val="FirstParagraph"/>
      </w:pPr>
      <w:r>
        <w:t>Part I of this book made a historically careful claim, and it is worth restating precisely before moving forward, because everything in this chapter depends on getting it right. The Old Testament establishes, without any softening, that Yahweh alone is God (Deuteronomy 6:4) — and it also contains real, unmistakable texture that presses beyond a flat, undifferentiated unity: the plural-form name Elohim used of the one God, the plural pronouns of Genesis 1:26 and 11:7, the Angel of the LORD who speaks with Yahweh’s own voice and receives Yahweh’s own worship while remaining somehow distinguishable from Yahweh, the vision in Daniel 7 of “one like a son of man” enthroned beside the Ancient of Days, and the personified Wisdom of Proverbs 8 present with God at creation. None of this, by itself, proves the doctrine of the Trinity, and it would be irresponsible exegesis — the kind of retrofitted, anachronistic reading this book has resisted at every turn — to claim that Abraham, Moses, or Isaiah understood God as Father, Son, and Spirit the way the church would later confess. What the Old Testament does is create theological space and raise real questions: how can the one God who alone is God also be spoken of in the plural, encountered in a second distinguishable form, and depicted enthroned as more than one? The Old Testament asks these questions with total sincerity and does not fully answer them. It could not. The answer had not yet arrived in history.</w:t>
      </w:r>
    </w:p>
    <w:p w14:paraId="28A6A907" w14:textId="77777777" w:rsidR="009C7F52" w:rsidRDefault="00731002">
      <w:pPr>
        <w:pStyle w:val="BodyText"/>
      </w:pPr>
      <w:r>
        <w:t>The New Testament is that arrival. Everything traced across the preceding five chapters — the Father who sends his only Son in love, the Son who claims the divine name and receives worship without correction, the Spirit whose indwelling is nothing less than God’s own temple presence, Paul’s Shema absorbing Jesus and the Spirit into the very identity of the one God, John’s Word who was with God and was God, Hebrews’ Son who is the exact imprint of God’s nature, Revelation’s Lamb worshiped alongside the One on the throne — is the New Testament’s answer to the questions the Old Testament could only raise. The resolution is not a flat correction of Old Testament monotheism, as though the New Testament discovered that Israel had been wrong about there being only one God. It is a completion: the same one God of Israel is now revealed to have always existed as Father, Son, and Holy Spirit — three who are, in some profound and previously unrevealed sense, the one God the Shema had always confessed.</w:t>
      </w:r>
    </w:p>
    <w:p w14:paraId="1CAF27A5" w14:textId="77777777" w:rsidR="009C7F52" w:rsidRDefault="00731002">
      <w:pPr>
        <w:pStyle w:val="Heading3"/>
        <w:pBdr>
          <w:bottom w:val="single" w:sz="4" w:space="5" w:color="C8AE75"/>
        </w:pBdr>
      </w:pPr>
      <w:bookmarkStart w:id="104" w:name="james-whites-definition"/>
      <w:bookmarkEnd w:id="103"/>
      <w:r>
        <w:t>James White’s Definition</w:t>
      </w:r>
    </w:p>
    <w:p w14:paraId="06909DF7" w14:textId="77777777" w:rsidR="009C7F52" w:rsidRDefault="00731002">
      <w:pPr>
        <w:pStyle w:val="FirstParagraph"/>
      </w:pPr>
      <w:r>
        <w:t xml:space="preserve">The most precise, careful, and widely used summary of this completed revelation in contemporary theological writing comes from the apologist and theologian James R. White, in his book </w:t>
      </w:r>
      <w:r>
        <w:rPr>
          <w:i/>
          <w:iCs/>
        </w:rPr>
        <w:t>The Forgotten Trinity: Recovering the Heart of Christian Belief</w:t>
      </w:r>
      <w:r>
        <w:t>. White writes:</w:t>
      </w:r>
    </w:p>
    <w:p w14:paraId="7508C8F8" w14:textId="77777777" w:rsidR="009C7F52" w:rsidRDefault="00731002">
      <w:pPr>
        <w:pStyle w:val="BlockText"/>
      </w:pPr>
      <w:r>
        <w:t>“Within the one Being that is God, there exists eternally three coequal and coeternal persons, namely, the Father, the Son, and the Holy Spirit.”</w:t>
      </w:r>
    </w:p>
    <w:p w14:paraId="6D12D3CB" w14:textId="77777777" w:rsidR="009C7F52" w:rsidRDefault="00731002">
      <w:pPr>
        <w:pStyle w:val="FirstParagraph"/>
      </w:pPr>
      <w:r>
        <w:t>White’s definition appears on page 26 of the book and is quoted with its page reference by multiple independent theological sources discussing the doctrine</w:t>
      </w:r>
      <w:hyperlink w:anchor="cite_106" w:history="1">
        <w:r>
          <w:rPr>
            <w:color w:val="671C2A"/>
            <w:sz w:val="16"/>
            <w:vertAlign w:val="superscript"/>
          </w:rPr>
          <w:t>106</w:t>
        </w:r>
      </w:hyperlink>
      <w:r>
        <w:t>. Every clause of this sentence is doing careful, deliberate theological work, and it is worth walking through the definition clause by clause, because doing so will supply the vocabulary this book needs for everything that follows in Part III.</w:t>
      </w:r>
    </w:p>
    <w:p w14:paraId="0653FCC6" w14:textId="77777777" w:rsidR="009C7F52" w:rsidRDefault="00731002">
      <w:pPr>
        <w:pStyle w:val="Heading3"/>
        <w:pBdr>
          <w:bottom w:val="single" w:sz="4" w:space="5" w:color="C8AE75"/>
        </w:pBdr>
      </w:pPr>
      <w:bookmarkStart w:id="105" w:name="one-being-ousia"/>
      <w:bookmarkEnd w:id="104"/>
      <w:r>
        <w:t>“One Being” — Ousia</w:t>
      </w:r>
    </w:p>
    <w:p w14:paraId="5F14EC4E" w14:textId="77777777" w:rsidR="009C7F52" w:rsidRDefault="00731002">
      <w:pPr>
        <w:pStyle w:val="FirstParagraph"/>
      </w:pPr>
      <w:r>
        <w:t>The definition’s first clause insists that God is “one Being.” The Greek theological term behind this idea, which the church would formally adopt in the fourth century and which this book will explore at length in its chapters on the great councils, is οὐσία (ousia, pronounced oo-SEE-ah, “essence” or “being”). In plain terms, οὐσία (ousia) means the fundamental “what-ness” of something — the underlying reality or substance that makes a thing the kind of thing it is, as distinct from any particular individual example of that kind. To say God is one οὐσία (ousia) is to say there is exactly one instance of “God” in existence — not three gods who happen to cooperate, and not a divine substance that gets divided up into three unequal portions, but a single, undivided, complete divine reality. As White himself insists in expanding on his own definition, the doctrine of the Trinity absolutely does not teach “that there are three Beings that are one Being” — that formulation would be flatly self-contradictory</w:t>
      </w:r>
      <w:hyperlink w:anchor="cite_107" w:history="1">
        <w:r>
          <w:rPr>
            <w:color w:val="671C2A"/>
            <w:sz w:val="16"/>
            <w:vertAlign w:val="superscript"/>
          </w:rPr>
          <w:t>107</w:t>
        </w:r>
      </w:hyperlink>
      <w:r>
        <w:t>. Whatever else the doctrine claims, it claims exactly one God, in the fullest and most rigorous sense the Shema itself demands.</w:t>
      </w:r>
    </w:p>
    <w:p w14:paraId="40BA44E7" w14:textId="77777777" w:rsidR="009C7F52" w:rsidRDefault="00731002">
      <w:pPr>
        <w:pStyle w:val="Heading3"/>
        <w:pBdr>
          <w:bottom w:val="single" w:sz="4" w:space="5" w:color="C8AE75"/>
        </w:pBdr>
      </w:pPr>
      <w:bookmarkStart w:id="106" w:name="three-persons-hypostasis"/>
      <w:bookmarkEnd w:id="105"/>
      <w:r>
        <w:t>“Three Persons” — Hypostasis</w:t>
      </w:r>
    </w:p>
    <w:p w14:paraId="44F22038" w14:textId="77777777" w:rsidR="009C7F52" w:rsidRDefault="00731002">
      <w:pPr>
        <w:pStyle w:val="FirstParagraph"/>
      </w:pPr>
      <w:r>
        <w:t>The definition’s second clause insists that within this one Being there exist “three… persons.” The corresponding Greek theological term, again formalized by the fourth-century church, is ὑπόστασις (hypostasis, pronounced hy-POS-ta-sis, “individual reality” or “person”) — the very word, as the previous chapter noted, that Hebrews 1:3 already uses of the Son’s relationship to the Father’s own nature. The councils eventually settled on ὑπόστασις (hypostasis) to mean something like “a distinct, particular way of really existing” — a genuine, concrete “who,” not a role, a mask, a mode, or a mere aspect of the divine Being viewed from different angles. This is the single most important word in the entire definition for ruling out one of the oldest and most persistent errors in the church’s history — the modalist or Sabellian claim, treated at length elsewhere in this book, that Father, Son, and Spirit are simply three different names or manifestations of a single divine person, the way one human being might be called “mother,” “wife,” and “doctor” depending on context</w:t>
      </w:r>
      <w:hyperlink w:anchor="cite_108" w:history="1">
        <w:r>
          <w:rPr>
            <w:color w:val="671C2A"/>
            <w:sz w:val="16"/>
            <w:vertAlign w:val="superscript"/>
          </w:rPr>
          <w:t>108</w:t>
        </w:r>
      </w:hyperlink>
      <w:r>
        <w:t>. The New Testament evidence surveyed across this entire Part directly rules this out. The Father does not become the Son at the incarnation and then become the Spirit at Pentecost; the Father sends the Son (John 3:16-17) and the Son prays to the Father (John 17) at the very same moment in time — a genuine conversation between two distinguishable “who’s,” not a single actor changing costumes. The Spirit descends on Jesus while the Father speaks from heaven (Matthew 3:16-17) — three simultaneously active, distinguishable persons in a single narrated scene. “Person” in this technical theological sense, then, means a real, eternal, relational center of consciousness and will — the Father is not the Son, the Son is not the Spirit, the Spirit is not the Father, even though all three are, without division, the one God.</w:t>
      </w:r>
    </w:p>
    <w:p w14:paraId="17CAD711" w14:textId="77777777" w:rsidR="009C7F52" w:rsidRDefault="00731002">
      <w:pPr>
        <w:pStyle w:val="Heading3"/>
        <w:pBdr>
          <w:bottom w:val="single" w:sz="4" w:space="5" w:color="C8AE75"/>
        </w:pBdr>
      </w:pPr>
      <w:bookmarkStart w:id="107" w:name="coequal-no-person-is-more-or-less-divine"/>
      <w:bookmarkEnd w:id="106"/>
      <w:r>
        <w:t>“Coequal” — No Person Is More or Less Divine</w:t>
      </w:r>
    </w:p>
    <w:p w14:paraId="5BA96F08" w14:textId="77777777" w:rsidR="009C7F52" w:rsidRDefault="00731002">
      <w:pPr>
        <w:pStyle w:val="FirstParagraph"/>
      </w:pPr>
      <w:r>
        <w:t>The definition’s third clause, “coequal,” rules out the opposite error from modalism: the subordinationist claim, seen in various forms across the church’s history and treated in this book’s chapters on Arianism and related heresies, that the Son or the Spirit is a lesser, derivative, or partially divine being compared to the Father</w:t>
      </w:r>
      <w:hyperlink w:anchor="cite_109" w:history="1">
        <w:r>
          <w:rPr>
            <w:color w:val="671C2A"/>
            <w:sz w:val="16"/>
            <w:vertAlign w:val="superscript"/>
          </w:rPr>
          <w:t>109</w:t>
        </w:r>
      </w:hyperlink>
      <w:r>
        <w:t>. Every text surveyed in this Part pushes directly against subordinationism. The Son who is “sent” by the Father nonetheless “does what the Father does” and receives the same honor the Father receives, on pain of dishonoring the Father himself, if that honor is withheld (John 5:19-23). The Spirit whose indwelling is God’s own temple presence, and against whom lying is equivalent to lying to God (Acts 5:3-4), cannot be a lesser or created reality. Paul’s Shema in 1 Corinthians 8:6 does not rank the Father above the Son in degrees of divinity; it distributes the single divine identity between them. To say the three persons are “coequal” is to say that whatever it means to be fully God, each of the three is that, without remainder and without gradation — the Father is not more God than the Son, and the Spirit is not less God than either.</w:t>
      </w:r>
    </w:p>
    <w:p w14:paraId="0E15672B" w14:textId="77777777" w:rsidR="009C7F52" w:rsidRDefault="00731002">
      <w:pPr>
        <w:pStyle w:val="Heading3"/>
        <w:pBdr>
          <w:bottom w:val="single" w:sz="4" w:space="5" w:color="C8AE75"/>
        </w:pBdr>
      </w:pPr>
      <w:bookmarkStart w:id="108" w:name="X679faeb36f8536e3599d8a1ca396b68ff5e5867"/>
      <w:bookmarkEnd w:id="107"/>
      <w:r>
        <w:t>“Coeternal” — No Person Began or Came After Another</w:t>
      </w:r>
    </w:p>
    <w:p w14:paraId="66238741" w14:textId="77777777" w:rsidR="009C7F52" w:rsidRDefault="00731002">
      <w:pPr>
        <w:pStyle w:val="FirstParagraph"/>
      </w:pPr>
      <w:r>
        <w:t>The definition’s final clause, “coeternal,” rules out the idea, seen in early Arian theology and addressed at length in this book’s later chapters, that the Son or the Spirit came into existence at some point — whether at creation, at the incarnation, or at any other moment — rather than having always existed alongside the Father without beginning. John’s prologue anchors this claim in the plainest possible terms: “In the beginning was the Word” (John 1:1) — not “in the beginning the Word came to be,” but “was,” describing continuous, already-existing reality reaching back before any beginning the text can name. Jesus himself prays to the Father about “the glory I had with you before the world existed” (John 17:5), locating his own glory in a time before creation itself. There was never a “time” — even before the created universe, even before time itself began — when the Father existed without the Son and the Spirit. All three have always been. None is older than the others; none is a later addition to a Godhead that once consisted of only one or two.</w:t>
      </w:r>
    </w:p>
    <w:p w14:paraId="7C08B003" w14:textId="77777777" w:rsidR="009F2F79" w:rsidRDefault="001A04A2">
      <w:pPr>
        <w:pStyle w:val="Heading3"/>
      </w:pPr>
      <w:r>
        <w:t>The Whole Divine Essence in Each Person</w:t>
      </w:r>
    </w:p>
    <w:p w14:paraId="74555667" w14:textId="77777777" w:rsidR="009F2F79" w:rsidRDefault="001A04A2">
      <w:pPr>
        <w:pStyle w:val="FirstParagraph"/>
      </w:pPr>
      <w:r>
        <w:t>Classical Trinitarian language makes a claim stronger than saying that three persons belong to one divine class. Human beings share humanity generically: Peter and Paul possess the same kind of nature, yet each has an individual instance of it. Father, Son, and Spirit do not possess three instances of deity. The divine essence is numerically one and indivisible, and each person is the one God—not one-third of God, not a component within God, and not a member of a species called “divine.”</w:t>
      </w:r>
      <w:hyperlink w:anchor="cite_385" w:history="1">
        <w:r>
          <w:rPr>
            <w:color w:val="671C2A"/>
            <w:sz w:val="16"/>
            <w:vertAlign w:val="superscript"/>
          </w:rPr>
          <w:t>385</w:t>
        </w:r>
      </w:hyperlink>
    </w:p>
    <w:p w14:paraId="08E09C3E" w14:textId="77777777" w:rsidR="009F2F79" w:rsidRDefault="001A04A2">
      <w:pPr>
        <w:pStyle w:val="BodyText"/>
      </w:pPr>
      <w:r>
        <w:t>This is why the doctrine cannot be represented as three independent individuals cooperating with perfect harmony. Cooperation among three beings would still be tritheism, however united their purposes might be. Nor can the persons be treated as portions of a larger whole, because the infinite and simple God is not assembled from parts. The mystery is precisely that the one undivided essence subsists personally as Father, Son, and Holy Spirit, with no remainder of deity existing behind them and no division of deity among them.</w:t>
      </w:r>
    </w:p>
    <w:p w14:paraId="2BD69C83" w14:textId="77777777" w:rsidR="009F2F79" w:rsidRDefault="001A04A2">
      <w:pPr>
        <w:pStyle w:val="BodyText"/>
      </w:pPr>
      <w:r>
        <w:t>The word person must therefore be used with discipline. It identifies a real “who,” capable of relation, knowledge, love, speech, willing, and action; it does not import into God the separateness by which human persons occupy distinct bodies, spaces, and instances of human nature. Father, Son, and Spirit are distinguished without separation. The doctrine protects real personal communion while refusing to imagine three centers of being that merely agree.</w:t>
      </w:r>
      <w:hyperlink w:anchor="cite_386" w:history="1">
        <w:r>
          <w:rPr>
            <w:color w:val="671C2A"/>
            <w:sz w:val="16"/>
            <w:vertAlign w:val="superscript"/>
          </w:rPr>
          <w:t>386</w:t>
        </w:r>
      </w:hyperlink>
    </w:p>
    <w:p w14:paraId="633F2AF3" w14:textId="77777777" w:rsidR="009F2F79" w:rsidRDefault="001A04A2">
      <w:pPr>
        <w:pStyle w:val="BodyText"/>
      </w:pPr>
      <w:r>
        <w:t>Confession reaches a boundary here. The church can state what revelation compels, show that the claims are not contradictory, and reject models that dissolve either unity or distinction. It cannot explain the manner in which the infinite divine essence is wholly possessed by three persons as though God were an object that could be reconstructed from creaturely examples. Mystery is not incoherence; it is the unsurprising limit encountered when finite minds speak truly, but not exhaustively, about the living God.</w:t>
      </w:r>
    </w:p>
    <w:p w14:paraId="095F928F" w14:textId="77777777" w:rsidR="009C7F52" w:rsidRDefault="00731002">
      <w:pPr>
        <w:pStyle w:val="Heading3"/>
        <w:pBdr>
          <w:bottom w:val="single" w:sz="4" w:space="5" w:color="C8AE75"/>
        </w:pBdr>
      </w:pPr>
      <w:bookmarkStart w:id="109" w:name="holding-all-four-clauses-together"/>
      <w:bookmarkEnd w:id="108"/>
      <w:r>
        <w:t>Holding All Four Clauses Together</w:t>
      </w:r>
    </w:p>
    <w:p w14:paraId="3286291A" w14:textId="77777777" w:rsidR="009C7F52" w:rsidRDefault="00731002">
      <w:pPr>
        <w:pStyle w:val="FirstParagraph"/>
      </w:pPr>
      <w:r>
        <w:t>What makes White’s definition so useful, and why this book treats it as the clearest available summary of the doctrine, is that all four clauses must be held simultaneously, with none allowed to erode the others. Drop “one Being” and the result is tritheism — three separate gods, which no New Testament writer surveyed in this Part ever entertained and which every one of them, steeped in the Shema, would have found unthinkable</w:t>
      </w:r>
      <w:hyperlink w:anchor="cite_110" w:history="1">
        <w:r>
          <w:rPr>
            <w:color w:val="671C2A"/>
            <w:sz w:val="16"/>
            <w:vertAlign w:val="superscript"/>
          </w:rPr>
          <w:t>110</w:t>
        </w:r>
      </w:hyperlink>
      <w:r>
        <w:t>. Drop “three persons” and the result is modalism — a single divine actor wearing three masks, which cannot account for the Father speaking to the Son, the Son praying to the Father, and the Spirit descending on the Son as three simultaneously distinguishable agents in a single Gospel scene. Drop “coequal” and the result is subordinationism — a graded hierarchy of more-God and less-God, which cannot account for the full weight of deity the New Testament assigns to the Son who is worshiped and the Spirit who cannot be lied to without lying to God. Drop “coeternal” and the result is some form of the ancient error that the Son or Spirit began to exist, which cannot account for the Word who already “was” in the beginning and the glory the Son had with the Father “before the world existed.” Held together, the four clauses describe exactly what the entire sweep of New Testament revelation traced across this Part has shown: one God, eternally existing as three coequal, coeternal, really distinct persons — Father, Son, and Holy Spirit.</w:t>
      </w:r>
    </w:p>
    <w:p w14:paraId="5FE3AA47" w14:textId="77777777" w:rsidR="009C7F52" w:rsidRDefault="00731002">
      <w:pPr>
        <w:pStyle w:val="Heading3"/>
        <w:pBdr>
          <w:bottom w:val="single" w:sz="4" w:space="5" w:color="C8AE75"/>
        </w:pBdr>
      </w:pPr>
      <w:bookmarkStart w:id="110" w:name="from-revelation-to-vocabulary"/>
      <w:bookmarkEnd w:id="109"/>
      <w:r>
        <w:t>From Revelation to Vocabulary</w:t>
      </w:r>
    </w:p>
    <w:p w14:paraId="3C084BD9" w14:textId="77777777" w:rsidR="009C7F52" w:rsidRDefault="00731002">
      <w:pPr>
        <w:pStyle w:val="FirstParagraph"/>
      </w:pPr>
      <w:r>
        <w:t>It is worth pausing, at the close of this Part, on something this book has emphasized from its opening pages and will emphasize again before it ends: the New Testament writers themselves never use the word “Trinity,” never say “three persons in one Being” in so many words, and never offer a philosophical definition like White’s. What they offer instead is exactly what this Part has traced chapter by chapter — a Father who sends and loves, a Son who claims the divine name and is worshiped as God, a Spirit who indwells the church as God’s own presence, and a repeated, instinctive apostolic habit of naming all three together as the source of every Christian blessing. The raw material of the doctrine is complete in the New Testament. What was not yet complete, in the first century, was the precise technical vocabulary — words like οὐσία (ousia, “being” or “essence”) and ὑπόστασις (hypostasis, “person”) — terms whose relationship the fourth-century councils had to work out with great care, since the two words had at times been used as near-synonyms before the church settled on its final technical distinction between them</w:t>
      </w:r>
      <w:hyperlink w:anchor="cite_111" w:history="1">
        <w:r>
          <w:rPr>
            <w:color w:val="671C2A"/>
            <w:sz w:val="16"/>
            <w:vertAlign w:val="superscript"/>
          </w:rPr>
          <w:t>111</w:t>
        </w:r>
      </w:hyperlink>
      <w:r>
        <w:t>, walked through in this very chapter — that later generations of the church would need in order to defend this revelation against real, historically serious misreadings: readings that collapsed the three persons into one (modalism), that split the one Being into three gods (tritheism), that demoted the Son or the Spirit to a lesser rank (subordinationism and its later Arian form), or that confused the Son’s two natures in the incarnation (the Christological controversies still to come).</w:t>
      </w:r>
    </w:p>
    <w:p w14:paraId="25528672" w14:textId="77777777" w:rsidR="009C7F52" w:rsidRDefault="00731002">
      <w:pPr>
        <w:pStyle w:val="BodyText"/>
      </w:pPr>
      <w:r>
        <w:t>That vocabulary did not arrive instantly, and it did not arrive by philosophical speculation detached from Scripture. It arrived slowly, over several centuries, forged in the crucible of real controversies, real councils, and real pastors defending real congregations against real errors — sincere people, as this book has insisted from its first pages, trying to protect one truth about God and sometimes, in the process, losing sight of another. The New Testament supplies the revelation in full. The church’s task, beginning in the very next generation after the apostles and continuing for several hundred years, was to find words precise enough to state what had already been revealed without distortion in either direction. That story — of bishops, councils, creeds, and the hard-won vocabulary of Nicaea, Constantinople, and Chalcedon — is where this book turns next.</w:t>
      </w:r>
    </w:p>
    <w:p w14:paraId="69FC893F" w14:textId="77777777" w:rsidR="009C7F52" w:rsidRDefault="00731002">
      <w:r>
        <w:br w:type="page"/>
      </w:r>
    </w:p>
    <w:p w14:paraId="182A1AD1" w14:textId="77777777" w:rsidR="009C7F52" w:rsidRDefault="00731002">
      <w:pPr>
        <w:keepNext/>
        <w:pageBreakBefore/>
        <w:spacing w:before="360" w:after="200"/>
        <w:jc w:val="center"/>
      </w:pPr>
      <w:bookmarkStart w:id="111" w:name="part-iii-from-the-apostles-to-the-creeds"/>
      <w:bookmarkEnd w:id="50"/>
      <w:bookmarkEnd w:id="102"/>
      <w:bookmarkEnd w:id="110"/>
      <w:r>
        <w:rPr>
          <w:noProof/>
        </w:rPr>
        <w:drawing>
          <wp:inline distT="0" distB="0" distL="0" distR="0" wp14:anchorId="1700FBD8" wp14:editId="1BCA48E4">
            <wp:extent cx="4160520" cy="7396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2253911B" w14:textId="77777777" w:rsidR="009C7F52" w:rsidRDefault="00731002">
      <w:pPr>
        <w:pStyle w:val="Heading1"/>
      </w:pPr>
      <w:r>
        <w:t>Part III: From the Apostles to the Creeds</w:t>
      </w:r>
    </w:p>
    <w:p w14:paraId="7AF26FBA" w14:textId="77777777" w:rsidR="009F2F79" w:rsidRDefault="001A04A2">
      <w:pPr>
        <w:pStyle w:val="Heading3"/>
      </w:pPr>
      <w:r>
        <w:t>One What and Three Whos</w:t>
      </w:r>
    </w:p>
    <w:p w14:paraId="41B5383E" w14:textId="77777777" w:rsidR="009F2F79" w:rsidRDefault="001A04A2">
      <w:pPr>
        <w:pStyle w:val="FirstParagraph"/>
      </w:pPr>
      <w:r>
        <w:t>White often makes the being-person distinction accessible by asking two different questions. “What is God?” concerns the one divine Being or essence. “Who is God?” concerns the Father, the Son, and the Holy Spirit. Christianity does not confess one divine person and three divine persons, or one divine being and three divine beings. Either statement would be contradictory. It confesses one “what” and three “whos”: one undivided divine nature existing eternally in three personally distinct subjects.</w:t>
      </w:r>
    </w:p>
    <w:p w14:paraId="603B7E29" w14:textId="77777777" w:rsidR="009F2F79" w:rsidRDefault="001A04A2">
      <w:pPr>
        <w:pStyle w:val="BodyText"/>
      </w:pPr>
      <w:r>
        <w:t>The distinction also exposes the weakness of the familiar arithmetic objection that the Trinity teaches that one plus one plus one equals one. Father, Son, and Spirit are not three beings being added together. Number is being applied at two different levels: one with respect to essence and three with respect to person. This does not explain the mystery away, but it shows that the doctrine is not a formal contradiction. A contradiction would arise only if God were said to be one and three in the same respect.</w:t>
      </w:r>
    </w:p>
    <w:p w14:paraId="6563CA5A" w14:textId="77777777" w:rsidR="009F2F79" w:rsidRDefault="001A04A2">
      <w:pPr>
        <w:pStyle w:val="Heading3"/>
      </w:pPr>
      <w:r>
        <w:t>The Three Errors at the Edges</w:t>
      </w:r>
    </w:p>
    <w:p w14:paraId="4056C845" w14:textId="77777777" w:rsidR="009F2F79" w:rsidRDefault="001A04A2">
      <w:pPr>
        <w:pStyle w:val="FirstParagraph"/>
      </w:pPr>
      <w:r>
        <w:t>White’s framework can be pictured as a triangle whose three sides must remain intact. The first side is absolute monotheism: there is only one true God. Remove it and the doctrine falls into tritheism or polytheism. The second is the full and equal deity of the Father, Son, and Spirit. Remove it and the doctrine falls into Arianism or subordinationism, placing one or more persons on the creaturely side of reality. The third is the real and eternal distinction of the persons. Remove it and the doctrine falls into modalism, turning Father, Son, and Spirit into masks or roles of one person.</w:t>
      </w:r>
    </w:p>
    <w:p w14:paraId="5C4DD648" w14:textId="77777777" w:rsidR="009F2F79" w:rsidRDefault="001A04A2">
      <w:pPr>
        <w:pStyle w:val="BodyText"/>
      </w:pPr>
      <w:r>
        <w:t>“Coequal” means that no person possesses less deity, power, knowledge, holiness, glory, or divine authority than another. “Coeternal” means that none began to exist and none became divine. The eternal relations distinguish the persons without dividing the essence: the Father is not the Son, the Son is not the Spirit, and the Spirit is not the Father, yet each wholly possesses the one indivisible divine nature. The divine will and outward works are one, even when Scripture fittingly identifies distinct personal roles within those works.</w:t>
      </w:r>
    </w:p>
    <w:p w14:paraId="3122727B" w14:textId="77777777" w:rsidR="009F2F79" w:rsidRDefault="001A04A2">
      <w:pPr>
        <w:pStyle w:val="BodyText"/>
      </w:pPr>
      <w:r>
        <w:t>The value of this framework is exegetical rather than merely philosophical. Every proposed account of God must be tested against all three sides. A view may sound simple because it protects one biblical truth by denying another. Trinitarian confession refuses that simplicity. It allows the biblical data to determine the categories and then guards every part of the resulting confession.</w:t>
      </w:r>
    </w:p>
    <w:p w14:paraId="118EA8DC" w14:textId="77777777" w:rsidR="009F2F79" w:rsidRDefault="001A04A2">
      <w:pPr>
        <w:pStyle w:val="Heading3"/>
      </w:pPr>
      <w:r>
        <w:t>Real Relations Within the One Divine Life</w:t>
      </w:r>
    </w:p>
    <w:p w14:paraId="28F0C109" w14:textId="77777777" w:rsidR="009F2F79" w:rsidRDefault="001A04A2">
      <w:pPr>
        <w:pStyle w:val="FirstParagraph"/>
      </w:pPr>
      <w:r>
        <w:t>The distinction among the persons is not inferred from pronouns alone. Scripture describes enduring relations: the Father loves the Son and has given all things into his hand (John 3:35); the Father shows the Son all that he is doing (John 5:20); the Son loves his disciples as the Father has loved him (John 15:9); and the Son possessed glory with the Father before the world existed (John 17:5). Love, communion, sending, testimony, and glorification are unintelligible if Father and Son are merely successive modes. They reveal real personal distinction within the one divine life.</w:t>
      </w:r>
    </w:p>
    <w:p w14:paraId="372A4A31" w14:textId="77777777" w:rsidR="009F2F79" w:rsidRDefault="001A04A2">
      <w:pPr>
        <w:pStyle w:val="Heading3"/>
      </w:pPr>
      <w:r>
        <w:t>The Ontological and Economic Trinity</w:t>
      </w:r>
    </w:p>
    <w:p w14:paraId="6C6CFE0F" w14:textId="77777777" w:rsidR="009F2F79" w:rsidRDefault="001A04A2">
      <w:pPr>
        <w:pStyle w:val="FirstParagraph"/>
      </w:pPr>
      <w:r>
        <w:t>White distinguishes God as he eternally exists from God as he acts in creation and redemption. The first is commonly called the ontological Trinity: Father, Son, and Spirit equally and eternally possess the one divine nature. The second is called the economic Trinity: the persons act in an ordered manner in the works of creation, revelation, incarnation, redemption, and sanctification. Scripture frequently presents the Father as sender, the Son as the one sent and incarnate, and the Spirit as the one poured out to apply the work of Christ.</w:t>
      </w:r>
    </w:p>
    <w:p w14:paraId="2C5B717F" w14:textId="77777777" w:rsidR="009F2F79" w:rsidRDefault="001A04A2">
      <w:pPr>
        <w:pStyle w:val="BodyText"/>
      </w:pPr>
      <w:r>
        <w:t>Economic order must not be converted into ontological inequality. Order does not mean inferiority, and role does not determine essence. The Son’s willing obedience to the Father concerns his personal mission and, after the incarnation, his genuinely human obedience as mediator. The Spirit’s work of glorifying Christ does not make the Spirit less divine. Father, Son, and Spirit act inseparably with one divine power and purpose even when Scripture appropriates particular actions to one person.</w:t>
      </w:r>
    </w:p>
    <w:p w14:paraId="4B1DEC21" w14:textId="77777777" w:rsidR="009F2F79" w:rsidRDefault="001A04A2">
      <w:pPr>
        <w:pStyle w:val="BodyText"/>
      </w:pPr>
      <w:r>
        <w:t>This distinction answers subordinationist reasoning without erasing the biblical order of salvation. The Father does not become more divine because he sends, the Son does not become less divine because he is sent, and the Spirit does not become a servant-creature because he perfects and applies the work. The personal order is real, but it exists within equality of essence, glory, eternity, and power.</w:t>
      </w:r>
    </w:p>
    <w:p w14:paraId="55F88368" w14:textId="77777777" w:rsidR="009F2F79" w:rsidRDefault="001A04A2">
      <w:pPr>
        <w:pStyle w:val="Heading3"/>
      </w:pPr>
      <w:r>
        <w:t>All the Divine Perfections Belong to Each Person</w:t>
      </w:r>
    </w:p>
    <w:p w14:paraId="39D60952" w14:textId="77777777" w:rsidR="009F2F79" w:rsidRDefault="001A04A2">
      <w:pPr>
        <w:pStyle w:val="FirstParagraph"/>
      </w:pPr>
      <w:r>
        <w:t>To say that Father, Son, and Spirit share the one Being of God is to say that each possesses the whole divine essence and therefore every perfection that belongs to deity. A person who lacked eternity, holiness, omniscience, omnipotence, or sovereign authority would not be fully God. The New Testament does not distribute these attributes as though the Father supplied existence, the Son supplied wisdom, and the Spirit supplied power. The Father has life in himself; the Son has life in himself (John 5:26); and the Spirit gives life (John 6:63; 2 Corinthians 3:6). The Father creates through the Son, and the Spirit is active in creation and new creation. The one divine life is personally possessed in three irreducible ways without multiplication or division.</w:t>
      </w:r>
    </w:p>
    <w:p w14:paraId="63304EC7" w14:textId="77777777" w:rsidR="009F2F79" w:rsidRDefault="001A04A2">
      <w:pPr>
        <w:pStyle w:val="BodyText"/>
      </w:pPr>
      <w:r>
        <w:t>The incommunicable perfections make the point especially forcefully. The Son exists before creation and is the agent through whom all created things came into being (John 1:1–3; Colossians 1:16–17), placing him on the uncreated side of reality. He shares the Father’s glory before the world exists (John 17:5), remains the same forever (Hebrews 13:8), and upholds all things by his powerful word (Hebrews 1:3). The Spirit is eternal (Hebrews 9:14), omnipresent (Psalm 139:7–10), omniscient concerning the depths of God (1 Corinthians 2:10–11), and sovereign in distributing gifts as he wills (1 Corinthians 12:11). These are not ornamental titles. Together they identify Son and Spirit within the unique identity of the one God.</w:t>
      </w:r>
    </w:p>
    <w:p w14:paraId="4F4B06C7" w14:textId="77777777" w:rsidR="009F2F79" w:rsidRDefault="001A04A2">
      <w:pPr>
        <w:pStyle w:val="Heading3"/>
      </w:pPr>
      <w:r>
        <w:t>Communicable Attributes and the Triune Image</w:t>
      </w:r>
    </w:p>
    <w:p w14:paraId="0C4FDC02" w14:textId="77777777" w:rsidR="009F2F79" w:rsidRDefault="001A04A2">
      <w:pPr>
        <w:pStyle w:val="FirstParagraph"/>
      </w:pPr>
      <w:r>
        <w:t>Communicable attributes are not divine substance transferred to creatures. Human beings know, love, speak truth, act justly, and show mercy by created capacities that analogically reflect the Creator. The pattern is participation by likeness, not equality of essence: God possesses each perfection infinitely and originally; creatures receive a finite resemblance and remain dependent at every moment. Sin disorders this reflection, and salvation renews it in union with Christ by the Spirit. Colossians 3:10 speaks of renewal in knowledge after the Creator’s image; Ephesians 4:24 joins the new self to righteousness and holiness. The moral transformation of believers is therefore Trinitarian: conformed to the image of the Son, by the sanctifying Spirit, according to the Father’s purpose.</w:t>
      </w:r>
    </w:p>
    <w:p w14:paraId="6EB7F8CA" w14:textId="77777777" w:rsidR="009F2F79" w:rsidRDefault="001A04A2">
      <w:pPr>
        <w:pStyle w:val="BodyText"/>
      </w:pPr>
      <w:r>
        <w:t>God’s holiness is not one trait beside others but the radiant purity of all that he is. His love is holy love; his justice is holy justice; his power is holy power. Likewise, righteousness and justice do not restrain a more fundamental love, nor does mercy persuade an unwilling holiness to overlook evil. The simple God acts with one undivided moral perfection. At the cross the Father gives the Son, the Son offers himself through the eternal Spirit (Hebrews 9:14), sin is condemned, mercy is extended, and covenant faithfulness reaches its promised goal. The persons act according to their proper relations, but the saving work manifests one holy love and one righteous purpose.</w:t>
      </w:r>
    </w:p>
    <w:p w14:paraId="22D042D6" w14:textId="77777777" w:rsidR="009F2F79" w:rsidRDefault="001A04A2">
      <w:pPr>
        <w:pStyle w:val="Heading3"/>
      </w:pPr>
      <w:r>
        <w:t>Relations of Origin and Personal Properties</w:t>
      </w:r>
    </w:p>
    <w:p w14:paraId="2AA0E356" w14:textId="77777777" w:rsidR="009F2F79" w:rsidRDefault="001A04A2">
      <w:pPr>
        <w:pStyle w:val="FirstParagraph"/>
      </w:pPr>
      <w:r>
        <w:t>If every person possesses the same essence and attributes, what prevents the persons from collapsing into one? Classical Christian theology answers with relations of origin. The Father is unbegotten, the Son is eternally begotten of the Father, and the Spirit eternally proceeds. These are not events in time, acts of creation, or transfers of a divisible substance. They are eternal relations that identify who each person is. The Father never becomes Father; the Son never begins to be Son; the Spirit’s procession has no temporal starting point. The personal properties are incommunicable: the Father is not begotten, the Son is not unbegotten, and the Spirit is not the Son. Yet what is communicated in these relations is the one undiminished divine essence.</w:t>
      </w:r>
    </w:p>
    <w:p w14:paraId="793E1AAD" w14:textId="77777777" w:rsidR="009F2F79" w:rsidRDefault="001A04A2">
      <w:pPr>
        <w:pStyle w:val="BodyText"/>
      </w:pPr>
      <w:r>
        <w:t>This is why order need not imply inequality. The Father is first in the order of personal relations as the one from whom the Son is begotten and from whom the Spirit proceeds; he is not first in time, degree of deity, authority of nature, or possession of glory. The Son is from the Father but not after the Father. The Spirit proceeds but is neither made nor less divine. Personal order answers who each is; equality of essence answers what each is. Confusing these questions generates either modalism, which erases the relations, or subordinationism, which turns an eternal relation into a lower grade of being.</w:t>
      </w:r>
    </w:p>
    <w:p w14:paraId="5E926724" w14:textId="77777777" w:rsidR="009F2F79" w:rsidRDefault="001A04A2">
      <w:pPr>
        <w:pStyle w:val="Heading3"/>
      </w:pPr>
      <w:r>
        <w:t>Inseparable Operations and Personal Appropriation</w:t>
      </w:r>
    </w:p>
    <w:p w14:paraId="318BB981" w14:textId="77777777" w:rsidR="009F2F79" w:rsidRDefault="001A04A2">
      <w:pPr>
        <w:pStyle w:val="FirstParagraph"/>
      </w:pPr>
      <w:r>
        <w:t>Because the divine power, intellect, and will are one, the external works of God are inseparable. Father, Son, and Spirit do not operate as a committee of independent agents. Creation, providence, judgment, incarnation, atonement, resurrection, and sanctification are acts of the one God. Yet inseparability does not make biblical distinctions empty. The works follow the personal order: action is from the Father, through the Son, and in the Spirit. Only the Son assumes human nature, but the incarnation is willed and effected by the one triune God; the Father sends, the Son is sent and becomes flesh, and the Spirit overshadows Mary. The personal term of the act is the Son even though the divine operation is undivided.</w:t>
      </w:r>
    </w:p>
    <w:p w14:paraId="58585324" w14:textId="77777777" w:rsidR="009F2F79" w:rsidRDefault="001A04A2">
      <w:pPr>
        <w:pStyle w:val="BodyText"/>
      </w:pPr>
      <w:r>
        <w:t>Appropriation is the theological practice of associating a common divine work or perfection especially with one person because it fittingly displays that person’s relation: power with the Father, wisdom with the Son, love or perfecting presence with the Spirit. Such language can illuminate Scripture only if it remains clear that all three possess infinite power, wisdom, and love. Appropriation is not ownership. It helps readers hear the Trinitarian shape of the one divine action without turning the persons into departments or reducing one person to an attribute of another.</w:t>
      </w:r>
    </w:p>
    <w:p w14:paraId="4F7A7EA5" w14:textId="77777777" w:rsidR="009C7F52" w:rsidRDefault="00731002">
      <w:pPr>
        <w:pStyle w:val="Heading2"/>
        <w:pBdr>
          <w:bottom w:val="single" w:sz="10" w:space="8" w:color="A68037"/>
        </w:pBdr>
      </w:pPr>
      <w:bookmarkStart w:id="112" w:name="Xf5ebab78e81a04dae9aa8cd241e5b9271a72530"/>
      <w:r>
        <w:t>Chapter 14: The Apostolic Fathers and the First Apologists</w:t>
      </w:r>
    </w:p>
    <w:p w14:paraId="29594F5E" w14:textId="77777777" w:rsidR="009C7F52" w:rsidRDefault="00731002">
      <w:pPr>
        <w:pStyle w:val="FirstParagraph"/>
      </w:pPr>
      <w:r>
        <w:t>A hundred years is a long time to hold your tongue about the most important thing you believe. Yet that is roughly how long the church went without a formal vocabulary for the Trinity — no ὁμοούσιος (homoousios, “of the same substance”), no ὑπόστασις (hypostasis, “individual reality” or “person”) used in its settled technical sense, no council, no creed longer than a baptismal formula. And yet the earliest Christian writers outside the New Testament were not vague about God. They wrote as men who worshiped Father, Son, and Spirit together, prayed to Jesus as Lord, and died rather than deny his deity — all while the technical grammar for explaining how this fits with there being only one God was still decades away. This chapter follows four of those writers — Clement of Rome, Ignatius of Antioch, Justin Martyr, and Irenaeus of Lyon — to see how the church spoke about God before it had the words later councils would give it.</w:t>
      </w:r>
    </w:p>
    <w:p w14:paraId="6246914D" w14:textId="77777777" w:rsidR="009C7F52" w:rsidRDefault="00731002">
      <w:pPr>
        <w:pStyle w:val="Heading3"/>
        <w:pBdr>
          <w:bottom w:val="single" w:sz="4" w:space="5" w:color="C8AE75"/>
        </w:pBdr>
      </w:pPr>
      <w:bookmarkStart w:id="113" w:name="Xa08adbdbdc4abfe4ccbbf3d9782e806dc68c7fe"/>
      <w:r>
        <w:t>Clement of Rome and the Voice of the Sub-Apostolic Church</w:t>
      </w:r>
    </w:p>
    <w:p w14:paraId="4841341A" w14:textId="77777777" w:rsidR="009C7F52" w:rsidRDefault="00731002">
      <w:pPr>
        <w:pStyle w:val="FirstParagraph"/>
      </w:pPr>
      <w:r>
        <w:t xml:space="preserve">Clement was likely a leader among the Roman church at the end of the first century, writing at a time when some of the apostles’ own disciples were still alive. His one surviving, undisputed letter, known as </w:t>
      </w:r>
      <w:r>
        <w:rPr>
          <w:i/>
          <w:iCs/>
        </w:rPr>
        <w:t>1 Clement</w:t>
      </w:r>
      <w:r>
        <w:t>, was sent to the church at Corinth around A.D. 96 to settle a dispute over church leadership, and it is usually counted as the earliest Christian writing outside the New Testament</w:t>
      </w:r>
      <w:hyperlink w:anchor="cite_112" w:history="1">
        <w:r>
          <w:rPr>
            <w:color w:val="671C2A"/>
            <w:sz w:val="16"/>
            <w:vertAlign w:val="superscript"/>
          </w:rPr>
          <w:t>112</w:t>
        </w:r>
      </w:hyperlink>
      <w:r>
        <w:t>. Clement is not writing a theological treatise, so readers should not expect him to sound like Athanasius two centuries later. But the letter’s opening line already places Father and Son together as the source of grace in a single breath: “Grace unto you, and peace, from Almighty God through Jesus Christ, be multiplied”</w:t>
      </w:r>
      <w:hyperlink w:anchor="cite_113" w:history="1">
        <w:r>
          <w:rPr>
            <w:color w:val="671C2A"/>
            <w:sz w:val="16"/>
            <w:vertAlign w:val="superscript"/>
          </w:rPr>
          <w:t>113</w:t>
        </w:r>
      </w:hyperlink>
      <w:r>
        <w:t>. Later in the letter Clement writes of “the Lord Jesus Christ, the sceptre of the majesty of God,” and closes with a benediction that binds Father, Son, and Spirit into the same act of blessing (</w:t>
      </w:r>
      <w:r>
        <w:rPr>
          <w:i/>
          <w:iCs/>
        </w:rPr>
        <w:t>1 Clement</w:t>
      </w:r>
      <w:r>
        <w:t xml:space="preserve"> 58, 64)</w:t>
      </w:r>
      <w:hyperlink w:anchor="cite_114" w:history="1">
        <w:r>
          <w:rPr>
            <w:color w:val="671C2A"/>
            <w:sz w:val="16"/>
            <w:vertAlign w:val="superscript"/>
          </w:rPr>
          <w:t>114</w:t>
        </w:r>
      </w:hyperlink>
      <w:r>
        <w:t>.</w:t>
      </w:r>
    </w:p>
    <w:p w14:paraId="0878B053" w14:textId="77777777" w:rsidR="009C7F52" w:rsidRDefault="00731002">
      <w:pPr>
        <w:pStyle w:val="BodyText"/>
      </w:pPr>
      <w:r>
        <w:t xml:space="preserve">What should a modern reader make of this? Clement’s Christology is undeveloped compared to what comes later — he has no interest in explaining ontological relationships between the persons, because no one had yet forced the question with the sharpness Arius would bring in the fourth century. But undeveloped is not the same thing as absent or contrary. Clement takes for granted exactly what the New Testament takes for granted: Jesus Christ is Lord, worthy of the same reverence given to God, sent by the Father, and inseparably joined with him in blessing the church. This is the ordinary devotional pattern out of which later, more precise doctrine would eventually be drawn — not invented from nothing three centuries later, as skeptics sometimes claim, but drawn out, clause by careful clause, from convictions the church already held and could not state with full technical precision. This is the single most important thing to understand about the sub-apostolic church: doctrine develops in </w:t>
      </w:r>
      <w:r>
        <w:rPr>
          <w:i/>
          <w:iCs/>
        </w:rPr>
        <w:t>clarity</w:t>
      </w:r>
      <w:r>
        <w:t xml:space="preserve">, not in </w:t>
      </w:r>
      <w:r>
        <w:rPr>
          <w:i/>
          <w:iCs/>
        </w:rPr>
        <w:t>content</w:t>
      </w:r>
      <w:r>
        <w:t>. The substance was there from the beginning; the vocabulary came later, forged in the fire of specific controversies this book will trace chapter by chapter.</w:t>
      </w:r>
    </w:p>
    <w:p w14:paraId="191122B1" w14:textId="77777777" w:rsidR="009C7F52" w:rsidRDefault="00731002">
      <w:pPr>
        <w:pStyle w:val="Heading3"/>
        <w:pBdr>
          <w:bottom w:val="single" w:sz="4" w:space="5" w:color="C8AE75"/>
        </w:pBdr>
      </w:pPr>
      <w:bookmarkStart w:id="114" w:name="ignatius-of-antioch-a-martyrs-theology"/>
      <w:bookmarkEnd w:id="113"/>
      <w:r>
        <w:t>Ignatius of Antioch: A Martyr’s Theology</w:t>
      </w:r>
    </w:p>
    <w:p w14:paraId="416C9F2A" w14:textId="77777777" w:rsidR="009C7F52" w:rsidRDefault="00731002">
      <w:pPr>
        <w:pStyle w:val="FirstParagraph"/>
      </w:pPr>
      <w:r>
        <w:t>If Clement gives us the church’s liturgical instincts, Ignatius gives us its blood. Ignatius, bishop of Antioch in Syria, was arrested under the emperor Trajan and marched in chains across Asia Minor toward Rome, where tradition holds he was killed by wild beasts in the arena, sometime in the early second century — scholars debate the precise year, with proposals ranging from around 108 to as late as the 140s, though the traditional date remains near 108</w:t>
      </w:r>
      <w:hyperlink w:anchor="cite_115" w:history="1">
        <w:r>
          <w:rPr>
            <w:color w:val="671C2A"/>
            <w:sz w:val="16"/>
            <w:vertAlign w:val="superscript"/>
          </w:rPr>
          <w:t>115</w:t>
        </w:r>
      </w:hyperlink>
      <w:r>
        <w:t>. Along the way he wrote seven letters to churches and to his fellow bishop Polycarp, and those letters are strikingly unguarded about Christ’s deity, precisely because Ignatius had no more need for caution — he was already condemned to die.</w:t>
      </w:r>
    </w:p>
    <w:p w14:paraId="7F22F74E" w14:textId="77777777" w:rsidR="009C7F52" w:rsidRDefault="00731002">
      <w:pPr>
        <w:pStyle w:val="BodyText"/>
      </w:pPr>
      <w:r>
        <w:t>Ignatius opens several of his letters by calling Jesus “our God” without qualification or hedge: the letter to the Ephesians is addressed to a church “blessed… in the will of the Father and Jesus Christ our God,” and his letter to the Romans opens the same way</w:t>
      </w:r>
      <w:hyperlink w:anchor="cite_116" w:history="1">
        <w:r>
          <w:rPr>
            <w:color w:val="671C2A"/>
            <w:sz w:val="16"/>
            <w:vertAlign w:val="superscript"/>
          </w:rPr>
          <w:t>116</w:t>
        </w:r>
      </w:hyperlink>
      <w:r>
        <w:t>. He can also, in the same letters, describe Christ’s full and ordinary humanity — “truly born,” “truly persecuted under Pilate,” a descendant “of the race of David” — because for Ignatius the two truths sit comfortably side by side, answered together rather than traded off against each other. His letter to the Ephesians states the paradox directly: Christ is “generate and ingenerate, God in man, true Life in death, Son of Mary and Son of God” (</w:t>
      </w:r>
      <w:r>
        <w:rPr>
          <w:i/>
          <w:iCs/>
        </w:rPr>
        <w:t>To the Ephesians</w:t>
      </w:r>
      <w:r>
        <w:t xml:space="preserve"> 7)</w:t>
      </w:r>
      <w:hyperlink w:anchor="cite_117" w:history="1">
        <w:r>
          <w:rPr>
            <w:color w:val="671C2A"/>
            <w:sz w:val="16"/>
            <w:vertAlign w:val="superscript"/>
          </w:rPr>
          <w:t>117</w:t>
        </w:r>
      </w:hyperlink>
      <w:r>
        <w:t>. That sentence, written by a man walking to his own execution, holds together exactly the two truths — full deity, full humanity — that later heresies would try to pull apart one at a time, as the next chapter will show. Ignatius also gives the church one of its earliest clear triadic patterns: in his letter to the Magnesians he urges believers to be “subject to the bishop and to one another, as Jesus Christ was subject to the Father according to the flesh, and the apostles to Christ and to the Father and to the Spirit” — Father, Son, and Spirit named together as the pattern of all right order in the church</w:t>
      </w:r>
      <w:hyperlink w:anchor="cite_118" w:history="1">
        <w:r>
          <w:rPr>
            <w:color w:val="671C2A"/>
            <w:sz w:val="16"/>
            <w:vertAlign w:val="superscript"/>
          </w:rPr>
          <w:t>118</w:t>
        </w:r>
      </w:hyperlink>
      <w:r>
        <w:t>.</w:t>
      </w:r>
    </w:p>
    <w:p w14:paraId="7B765E7F" w14:textId="77777777" w:rsidR="009C7F52" w:rsidRDefault="00731002">
      <w:pPr>
        <w:pStyle w:val="BodyText"/>
      </w:pPr>
      <w:r>
        <w:t>None of this means Ignatius had worked out a developed doctrine of the Trinity in the sense the later councils would articulate it. He had not. But his instincts — worship Jesus as God without apology, insist on his full and physical humanity without embarrassment, name Father, Son, and Spirit together as a settled pattern of Christian speech — are exactly the instincts the fourth- and fifth-century councils would later spend enormous energy defending against attack. Ignatius did not invent Trinitarian orthodoxy. He simply lived inside it, unreflectively and at the cost of his life, before anyone had needed to draw its precise boundaries.</w:t>
      </w:r>
    </w:p>
    <w:p w14:paraId="07143563" w14:textId="77777777" w:rsidR="009C7F52" w:rsidRDefault="00731002">
      <w:pPr>
        <w:pStyle w:val="Heading3"/>
        <w:pBdr>
          <w:bottom w:val="single" w:sz="4" w:space="5" w:color="C8AE75"/>
        </w:pBdr>
      </w:pPr>
      <w:bookmarkStart w:id="115" w:name="justin-martyr-and-the-logos"/>
      <w:bookmarkEnd w:id="114"/>
      <w:r>
        <w:t>Justin Martyr and the Logos</w:t>
      </w:r>
    </w:p>
    <w:p w14:paraId="2D50C532" w14:textId="77777777" w:rsidR="009C7F52" w:rsidRDefault="00731002">
      <w:pPr>
        <w:pStyle w:val="FirstParagraph"/>
      </w:pPr>
      <w:r>
        <w:t>By the middle of the second century, Christianity faced a different kind of pressure: educated pagans, trained in Greek philosophy, regarded the new religion as either dangerously subversive or intellectually beneath notice. A wave of Christian writers called apologists (from the Greek ἀπολογία, apologia, “a reasoned defense”) took up the task of answering both charges at once, writing to emperors and educated Greco-Roman readers in a philosophical idiom they would respect.</w:t>
      </w:r>
    </w:p>
    <w:p w14:paraId="0EA9EBC7" w14:textId="77777777" w:rsidR="009C7F52" w:rsidRDefault="00731002">
      <w:pPr>
        <w:pStyle w:val="BodyText"/>
      </w:pPr>
      <w:r>
        <w:t>Justin Martyr is the most important of these early apologists. Born around the start of the second century in Flavia Neapolis, in Roman Samaria (modern Nablus), Justin studied Stoic, Peripatetic, Pythagorean, and Platonist philosophy before converting to Christianity, and he continued to think and write as a philosopher for the rest of his life</w:t>
      </w:r>
      <w:hyperlink w:anchor="cite_119" w:history="1">
        <w:r>
          <w:rPr>
            <w:color w:val="671C2A"/>
            <w:sz w:val="16"/>
            <w:vertAlign w:val="superscript"/>
          </w:rPr>
          <w:t>119</w:t>
        </w:r>
      </w:hyperlink>
      <w:r>
        <w:t xml:space="preserve">. His </w:t>
      </w:r>
      <w:r>
        <w:rPr>
          <w:i/>
          <w:iCs/>
        </w:rPr>
        <w:t>First Apology</w:t>
      </w:r>
      <w:r>
        <w:t>, addressed to the emperor Antoninus Pius around A.D. 155–157, is his most famous work, and in it Justin makes a bold move: he takes the Greek philosophical term λόγος (logos, “Word” or “Reason”) — already loaded with meaning for educated Stoic and Platonist readers, who used it to describe the rational principle that orders the universe — and identifies it with the eternal Word of God described in John’s Gospel, the one who “was made flesh, and became man, and was called Jesus Christ” (</w:t>
      </w:r>
      <w:r>
        <w:rPr>
          <w:i/>
          <w:iCs/>
        </w:rPr>
        <w:t>First Apology</w:t>
      </w:r>
      <w:r>
        <w:t xml:space="preserve"> 5)</w:t>
      </w:r>
      <w:hyperlink w:anchor="cite_120" w:history="1">
        <w:r>
          <w:rPr>
            <w:color w:val="671C2A"/>
            <w:sz w:val="16"/>
            <w:vertAlign w:val="superscript"/>
          </w:rPr>
          <w:t>120</w:t>
        </w:r>
      </w:hyperlink>
      <w:r>
        <w:t>.</w:t>
      </w:r>
    </w:p>
    <w:p w14:paraId="27C6F840" w14:textId="77777777" w:rsidR="009C7F52" w:rsidRDefault="00731002">
      <w:pPr>
        <w:pStyle w:val="BodyText"/>
      </w:pPr>
      <w:r>
        <w:t>Justin’s boldest statement of triadic devotion comes in the same work, where he defends Christians against the charge of atheism (a charge pagans leveled because Christians would not sacrifice to the traditional gods) by explaining exactly whom Christians do worship: “We reasonably worship Him [Christ], having learned that He is the Son of the true God Himself, and holding Him in the second place, and the prophetic Spirit in the third” (</w:t>
      </w:r>
      <w:r>
        <w:rPr>
          <w:i/>
          <w:iCs/>
        </w:rPr>
        <w:t>First Apology</w:t>
      </w:r>
      <w:r>
        <w:t xml:space="preserve"> 13)</w:t>
      </w:r>
      <w:hyperlink w:anchor="cite_121" w:history="1">
        <w:r>
          <w:rPr>
            <w:color w:val="671C2A"/>
            <w:sz w:val="16"/>
            <w:vertAlign w:val="superscript"/>
          </w:rPr>
          <w:t>121</w:t>
        </w:r>
      </w:hyperlink>
      <w:r>
        <w:t>. Notice what Justin is and is not doing here. He affirms Father, Son, and Spirit as objects of Christian devotion — an early triadic pattern spoken almost in passing, as something his readers would already recognize as standard Christian practice, not as a novelty he is introducing. But his language of “second place” and “third place” (sometimes summarized by scholars as a subordinationist strand in his thought) also shows that the church did not yet have the settled vocabulary — οὐσία (ousia, “essence” or “substance”), ὑπόστασις (hypostasis, “person”), ὁμοούσιος (homoousios, “of the same substance”) — that later fathers would use to make clear that “distinction in order” does not mean “difference in essence or rank of being.” Justin is reaching for the truth with the tools he has. He gets remarkably close. But he does not yet have the precision that Nicaea’s crisis, a century and a half later, would force the church to develop. This is not a flaw unique to Justin; it is the honest condition of every theologian working before a controversy has forced the church to sharpen its terms — a pattern this book will trace again and again through the chapters ahead.</w:t>
      </w:r>
    </w:p>
    <w:p w14:paraId="172E899E" w14:textId="77777777" w:rsidR="009C7F52" w:rsidRDefault="00731002">
      <w:pPr>
        <w:pStyle w:val="BodyText"/>
      </w:pPr>
      <w:r>
        <w:t xml:space="preserve">Justin also develops what he calls a doctrine of the Word as a kind of “second God” — not a second, separate, and lesser deity in the way Arius would later teach, but a way of naming the real, personal distinctness of the Word from the Father while affirming their shared, single divine identity, worked out at length in his later </w:t>
      </w:r>
      <w:r>
        <w:rPr>
          <w:i/>
          <w:iCs/>
        </w:rPr>
        <w:t>Dialogue with Trypho</w:t>
      </w:r>
      <w:r>
        <w:t>, a fictionalized debate with a Jewish teacher over whether Jesus is the Messiah</w:t>
      </w:r>
      <w:hyperlink w:anchor="cite_122" w:history="1">
        <w:r>
          <w:rPr>
            <w:color w:val="671C2A"/>
            <w:sz w:val="16"/>
            <w:vertAlign w:val="superscript"/>
          </w:rPr>
          <w:t>122</w:t>
        </w:r>
      </w:hyperlink>
      <w:r>
        <w:t>. Justin was martyred in Rome, probably under the emperor Marcus Aurelius around 165, refusing under interrogation to renounce his faith or sacrifice to the gods of the state — a fitting end for a man who spent his intellectual life arguing that Christian worship of Jesus as Lord was not a departure from reason but its fulfillment.</w:t>
      </w:r>
    </w:p>
    <w:p w14:paraId="6F62281F" w14:textId="77777777" w:rsidR="009C7F52" w:rsidRDefault="00731002">
      <w:pPr>
        <w:pStyle w:val="Heading3"/>
        <w:pBdr>
          <w:bottom w:val="single" w:sz="4" w:space="5" w:color="C8AE75"/>
        </w:pBdr>
      </w:pPr>
      <w:bookmarkStart w:id="116" w:name="irenaeus-of-lyon-and-the-rule-of-faith"/>
      <w:bookmarkEnd w:id="115"/>
      <w:r>
        <w:t>Irenaeus of Lyon and the Rule of Faith</w:t>
      </w:r>
    </w:p>
    <w:p w14:paraId="23AA102B" w14:textId="77777777" w:rsidR="009C7F52" w:rsidRDefault="00731002">
      <w:pPr>
        <w:pStyle w:val="FirstParagraph"/>
      </w:pPr>
      <w:r>
        <w:t>The last figure in this chapter takes us to the far western edge of the Roman world and to a controversy that will occupy the next chapter directly. Irenaeus was bishop of Lyon in Gaul (modern France) in the late second century, and he had an unusually direct claim to reliable apostolic memory: he had been a disciple of Polycarp, the bishop of Smyrna, who had himself been a disciple of the apostle John — giving Irenaeus a personal chain of just two links back to an eyewitness of Jesus</w:t>
      </w:r>
      <w:hyperlink w:anchor="cite_123" w:history="1">
        <w:r>
          <w:rPr>
            <w:color w:val="671C2A"/>
            <w:sz w:val="16"/>
            <w:vertAlign w:val="superscript"/>
          </w:rPr>
          <w:t>123</w:t>
        </w:r>
      </w:hyperlink>
      <w:r>
        <w:t>.</w:t>
      </w:r>
    </w:p>
    <w:p w14:paraId="4E3B1278" w14:textId="77777777" w:rsidR="009C7F52" w:rsidRDefault="00731002">
      <w:pPr>
        <w:pStyle w:val="BodyText"/>
      </w:pPr>
      <w:r>
        <w:t xml:space="preserve">Irenaeus’s great work, </w:t>
      </w:r>
      <w:r>
        <w:rPr>
          <w:i/>
          <w:iCs/>
        </w:rPr>
        <w:t>Against Heresies</w:t>
      </w:r>
      <w:r>
        <w:t xml:space="preserve"> (written around A.D. 180), was directed chiefly against Gnostic teachers who multiplied a whole hierarchy of divine “aeons” between the true, transcendent God and the material world he supposedly disdained to touch directly. Against this, Irenaeus insists on the strict, unadorned oneness of God — one Creator, directly and personally responsible for the material world, not a distant deity working through a chain of lesser intermediaries — while simultaneously insisting on the full, personal deity of both the Son and the Spirit, whom he memorably calls God’s own “two hands,” through whom the Father made and continues to govern everything that exists</w:t>
      </w:r>
      <w:hyperlink w:anchor="cite_124" w:history="1">
        <w:r>
          <w:rPr>
            <w:color w:val="671C2A"/>
            <w:sz w:val="16"/>
            <w:vertAlign w:val="superscript"/>
          </w:rPr>
          <w:t>124</w:t>
        </w:r>
      </w:hyperlink>
      <w:r>
        <w:t>. His formula is direct: “The Father is God, and the Son is God; for whatever is begotten of God is God” (</w:t>
      </w:r>
      <w:r>
        <w:rPr>
          <w:i/>
          <w:iCs/>
        </w:rPr>
        <w:t>Against Heresies</w:t>
      </w:r>
      <w:r>
        <w:t xml:space="preserve"> 3.6.2)</w:t>
      </w:r>
      <w:hyperlink w:anchor="cite_125" w:history="1">
        <w:r>
          <w:rPr>
            <w:color w:val="671C2A"/>
            <w:sz w:val="16"/>
            <w:vertAlign w:val="superscript"/>
          </w:rPr>
          <w:t>125</w:t>
        </w:r>
      </w:hyperlink>
      <w:r>
        <w:t xml:space="preserve">. And in his catechetical summary, the </w:t>
      </w:r>
      <w:r>
        <w:rPr>
          <w:i/>
          <w:iCs/>
        </w:rPr>
        <w:t>Demonstration of the Apostolic Preaching</w:t>
      </w:r>
      <w:r>
        <w:t>, Irenaeus states what he calls the “rule of faith” received by the church: belief in “God the Father, uncreated… one God, the Creator of all things… and the Word of God, the Son of God, Christ Jesus our Lord… and the Holy Spirit.”</w:t>
      </w:r>
    </w:p>
    <w:p w14:paraId="4B405F0F" w14:textId="77777777" w:rsidR="009C7F52" w:rsidRDefault="00731002">
      <w:pPr>
        <w:pStyle w:val="BodyText"/>
      </w:pPr>
      <w:r>
        <w:t>What makes Irenaeus historically pivotal for this book’s story is that he is the first writer to name and specifically refute several of the very errors the next chapters will examine at length. He classes the Ebionites — a Jewish-Christian group that denied Christ’s pre-existent deity entirely — alongside other early Christological deviations, and he catalogs their truncated Gospel, their rejection of Paul, and their reduction of Jesus to a mere man as symptoms of the same underlying mistake: refusing the full canonical witness in favor of a partial, self-selected one. Irenaeus did not have to invent a doctrine of the Trinity to do this. He simply applied, with unusual clarity and at unusual length, the “rule of faith” he says the church had already received from the apostles — one God, known as Father, Son, and Spirit, each fully and irreducibly involved in creation and salvation.</w:t>
      </w:r>
    </w:p>
    <w:p w14:paraId="7F8B97A4" w14:textId="77777777" w:rsidR="009C7F52" w:rsidRDefault="00731002">
      <w:pPr>
        <w:pStyle w:val="Heading3"/>
        <w:pBdr>
          <w:bottom w:val="single" w:sz="4" w:space="5" w:color="C8AE75"/>
        </w:pBdr>
      </w:pPr>
      <w:bookmarkStart w:id="117" w:name="Xdb81000fc4d5e2f0af4733a69c186625a7584d3"/>
      <w:bookmarkEnd w:id="116"/>
      <w:r>
        <w:t>What the Sub-Apostolic Church Knew, and What It Did Not Yet Have Words For</w:t>
      </w:r>
    </w:p>
    <w:p w14:paraId="29455C93" w14:textId="77777777" w:rsidR="009C7F52" w:rsidRDefault="00731002">
      <w:pPr>
        <w:pStyle w:val="FirstParagraph"/>
      </w:pPr>
      <w:r>
        <w:t xml:space="preserve">Standing back from these four writers, a clear pattern emerges. None of them uses the word </w:t>
      </w:r>
      <w:r>
        <w:rPr>
          <w:i/>
          <w:iCs/>
        </w:rPr>
        <w:t>Trinity</w:t>
      </w:r>
      <w:r>
        <w:t xml:space="preserve"> in its later technical sense (the Latin </w:t>
      </w:r>
      <w:r>
        <w:rPr>
          <w:i/>
          <w:iCs/>
        </w:rPr>
        <w:t>trinitas</w:t>
      </w:r>
      <w:r>
        <w:t xml:space="preserve"> would not appear in surviving Christian literature until Tertullian, a generation after Irenaeus, as the next chapters will show). None of them has settled, agreed vocabulary for how one God can be three, in the way οὐσία (ousia, “essence”) and ὑπόστασις (hypostasis, “person”) would later supply. And yet all four worship Jesus as Lord and, in various ways, as God; all four assume the Spirit’s active, personal presence in the church; and all four name Father, Son, and Spirit together, without apparent anxiety, as the object and pattern of Christian devotion. Even the earliest baptismal practice attested outside the New Testament — the church manual known as the </w:t>
      </w:r>
      <w:r>
        <w:rPr>
          <w:i/>
          <w:iCs/>
        </w:rPr>
        <w:t>Didache</w:t>
      </w:r>
      <w:r>
        <w:t>, likely compiled sometime between A.D. 70 and 110 — instructs believers to “baptize in the name of the Father and of the Son and of the Holy Spirit,” establishing the triadic name as ordinary, universal, unremarkable liturgical practice a full two centuries before any council made it a matter of formal definition</w:t>
      </w:r>
      <w:hyperlink w:anchor="cite_126" w:history="1">
        <w:r>
          <w:rPr>
            <w:color w:val="671C2A"/>
            <w:sz w:val="16"/>
            <w:vertAlign w:val="superscript"/>
          </w:rPr>
          <w:t>126</w:t>
        </w:r>
      </w:hyperlink>
      <w:r>
        <w:t>.</w:t>
      </w:r>
    </w:p>
    <w:p w14:paraId="64FD3FC1" w14:textId="77777777" w:rsidR="009C7F52" w:rsidRDefault="00731002">
      <w:pPr>
        <w:pStyle w:val="BodyText"/>
      </w:pPr>
      <w:r>
        <w:t>This is the necessary starting point for everything that follows in Part III. The great fourth- and fifth-century councils this book will describe in the coming chapters did not invent the substance of Trinitarian belief out of philosophical speculation, nor did they impose an alien Greek metaphysical framework onto a simpler, more Jewish early faith, as some modern critics allege. They inherited a settled pattern of devotion and confession from writers like Clement, Ignatius, Justin, and Irenaeus, and they were forced — by specific teachers making specific claims that could not be squared with that inherited pattern — to develop the precise vocabulary needed to defend what the church had believed and practiced from its earliest days. The next chapter turns to the first of those specific claims: the earliest and starkest attempts to say that Jesus was either less than fully God, or less than fully man.</w:t>
      </w:r>
    </w:p>
    <w:p w14:paraId="6283AC79" w14:textId="77777777" w:rsidR="009C7F52" w:rsidRDefault="00731002">
      <w:pPr>
        <w:pStyle w:val="Heading2"/>
        <w:pBdr>
          <w:bottom w:val="single" w:sz="10" w:space="8" w:color="A68037"/>
        </w:pBdr>
      </w:pPr>
      <w:bookmarkStart w:id="118" w:name="X75c70eed7e9224d68a637a610fe45ba7167b9ea"/>
      <w:bookmarkEnd w:id="112"/>
      <w:bookmarkEnd w:id="117"/>
      <w:r>
        <w:t>Chapter 15: The First Great Denials — Ebionism, Docetism, and the Gnostic Christ</w:t>
      </w:r>
    </w:p>
    <w:p w14:paraId="707C843B" w14:textId="77777777" w:rsidR="009C7F52" w:rsidRDefault="00731002">
      <w:pPr>
        <w:pStyle w:val="FirstParagraph"/>
      </w:pPr>
      <w:r>
        <w:t>Every heresy about Jesus Christ makes the same mistake in one of exactly two directions. Either it shrinks his deity to protect his humanity, or it shrinks his humanity to protect his deity. The church’s very first Christological controversies, in the second and early third centuries, establish this pattern with almost geometric clarity — on one side stood the Ebionites, who could not stomach the idea that a real, flesh-and-blood Jewish man was somehow also the eternal God of Israel; on the other stood the Docetists and various Gnostic teachers, who could not stomach the idea that eternal God had truly become breakable, bleeding, dying flesh at all. Both errors thought they were protecting something essential. Both were half right, and both were wrong precisely where it mattered most.</w:t>
      </w:r>
    </w:p>
    <w:p w14:paraId="73E9C94F" w14:textId="77777777" w:rsidR="009C7F52" w:rsidRDefault="00731002">
      <w:pPr>
        <w:pStyle w:val="Heading3"/>
        <w:pBdr>
          <w:bottom w:val="single" w:sz="4" w:space="5" w:color="C8AE75"/>
        </w:pBdr>
      </w:pPr>
      <w:bookmarkStart w:id="119" w:name="ebionism-a-man-not-god"/>
      <w:r>
        <w:t>Ebionism: A Man, Not God</w:t>
      </w:r>
    </w:p>
    <w:p w14:paraId="6ADCE1E5" w14:textId="77777777" w:rsidR="009C7F52" w:rsidRDefault="00731002">
      <w:pPr>
        <w:pStyle w:val="FirstParagraph"/>
      </w:pPr>
      <w:r>
        <w:t xml:space="preserve">The Ebionites were a Jewish-Christian community, likely centered east of the Jordan River, who tried to hold together two commitments that eventually pulled apart: loyalty to Jesus as Messiah, and an uncompromising commitment to Jewish monotheism and Torah observance as they understood it. Their name, from the Hebrew </w:t>
      </w:r>
      <w:r>
        <w:rPr>
          <w:i/>
          <w:iCs/>
        </w:rPr>
        <w:t>evyonim</w:t>
      </w:r>
      <w:r>
        <w:t xml:space="preserve"> (“the poor ones”), may reflect a self-description of pious poverty rather than a founder’s name, though Tertullian later mistakenly attributed the group to a founding figure called “Ebion”</w:t>
      </w:r>
      <w:hyperlink w:anchor="cite_127" w:history="1">
        <w:r>
          <w:rPr>
            <w:color w:val="671C2A"/>
            <w:sz w:val="16"/>
            <w:vertAlign w:val="superscript"/>
          </w:rPr>
          <w:t>127</w:t>
        </w:r>
      </w:hyperlink>
      <w:r>
        <w:t>. Irenaeus is the first writer to name and describe them as a distinct group, around A.D. 180, noting that they used a revised, truncated version of Matthew’s Gospel, rejected the apostle Paul as “an apostate from the Law,” and held Jesus to be the natural son of Joseph and Mary — a righteous man, uniquely favored and, in most accounts, “anointed” or adopted into messianic sonship at his baptism because of his perfect observance of the Law, but never eternally or essentially divine</w:t>
      </w:r>
      <w:hyperlink w:anchor="cite_128" w:history="1">
        <w:r>
          <w:rPr>
            <w:color w:val="671C2A"/>
            <w:sz w:val="16"/>
            <w:vertAlign w:val="superscript"/>
          </w:rPr>
          <w:t>128</w:t>
        </w:r>
      </w:hyperlink>
      <w:r>
        <w:t>. Origen and the historian Eusebius, writing in the following century, continued to track and describe the group, distinguishing a majority strand that denied the virgin birth outright from a minority strand willing to affirm it while still denying Christ’s full, pre-existent deity</w:t>
      </w:r>
      <w:hyperlink w:anchor="cite_129" w:history="1">
        <w:r>
          <w:rPr>
            <w:color w:val="671C2A"/>
            <w:sz w:val="16"/>
            <w:vertAlign w:val="superscript"/>
          </w:rPr>
          <w:t>129</w:t>
        </w:r>
      </w:hyperlink>
      <w:r>
        <w:t>.</w:t>
      </w:r>
    </w:p>
    <w:p w14:paraId="36D2F452" w14:textId="77777777" w:rsidR="009C7F52" w:rsidRDefault="00731002">
      <w:pPr>
        <w:pStyle w:val="BodyText"/>
      </w:pPr>
      <w:r>
        <w:t>It is worth pausing to see why this view felt not just permissible but responsible to the people who held it. The Ebionites were not cynics looking for a shortcut. They were Jewish believers trying to honor Jesus without abandoning what they took to be the non-negotiable heart of their ancestral faith: the strict, numerical oneness of God, expressed in the Shema — “Hear, O Israel: The LORD our God, the LORD is one” (Deuteronomy 6:4). If accepting Jesus as Lord seemed to require accepting a second divine being alongside the God of Israel, then, on their reading, something in the new claim had to give. They chose to let go of Jesus’s full deity rather than risk what looked to them like ordinary pagan polytheism dressed in Christian language. It was a serious, defensible instinct, applied to the wrong half of the problem.</w:t>
      </w:r>
    </w:p>
    <w:p w14:paraId="55F3B771" w14:textId="77777777" w:rsidR="009C7F52" w:rsidRDefault="00731002">
      <w:pPr>
        <w:pStyle w:val="BodyText"/>
      </w:pPr>
      <w:r>
        <w:t>The New Testament itself, including the very Gospels the Ebionites claimed to honor, will not sustain the reduction. Matthew’s account of Jesus’s birth — a Gospel the Ebionites edited rather than rejected outright, which shows how directly they had to work around its plain sense — has the angel tell Joseph that the child conceived in Mary “is from the Holy Spirit” and will be called “Immanuel… God with us” (Matthew 1:20, 23). That title is applied at conception, not bestowed thirty years later at a baptism. John’s Gospel closes the door completely: “In the beginning was the Word, and the Word was with God, and the Word was God… And the Word became flesh and dwelt among us” (John 1:1, 14). The grammar itself refutes any adoption-at-baptism scheme — the eternal Word did not gradually acquire divinity partway through an ordinary human life; the Word who already, eternally, was God became flesh in a single, definite act. Paul’s description of Christ in Colossians — “He is the image of the invisible God… for by him all things were created… he is before all things, and in him all things hold together” (Colossians 1:15–17) — places Christ ontologically prior to and outside the created order altogether, which a righteous man among men, however exalted, could never be. No single council was convened to condemn Ebionism as such — by the time the great fourth-century councils met, the group had already become a marginal sect, attested in isolated communities as late as the fifth century — but its central claim, a merely human, adopted Jesus, is the same claim the church would condemn repeatedly under other names, including at the Synod of Antioch in 268 and, decisively, at Nicaea in 325, as the chapters ahead will show</w:t>
      </w:r>
      <w:hyperlink w:anchor="cite_130" w:history="1">
        <w:r>
          <w:rPr>
            <w:color w:val="671C2A"/>
            <w:sz w:val="16"/>
            <w:vertAlign w:val="superscript"/>
          </w:rPr>
          <w:t>130</w:t>
        </w:r>
      </w:hyperlink>
      <w:r>
        <w:t>.</w:t>
      </w:r>
    </w:p>
    <w:p w14:paraId="01D15919" w14:textId="77777777" w:rsidR="009C7F52" w:rsidRDefault="00731002">
      <w:pPr>
        <w:pStyle w:val="Heading3"/>
        <w:pBdr>
          <w:bottom w:val="single" w:sz="4" w:space="5" w:color="C8AE75"/>
        </w:pBdr>
      </w:pPr>
      <w:bookmarkStart w:id="120" w:name="docetism-a-phantom-not-a-man"/>
      <w:bookmarkEnd w:id="119"/>
      <w:r>
        <w:t>Docetism: A Phantom, Not a Man</w:t>
      </w:r>
    </w:p>
    <w:p w14:paraId="5753CEE6" w14:textId="77777777" w:rsidR="009C7F52" w:rsidRDefault="00731002">
      <w:pPr>
        <w:pStyle w:val="FirstParagraph"/>
      </w:pPr>
      <w:r>
        <w:t xml:space="preserve">If Ebionism could not accept a divine Jesus, Docetism could not accept a truly human, truly suffering one. The name comes from the Greek verb δοκεῖν (dokein, “to seem”) — on this view, Christ only </w:t>
      </w:r>
      <w:r>
        <w:rPr>
          <w:i/>
          <w:iCs/>
        </w:rPr>
        <w:t>seemed</w:t>
      </w:r>
      <w:r>
        <w:t xml:space="preserve"> to have a real, physical body, only </w:t>
      </w:r>
      <w:r>
        <w:rPr>
          <w:i/>
          <w:iCs/>
        </w:rPr>
        <w:t>seemed</w:t>
      </w:r>
      <w:r>
        <w:t xml:space="preserve"> to bleed, suffer, and die. The reasoning behind this claim was philosophical rather than exegetical: many thinkers steeped in the wider Greco-Roman intellectual world assumed that spirit is inherently superior to matter, and that a perfect, transcendent God simply cannot suffer, change, or be confined in breakable, decaying flesh without either ceasing to be divine or dragging divinity itself down into corruption</w:t>
      </w:r>
      <w:hyperlink w:anchor="cite_131" w:history="1">
        <w:r>
          <w:rPr>
            <w:color w:val="671C2A"/>
            <w:sz w:val="16"/>
            <w:vertAlign w:val="superscript"/>
          </w:rPr>
          <w:t>131</w:t>
        </w:r>
      </w:hyperlink>
      <w:r>
        <w:t>. Rather than accept that trade, Docetists concluded that what onlookers saw at the cross was an appearance, a kind of theater — the true, spiritual Christ remained untouched, above and beyond the indignity of the crucifixion altogether.</w:t>
      </w:r>
    </w:p>
    <w:p w14:paraId="45353DF3" w14:textId="77777777" w:rsidR="009C7F52" w:rsidRDefault="00731002">
      <w:pPr>
        <w:pStyle w:val="BodyText"/>
      </w:pPr>
      <w:r>
        <w:t>This instinct appears astonishingly early — so early that the New Testament itself seems to be responding to it directly. First John, likely written to counter exactly this drift within a single generation of the apostles, insists that “every spirit that confesses that Jesus Christ has come in the flesh is from God” (1 John 4:2), treating denial of Christ’s real physicality not as a permissible variant but as “the spirit of the antichrist” (1 John 4:3). The most historically important early confrontation, though, comes from a man we have already met in this book: Ignatius of Antioch, writing around the start of the second century en route to his own martyrdom, devotes his Letter to the Smyrnaeans specifically to refuting Christians who denied Christ possessed real flesh. Ignatius does not argue philosophically; he simply lists the concrete, physical facts of the gospel story — Christ “truly of the race of David after the flesh,” “truly born of a virgin,” “truly nailed for us in the flesh” under Pontius Pilate, and, after the resurrection, still tangibly embodied, inviting the disciples to “take, handle me and see that I am not a spirit without a body,” after which he ate and drank with them</w:t>
      </w:r>
      <w:hyperlink w:anchor="cite_132" w:history="1">
        <w:r>
          <w:rPr>
            <w:color w:val="671C2A"/>
            <w:sz w:val="16"/>
            <w:vertAlign w:val="superscript"/>
          </w:rPr>
          <w:t>132</w:t>
        </w:r>
      </w:hyperlink>
      <w:r>
        <w:t>. Then Ignatius makes the argument personal, almost unbearably so, given his own circumstances: if Christ’s sufferings were only a semblance, “why am I in bonds?” A man being marched to execution has a certain moral authority when he asks why anyone should bother suffering for a phantom.</w:t>
      </w:r>
    </w:p>
    <w:p w14:paraId="26966F71" w14:textId="77777777" w:rsidR="009C7F52" w:rsidRDefault="00731002">
      <w:pPr>
        <w:pStyle w:val="BodyText"/>
      </w:pPr>
      <w:r>
        <w:t>A more developed and lasting form of Docetism came from Marcion of Sinope, who taught in Rome around A.D. 144 and built an entire alternative Christian system around the claim that the God revealed in Jesus was an entirely different, higher, purely spiritual deity than the God of the Old Testament, who Marcion regarded as an inferior, material, and often harsh creator</w:t>
      </w:r>
      <w:hyperlink w:anchor="cite_133" w:history="1">
        <w:r>
          <w:rPr>
            <w:color w:val="671C2A"/>
            <w:sz w:val="16"/>
            <w:vertAlign w:val="superscript"/>
          </w:rPr>
          <w:t>133</w:t>
        </w:r>
      </w:hyperlink>
      <w:r>
        <w:t>. If the true God is by nature immaterial and untouched by matter, Marcion reasoned, then the Christ who reveals him cannot have taken on a genuinely material body — the incarnation, on Marcion’s system, was itself a kind of category error the true, transcendent God would never actually commit. Marcion’s system also required him to cut the New Testament down to a heavily edited version of Luke’s Gospel and Paul’s letters, discarding anything that too closely bound Jesus to Israel’s Scriptures and history — a reminder, again, of the pattern this book keeps tracing: heresies about Christ’s person are rarely isolated errors; they tend to require cutting away inconvenient parts of the church’s received Scripture and tradition to survive. The Roman church rejected Marcion’s system around 144, and his teaching, though influential for centuries afterward in scattered Marcionite communities, never gained the sanction of the wider apostolic churches</w:t>
      </w:r>
      <w:hyperlink w:anchor="cite_134" w:history="1">
        <w:r>
          <w:rPr>
            <w:color w:val="671C2A"/>
            <w:sz w:val="16"/>
            <w:vertAlign w:val="superscript"/>
          </w:rPr>
          <w:t>134</w:t>
        </w:r>
      </w:hyperlink>
      <w:r>
        <w:t>.</w:t>
      </w:r>
    </w:p>
    <w:p w14:paraId="743E058F" w14:textId="77777777" w:rsidR="009C7F52" w:rsidRDefault="00731002">
      <w:pPr>
        <w:pStyle w:val="BodyText"/>
      </w:pPr>
      <w:r>
        <w:t>John’s own Gospel supplies the sharpest textual answer to Docetism generally. The prologue’s claim that “the Word became flesh and dwelt among us” (John 1:14) uses the ordinary Greek word for flesh, σάρξ (sarx, “flesh”), in its full, unglamorous physicality — the same word Paul uses for “flesh and blood” existence generally — and the verb “became” marks a real change of state, not a costume change or momentary disguise. Luke’s resurrection narrative directly anticipates and defeats the “spirit without a body” reading: the risen Jesus tells his startled disciples, who suppose they are seeing a ghost, “See my hands and my feet, that it is I myself. Touch me, and see. For a spirit does not have flesh and bones as you see that I have” — and then, removing all possible doubt, “he took it and ate before them” (Luke 24:39, 43). A body that can be touched, that bears real wound-scars, and that digests broiled fish is the precise opposite of an illusion.</w:t>
      </w:r>
    </w:p>
    <w:p w14:paraId="0A68320B" w14:textId="77777777" w:rsidR="009C7F52" w:rsidRDefault="00731002">
      <w:pPr>
        <w:pStyle w:val="Heading3"/>
        <w:pBdr>
          <w:bottom w:val="single" w:sz="4" w:space="5" w:color="C8AE75"/>
        </w:pBdr>
      </w:pPr>
      <w:bookmarkStart w:id="121" w:name="X328121eeb2e200bdef9a96b376307bffff2d862"/>
      <w:bookmarkEnd w:id="120"/>
      <w:r>
        <w:t>The Wider Gnostic Christ: A Divine Visitor, Not an Incarnate Word</w:t>
      </w:r>
    </w:p>
    <w:p w14:paraId="5A548378" w14:textId="77777777" w:rsidR="009C7F52" w:rsidRDefault="00731002">
      <w:pPr>
        <w:pStyle w:val="FirstParagraph"/>
      </w:pPr>
      <w:r>
        <w:t>Docetism proper often traveled alongside — and drew strength from — a broader family of teachings historians group loosely under the label Gnosticism, from the Greek γνῶσις (gnosis, “knowledge”). Gnostic systems varied enormously in their details, but many shared a basic architecture: an unknowable, purely spiritual, transcendent God at the top of reality, and, below him, an elaborate hierarchy of lesser divine beings or emanations (often called “aeons”) stretching downward until, at the bottom of the chain, an inferior, ignorant, or even malicious lesser god created the flawed material world human beings actually inhabit. On this architecture, “Christ” is typically one of the higher aeons — a purely spiritual, heavenly being who either only appeared to become human, or who temporarily inhabited (and then abandoned before the crucifixion) an ordinary human being named Jesus, so that the divine Christ and the suffering man Jesus were never, strictly speaking, the same continuous individual at all.</w:t>
      </w:r>
    </w:p>
    <w:p w14:paraId="77448AA0" w14:textId="77777777" w:rsidR="009C7F52" w:rsidRDefault="00731002">
      <w:pPr>
        <w:pStyle w:val="BodyText"/>
      </w:pPr>
      <w:r>
        <w:t>Cerinthus, a teacher active in Asia Minor at the end of the first century and reported by Irenaeus to have been a contemporary opponent of the apostle John himself, taught a version of exactly this scheme: Jesus was born a purely human son of Joseph and Mary, and “the Christ,” a separate heavenly power, descended upon him at his baptism in the form of a dove, empowered him to perform miracles and reveal the unknown Father, and then departed from him before the crucifixion — so that Jesus alone, not the Christ, actually suffered and died</w:t>
      </w:r>
      <w:hyperlink w:anchor="cite_135" w:history="1">
        <w:r>
          <w:rPr>
            <w:color w:val="671C2A"/>
            <w:sz w:val="16"/>
            <w:vertAlign w:val="superscript"/>
          </w:rPr>
          <w:t>135</w:t>
        </w:r>
      </w:hyperlink>
      <w:r>
        <w:t>. Valentinus, an enormously influential Gnostic teacher active in Rome around the middle of the second century, developed a far more elaborate cosmology of emanated aeons, in which Christ belongs to the fullness (πλήρωμα, pleroma, “fullness”) of the divine realm and takes on, at most, a special “spiritual body” rather than ordinary human flesh, in order to reveal saving knowledge to an elite group of spiritually awakened believers</w:t>
      </w:r>
      <w:hyperlink w:anchor="cite_136" w:history="1">
        <w:r>
          <w:rPr>
            <w:color w:val="671C2A"/>
            <w:sz w:val="16"/>
            <w:vertAlign w:val="superscript"/>
          </w:rPr>
          <w:t>136</w:t>
        </w:r>
      </w:hyperlink>
      <w:r>
        <w:t>.</w:t>
      </w:r>
    </w:p>
    <w:p w14:paraId="1B871BE1" w14:textId="77777777" w:rsidR="009C7F52" w:rsidRDefault="00731002">
      <w:pPr>
        <w:pStyle w:val="BodyText"/>
      </w:pPr>
      <w:r>
        <w:t>What unites Cerinthus’s scheme, Valentinian Gnosticism, and Marcionite Docetism, despite their real differences, is the same underlying move Ebionism made from the opposite direction: refusing to hold together, in a single continuous person, both the full weight of Christ’s deity and the full, unglamorous reality of his human life and death. The Gnostic Christ descends and departs; the Docetic Christ merely appears; the Ebionite Jesus is merely adopted. In every version, something the New Testament insists belongs to a single, unified person gets split apart, either by dividing the one Jesus Christ into two separate subjects — a heavenly visitor and a human host — or by reducing one side of his identity to mere appearance.</w:t>
      </w:r>
    </w:p>
    <w:p w14:paraId="2945550A" w14:textId="77777777" w:rsidR="009C7F52" w:rsidRDefault="00731002">
      <w:pPr>
        <w:pStyle w:val="BodyText"/>
      </w:pPr>
      <w:r>
        <w:t xml:space="preserve">Irenaeus’s answer to all these systems, developed at length in </w:t>
      </w:r>
      <w:r>
        <w:rPr>
          <w:i/>
          <w:iCs/>
        </w:rPr>
        <w:t>Against Heresies</w:t>
      </w:r>
      <w:r>
        <w:t>, is not merely a list of proof texts but a controlling principle: God, the one Creator, made and continues to sustain the material world directly, through his own “two hands” — the Son and the Spirit — rather than through a descending chain of intermediary beings who need to shield a supposedly untouchable, purely spiritual deity from contact with matter</w:t>
      </w:r>
      <w:hyperlink w:anchor="cite_137" w:history="1">
        <w:r>
          <w:rPr>
            <w:color w:val="671C2A"/>
            <w:sz w:val="16"/>
            <w:vertAlign w:val="superscript"/>
          </w:rPr>
          <w:t>137</w:t>
        </w:r>
      </w:hyperlink>
      <w:r>
        <w:t xml:space="preserve">. If the material world is not beneath God’s dignity to create and sustain, then it is not beneath his dignity to enter directly, in the person of his own Son, either. This is the deep theological point beneath what can look, from a distance, like a merely technical dispute about how many divine beings stand between God and the world: Gnosticism’s entire architecture assumes matter is something the true God needs protecting from, while Genesis 1 — “and God saw that it was good” — assumes exactly the opposite, and John 1:14’s flat, unqualified claim that the Word </w:t>
      </w:r>
      <w:r>
        <w:rPr>
          <w:i/>
          <w:iCs/>
        </w:rPr>
        <w:t>became</w:t>
      </w:r>
      <w:r>
        <w:t xml:space="preserve"> flesh trusts that assumption all the way down.</w:t>
      </w:r>
    </w:p>
    <w:p w14:paraId="63DC335A" w14:textId="77777777" w:rsidR="009C7F52" w:rsidRDefault="00731002">
      <w:pPr>
        <w:pStyle w:val="Heading3"/>
        <w:pBdr>
          <w:bottom w:val="single" w:sz="4" w:space="5" w:color="C8AE75"/>
        </w:pBdr>
      </w:pPr>
      <w:bookmarkStart w:id="122" w:name="two-errors-one-underlying-refusal"/>
      <w:bookmarkEnd w:id="121"/>
      <w:r>
        <w:t>Two Errors, One Underlying Refusal</w:t>
      </w:r>
    </w:p>
    <w:p w14:paraId="11AAF1EB" w14:textId="77777777" w:rsidR="009C7F52" w:rsidRDefault="00731002">
      <w:pPr>
        <w:pStyle w:val="FirstParagraph"/>
      </w:pPr>
      <w:r>
        <w:t>Ebionism and Docetism look like opposites, and in one sense they are — one denies deity, the other denies humanity. But look closer and they share a single underlying refusal: both decline to hold the full New Testament witness together without editing it. The Ebionites kept a trimmed Matthew and discarded Paul; the Gnostics and Marcion kept a spiritualized, reimagined Christ and discarded whichever texts tied him too closely to ordinary matter, Israel’s history, or bodily suffering. Neither error was invented by fools or villains. Both were sincere attempts, by real communities under real philosophical and cultural pressure, to make sense of an extraordinary claim — that the eternal God had become, without remainder, a particular human being. The church’s answer, worked out across the second and third centuries by writers like Irenaeus, Ignatius, and the author of 1 John, was not to split the difference between the two errors but to reject the trade each one demanded and insist, at real cost, on the harder and stranger truth the New Testament actually teaches: one person, truly God and truly man, without subtraction on either side. That insistence would be tested again, and even more severely, by the controversy the next chapter takes up — a controversy not about how many natures belong to Christ, but about how many persons belong to God.</w:t>
      </w:r>
    </w:p>
    <w:p w14:paraId="660F7F43" w14:textId="77777777" w:rsidR="009C7F52" w:rsidRDefault="00731002">
      <w:pPr>
        <w:pStyle w:val="Heading2"/>
        <w:pBdr>
          <w:bottom w:val="single" w:sz="10" w:space="8" w:color="A68037"/>
        </w:pBdr>
      </w:pPr>
      <w:bookmarkStart w:id="123" w:name="X5a622dea1eb7986b5f7912256cecda5c9b95408"/>
      <w:bookmarkEnd w:id="118"/>
      <w:bookmarkEnd w:id="122"/>
      <w:r>
        <w:t>Chapter 16: Modalism and the Monarchian Crisis</w:t>
      </w:r>
    </w:p>
    <w:p w14:paraId="7B9224B3" w14:textId="77777777" w:rsidR="009C7F52" w:rsidRDefault="00731002">
      <w:pPr>
        <w:pStyle w:val="FirstParagraph"/>
      </w:pPr>
      <w:r>
        <w:t>Imagine trying to explain, in one sentence, how God can be both one and three, and choosing to solve the puzzle by simply denying there really are three. That shortcut has tempted sincere believers in every century, and in the late second and early third centuries it produced one of the most serious internal crises the church had yet faced — a crisis not about whether Jesus was divine, but about whether the Father, Son, and Holy Spirit were really, personally distinct from one another at all, or merely three names for the same single person wearing different masks at different times.</w:t>
      </w:r>
    </w:p>
    <w:p w14:paraId="3096CE6E" w14:textId="77777777" w:rsidR="009C7F52" w:rsidRDefault="00731002">
      <w:pPr>
        <w:pStyle w:val="Heading3"/>
        <w:pBdr>
          <w:bottom w:val="single" w:sz="4" w:space="5" w:color="C8AE75"/>
        </w:pBdr>
      </w:pPr>
      <w:bookmarkStart w:id="124" w:name="the-monarchian-impulse"/>
      <w:r>
        <w:t>The Monarchian Impulse</w:t>
      </w:r>
    </w:p>
    <w:p w14:paraId="247A1EEA" w14:textId="77777777" w:rsidR="009C7F52" w:rsidRDefault="00731002">
      <w:pPr>
        <w:pStyle w:val="FirstParagraph"/>
      </w:pPr>
      <w:r>
        <w:t>Historians group the family of teachings this chapter examines under the label Monarchianism, from the Greek μοναρχία (monarchia, “single rule” or “sole sovereignty”). Monarchians of every stripe were reacting to a genuine anxiety: if Christians called Jesus God, and also worshiped the Father as God, did that not amount to worshiping two gods, or even three — a lapse back into the polytheism the earliest Christians had risked their lives to reject? Two different solutions emerged to protect the “monarchy,” the single rule, of the one God, and this chapter takes each in turn: Dynamic Monarchianism, sometimes called Adoptionism, and Modalism, also known as Sabellianism after its most influential teacher.</w:t>
      </w:r>
    </w:p>
    <w:p w14:paraId="7C00BF63" w14:textId="77777777" w:rsidR="009C7F52" w:rsidRDefault="00731002">
      <w:pPr>
        <w:pStyle w:val="BodyText"/>
      </w:pPr>
      <w:r>
        <w:t xml:space="preserve">Both solutions, whatever their real differences, shared a common diagnosis of the problem and a common instinct about where the danger lay. Each assumed that calling more than one figure “God” necessarily meant either counting multiple separate divine beings (a lapse into polytheism no monotheist could accept) or introducing some kind of internal division within the single God worshiped by Israel and the church. Neither Dynamic Monarchianism nor Modalism could yet imagine a third option — real, eternal, personal distinction </w:t>
      </w:r>
      <w:r>
        <w:rPr>
          <w:i/>
          <w:iCs/>
        </w:rPr>
        <w:t>within</w:t>
      </w:r>
      <w:r>
        <w:t xml:space="preserve"> a single, undivided divine essence — because the technical vocabulary for stating that option precisely, the same vocabulary the previous and following chapters trace being forged under pressure, did not yet fully exist. Both movements, in other words, were not simply careless errors; they were the natural, almost inevitable results of trying to hold together Israel’s uncompromising monotheism and the New Testament’s equally uncompromising exaltation of Christ and the Spirit without yet possessing the conceptual tools later generations would inherit ready-made.</w:t>
      </w:r>
    </w:p>
    <w:p w14:paraId="43BB24A3" w14:textId="77777777" w:rsidR="009C7F52" w:rsidRDefault="00731002">
      <w:pPr>
        <w:pStyle w:val="Heading3"/>
        <w:pBdr>
          <w:bottom w:val="single" w:sz="4" w:space="5" w:color="C8AE75"/>
        </w:pBdr>
      </w:pPr>
      <w:bookmarkStart w:id="125" w:name="dynamic-monarchianism-an-adopted-son"/>
      <w:bookmarkEnd w:id="124"/>
      <w:r>
        <w:t>Dynamic Monarchianism: An Adopted Son</w:t>
      </w:r>
    </w:p>
    <w:p w14:paraId="7D795BCD" w14:textId="77777777" w:rsidR="009C7F52" w:rsidRDefault="00731002">
      <w:pPr>
        <w:pStyle w:val="FirstParagraph"/>
      </w:pPr>
      <w:r>
        <w:t>Dynamic Monarchianism solved the problem by denying that Jesus had been divine before a specific point in his life. On this view, Jesus was born an entirely ordinary human being, and at some point — most commonly located at his baptism — God’s power (in Greek, δύναμις, dynamis, “power” — which gives the teaching its name) or Spirit came upon him, elevating him to a special, adopted divine sonship by degree rather than by nature. Theodotus of Byzantium, nicknamed “the Tanner” or “the Cobbler,” brought a version of this teaching to Rome around 190 and was excommunicated for it by Pope Victor I. The most historically significant adoptionist, though, was Paul of Samosata, who served as bishop of Antioch from around 260 to 268 and taught that the divine Word or Logos was not a distinct, personal being at all but an impersonal attribute of God — his reason, or speech — that indwelt the man Jesus more fully than it indwells any prophet, without Jesus himself being eternally and personally divine.</w:t>
      </w:r>
    </w:p>
    <w:p w14:paraId="33C3B877" w14:textId="77777777" w:rsidR="009C7F52" w:rsidRDefault="00731002">
      <w:pPr>
        <w:pStyle w:val="BodyText"/>
      </w:pPr>
      <w:r>
        <w:t>Paul of Samosata’s teaching struck the wider church as dangerous enough to provoke one of the earliest disciplinary actions on a scale approaching a later ecumenical council: the Synod of Antioch in A.D. 268 condemned and deposed him, rejecting any framework in which the Son is not eternally and personally, fully God</w:t>
      </w:r>
      <w:hyperlink w:anchor="cite_138" w:history="1">
        <w:r>
          <w:rPr>
            <w:color w:val="671C2A"/>
            <w:sz w:val="16"/>
            <w:vertAlign w:val="superscript"/>
          </w:rPr>
          <w:t>138</w:t>
        </w:r>
      </w:hyperlink>
      <w:r>
        <w:t>. The council’s concerns anticipated, in embryonic form, exactly the vocabulary Nicaea would need to develop more fully half a century later, and the Nicene Creed’s own anathema clause — condemning “those who say, ‘There was when he was not,’ and ‘Before being born he was not’” — was worded broadly enough to catch every adoptionist variant still circulating in 325</w:t>
      </w:r>
      <w:hyperlink w:anchor="cite_139" w:history="1">
        <w:r>
          <w:rPr>
            <w:color w:val="671C2A"/>
            <w:sz w:val="16"/>
            <w:vertAlign w:val="superscript"/>
          </w:rPr>
          <w:t>139</w:t>
        </w:r>
      </w:hyperlink>
      <w:r>
        <w:t>.</w:t>
      </w:r>
    </w:p>
    <w:p w14:paraId="768883C5" w14:textId="77777777" w:rsidR="009C7F52" w:rsidRDefault="00731002">
      <w:pPr>
        <w:pStyle w:val="BodyText"/>
      </w:pPr>
      <w:r>
        <w:t>The refutation runs directly through John’s Gospel. “In the beginning was the Word, and the Word was with God, and the Word was God… All things were made through him” (John 1:1, 3) places the Son’s personal existence not merely before his baptism but before creation itself. There is no available “adoption point,” because the one supposedly being adopted already existed as the eternal Word through whom everything — including time — came into being. Philippians 2:6–7 assumes the same order in reverse: Christ “was in the form of God” and only then “emptied himself, by taking the form of a servant” — a pre-existent divine person choosing to become human, not a human being elevated afterward to divinity. And Jesus’s own prayer in John 17:5, asking the Father to “glorify me in your own presence with the glory that I had with you before the world existed,” only makes sense from the mouth of someone who already possessed that glory before any adoption event could have occurred.</w:t>
      </w:r>
    </w:p>
    <w:p w14:paraId="6E3414E6" w14:textId="77777777" w:rsidR="009C7F52" w:rsidRDefault="00731002">
      <w:pPr>
        <w:pStyle w:val="Heading3"/>
        <w:pBdr>
          <w:bottom w:val="single" w:sz="4" w:space="5" w:color="C8AE75"/>
        </w:pBdr>
      </w:pPr>
      <w:bookmarkStart w:id="126" w:name="modalism-one-person-three-masks"/>
      <w:bookmarkEnd w:id="125"/>
      <w:r>
        <w:t>Modalism: One Person, Three Masks</w:t>
      </w:r>
    </w:p>
    <w:p w14:paraId="5F12B0D1" w14:textId="77777777" w:rsidR="009C7F52" w:rsidRDefault="00731002">
      <w:pPr>
        <w:pStyle w:val="FirstParagraph"/>
      </w:pPr>
      <w:r>
        <w:t>The second, and ultimately more influential, Monarchian solution took a different route. Rather than denying the Son’s deity, Modalism denied that Father, Son, and Spirit are really, personally distinct at all. On this view, there is only one divine person, who reveals himself successively — as Father in creation and the giving of the Law, as Son in redemption, and as Spirit in the ongoing life of the church — much as an actor might put on different masks (the Greek word πρόσωπον, prosopon, “face” or “mask,” and by extension “person,” originally meant a theatrical mask) to play different roles in the same performance.</w:t>
      </w:r>
    </w:p>
    <w:p w14:paraId="6B16261A" w14:textId="77777777" w:rsidR="009C7F52" w:rsidRDefault="00731002">
      <w:pPr>
        <w:pStyle w:val="BodyText"/>
      </w:pPr>
      <w:r>
        <w:t>Modalism is appealing for an obvious reason: it offers the simplest possible account of monotheism. There is no risk of tritheism, no need for complicated technical vocabulary, and an intuitive answer to the puzzle of “how can three be one?” — because on this view, they are not really three at all, only one God displaying three faces in turn. Modalism also senses something genuinely true, which orthodox Trinitarianism also affirms: the deep unity of divine will and action across everything Father, Son, and Spirit do. It simply overcorrects that true insight into an outright denial of any real, eternal, personal distinction.</w:t>
      </w:r>
    </w:p>
    <w:p w14:paraId="4BC0AE07" w14:textId="77777777" w:rsidR="009C7F52" w:rsidRDefault="00731002">
      <w:pPr>
        <w:pStyle w:val="BodyText"/>
      </w:pPr>
      <w:r>
        <w:t>Noetus of Smyrna taught a modalist Christology in the late second century and was condemned by a local synod for it. Praxeas brought a similar teaching to Rome around 190–200. Tertullian’s famous jab at him — that Praxeas “put to flight the Paraclete, and crucified the Father” — captures the double edge of the charge: Modalism silences the Spirit’s distinct personhood at the very moment it makes the Father himself, rather than the Son, the one who suffers on the cross</w:t>
      </w:r>
      <w:hyperlink w:anchor="cite_140" w:history="1">
        <w:r>
          <w:rPr>
            <w:color w:val="671C2A"/>
            <w:sz w:val="16"/>
            <w:vertAlign w:val="superscript"/>
          </w:rPr>
          <w:t>140</w:t>
        </w:r>
      </w:hyperlink>
      <w:r>
        <w:t>. That consequence has a name of its own: Patripassianism, “the Father suffered” — because if there is truly only one divine person, and that person died at Calvary, then the Father himself must have suffered and died. Sabellius, teaching in Rome around 220, gave the whole family of teaching its most durable label. He taught, with more philosophical sophistication than his predecessors, that God is a single underlying reality (what later vocabulary would call one ὑπόστασις, hypostasis, “person” or “individual reality”) expressed in three successive, non-simultaneous masks or faces — comparing the process, in one image, to the way a single body of sunlight can be experienced as light, as heat, and as the shape it casts. Callixtus I, bishop of Rome, excommunicated Sabellius around 220 for this teaching — a formal line drawn by the institutional church in the very city where Sabellianism had found its most capable defender</w:t>
      </w:r>
      <w:hyperlink w:anchor="cite_141" w:history="1">
        <w:r>
          <w:rPr>
            <w:color w:val="671C2A"/>
            <w:sz w:val="16"/>
            <w:vertAlign w:val="superscript"/>
          </w:rPr>
          <w:t>141</w:t>
        </w:r>
      </w:hyperlink>
      <w:r>
        <w:t xml:space="preserve">. The pattern repeats itself with striking regularity across this whole period: it was consistently the bishops of Rome — Victor I against Theodotus’s Dynamic Monarchianism, Callixtus I against Sabellius’s Modalism — who drew the institutional line against Monarchian teaching in both its forms, even though the fully worked-out theological vocabulary needed to explain, in positive and constructive terms, exactly what should be believed </w:t>
      </w:r>
      <w:r>
        <w:rPr>
          <w:i/>
          <w:iCs/>
        </w:rPr>
        <w:t>instead</w:t>
      </w:r>
      <w:r>
        <w:t xml:space="preserve"> would not arrive for another century.</w:t>
      </w:r>
    </w:p>
    <w:p w14:paraId="39E122AD" w14:textId="77777777" w:rsidR="009C7F52" w:rsidRDefault="00731002">
      <w:pPr>
        <w:pStyle w:val="Heading3"/>
        <w:pBdr>
          <w:bottom w:val="single" w:sz="4" w:space="5" w:color="C8AE75"/>
        </w:pBdr>
      </w:pPr>
      <w:bookmarkStart w:id="127" w:name="X4c6e19e294ef85af43ac9b66863d3913552c6cc"/>
      <w:bookmarkEnd w:id="126"/>
      <w:r>
        <w:t>Tertullian’s Answer: Real Distinction, One Substance</w:t>
      </w:r>
    </w:p>
    <w:p w14:paraId="0CFC226A" w14:textId="77777777" w:rsidR="009C7F52" w:rsidRDefault="00731002">
      <w:pPr>
        <w:pStyle w:val="FirstParagraph"/>
      </w:pPr>
      <w:r>
        <w:t xml:space="preserve">The decisive early rebuttal to Modalism came from Tertullian of Carthage, writing his treatise </w:t>
      </w:r>
      <w:r>
        <w:rPr>
          <w:i/>
          <w:iCs/>
        </w:rPr>
        <w:t>Against Praxeas</w:t>
      </w:r>
      <w:r>
        <w:t xml:space="preserve"> around A.D. 213. Tertullian’s importance for this book’s story goes beyond simply winning one argument: he is the first Christian writer to develop, in Latin, the technical vocabulary that would shape all subsequent Western Trinitarian theology — </w:t>
      </w:r>
      <w:r>
        <w:rPr>
          <w:i/>
          <w:iCs/>
        </w:rPr>
        <w:t>trinitas</w:t>
      </w:r>
      <w:r>
        <w:t xml:space="preserve"> (“Trinity”), </w:t>
      </w:r>
      <w:r>
        <w:rPr>
          <w:i/>
          <w:iCs/>
        </w:rPr>
        <w:t>persona</w:t>
      </w:r>
      <w:r>
        <w:t xml:space="preserve"> (“person”), and </w:t>
      </w:r>
      <w:r>
        <w:rPr>
          <w:i/>
          <w:iCs/>
        </w:rPr>
        <w:t>substantia</w:t>
      </w:r>
      <w:r>
        <w:t xml:space="preserve"> (“substance” or “essence”). His governing formula, </w:t>
      </w:r>
      <w:r>
        <w:rPr>
          <w:i/>
          <w:iCs/>
        </w:rPr>
        <w:t>tres personae, una substantia</w:t>
      </w:r>
      <w:r>
        <w:t xml:space="preserve"> — “three persons, one substance” — gave the Western church, in a single crisp phrase, exactly the distinction Modalism collapsed and Tritheism (a later error examined elsewhere in the wider history of this doctrine) multiplied too far in the other direction.</w:t>
      </w:r>
    </w:p>
    <w:p w14:paraId="3FC0EEA3" w14:textId="77777777" w:rsidR="009C7F52" w:rsidRDefault="00731002">
      <w:pPr>
        <w:pStyle w:val="BodyText"/>
      </w:pPr>
      <w:r>
        <w:t>Tertullian’s method is worth noticing because it is essentially exegetical rather than merely philosophical: he catalogs, at great length, every passage in which the Father and Son address, send, and are distinguished from one another, and argues that no single-person reading can survive the accumulated weight of that biblical data. He also insists, against the modalist charge that Trinitarian language risks polytheism, that he is not inventing a new doctrine but simply defending what the church had received “from the beginning of the gospel” — a rule of faith already implicit, as the previous chapter showed, in writers like Ignatius and Irenaeus, long before Tertullian gave it Latin technical form</w:t>
      </w:r>
      <w:hyperlink w:anchor="cite_142" w:history="1">
        <w:r>
          <w:rPr>
            <w:color w:val="671C2A"/>
            <w:sz w:val="16"/>
            <w:vertAlign w:val="superscript"/>
          </w:rPr>
          <w:t>142</w:t>
        </w:r>
      </w:hyperlink>
      <w:r>
        <w:t>.</w:t>
      </w:r>
    </w:p>
    <w:p w14:paraId="678FAA8B" w14:textId="77777777" w:rsidR="009C7F52" w:rsidRDefault="00731002">
      <w:pPr>
        <w:pStyle w:val="BodyText"/>
      </w:pPr>
      <w:r>
        <w:t>The New Testament supplies exactly the kind of simultaneous, mutually distinguishing data Tertullian needed. At the Jordan River, the Son stands in the water, the Spirit visibly descends as a dove, and the Father speaks audibly from heaven — three simultaneous, spatially and audibly distinct actors, not one person changing masks in sequence (Matthew 3:16–17). In Gethsemane, the Son prays to the Father, asking that “this cup” pass from him, yet submitting to a will he distinguishes from his own (Matthew 26:39) — an act of address and submission that a strict identity of persons simply cannot sustain without collapsing into theatrical self-address. Most devastatingly of all, the cry of dereliction from the cross — “My God, my God, why have you forsaken me?” (Matthew 27:46) — requires either that the Father abandoned himself, which is nonsensical, or that Father and Son are really distinct enough for one to be, in some profound sense, forsaken by the other while their essential unity of purpose in redemption remains completely intact. And Scripture never once actually attributes suffering, crucifixion, or death to the Father — every crucifixion text names the Son specifically (Galatians 2:20; 1 Corinthians 2:8) — which is itself telling: the early church’s horror at Patripassianism as a distinct, nameable error survives precisely because it was recognized as so clearly incompatible with how the New Testament everywhere speaks.</w:t>
      </w:r>
    </w:p>
    <w:p w14:paraId="0D8E93B4" w14:textId="77777777" w:rsidR="009C7F52" w:rsidRDefault="00731002">
      <w:pPr>
        <w:pStyle w:val="Heading3"/>
        <w:pBdr>
          <w:bottom w:val="single" w:sz="4" w:space="5" w:color="C8AE75"/>
        </w:pBdr>
      </w:pPr>
      <w:bookmarkStart w:id="128" w:name="why-the-church-insisted-on-both"/>
      <w:bookmarkEnd w:id="127"/>
      <w:r>
        <w:t>Why the Church Insisted on Both</w:t>
      </w:r>
    </w:p>
    <w:p w14:paraId="31C527E0" w14:textId="77777777" w:rsidR="009C7F52" w:rsidRDefault="00731002">
      <w:pPr>
        <w:pStyle w:val="FirstParagraph"/>
      </w:pPr>
      <w:r>
        <w:t>It would have been theologically and pastorally easier, in a certain sense, for the church to let Modalism stand. It offered a tidy resolution to a genuinely hard puzzle, and it cost nothing in terms of complicated vocabulary or philosophical labor. The church refused that shortcut for a reason that runs through every chapter of this book: Scripture’s own witness will not permit it. The Father sends, and is not sent; the Son is sent, and prays, and submits, and is forsaken in a way that presupposes a genuine other to be forsaken by; the Spirit descends, intercedes, and is grieved as a distinct agent, not a mere aspect of the Father or the Son. To hold all of this together without lapsing into three separate gods on one side, or one solitary God wearing costumes on the other, the church needed exactly the vocabulary Tertullian began to supply: one divine substance, three real, eternal, personal distinctions, ordered by relations of origin rather than separated by degree of divinity or reduced to sequential roles.</w:t>
      </w:r>
    </w:p>
    <w:p w14:paraId="73977ACA" w14:textId="77777777" w:rsidR="009C7F52" w:rsidRDefault="00731002">
      <w:pPr>
        <w:pStyle w:val="BodyText"/>
      </w:pPr>
      <w:r>
        <w:t>It is worth pausing to notice something both Dynamic Monarchianism and Modalism illustrate about the nature of theological error generally, a pattern this book returns to again and again. Neither movement set out to dishonor Christ or to diminish the church’s worship; both were driven by an entirely sincere, entirely understandable desire to protect the single most basic conviction of biblical faith, that there is only one God. Dynamic Monarchianism protected that conviction by demoting the Son; Modalism protected it by dissolving the persons into successive appearances of one person. Both errors, in other words, grabbed hold of one true, non-negotiable biblical conviction — strict monotheism — and let it crowd out an equally non-negotiable body of biblical data: the New Testament’s insistence that Father, Son, and Spirit are simultaneously, personally, and eternally distinct from one another even as they share completely in the one being of God. Every major heresy this book examines, in fact, follows a recognizable version of this same pattern: not an invention from nothing, but an overcorrection, a partial truth pressed so hard that it displaces some other truth Scripture holds in tension alongside it. Learning to see that pattern is, in a sense, more valuable than memorizing any single condemned position by name, because it is the same pattern the church would have to diagnose all over again in the next great controversy, the one to which this part of the book now turns.</w:t>
      </w:r>
    </w:p>
    <w:p w14:paraId="154E7CFD" w14:textId="77777777" w:rsidR="009C7F52" w:rsidRDefault="00731002">
      <w:pPr>
        <w:pStyle w:val="BodyText"/>
      </w:pPr>
      <w:r>
        <w:t>That vocabulary would need still more precision before the crisis of the fourth century was over — because the next serious challenge to Trinitarian orthodoxy would not deny the persons’ distinctness at all. It would deny, instead, that all three were equally, fully, eternally God.</w:t>
      </w:r>
    </w:p>
    <w:p w14:paraId="7F1DB512" w14:textId="77777777" w:rsidR="009C7F52" w:rsidRDefault="00731002">
      <w:pPr>
        <w:pStyle w:val="Heading2"/>
        <w:pBdr>
          <w:bottom w:val="single" w:sz="10" w:space="8" w:color="A68037"/>
        </w:pBdr>
      </w:pPr>
      <w:bookmarkStart w:id="129" w:name="X2908a3440ad467a8dee2a7c09914d8731e2f38a"/>
      <w:bookmarkEnd w:id="123"/>
      <w:bookmarkEnd w:id="128"/>
      <w:r>
        <w:t>Chapter 17: Arius and the Crisis Over the Son</w:t>
      </w:r>
    </w:p>
    <w:p w14:paraId="31B87877" w14:textId="77777777" w:rsidR="009C7F52" w:rsidRDefault="00731002">
      <w:pPr>
        <w:pStyle w:val="FirstParagraph"/>
      </w:pPr>
      <w:r>
        <w:t>Some controversies fade quietly. This one nearly tore the Roman Empire’s church apart, consumed the better part of a century, cost a great man five separate exiles from his own diocese, and turned on a single Greek word that differs from its rival by one letter. The Arian controversy is, by any measure, the most consequential theological dispute in the early church’s history, because it forced Christians to answer, with total precision, a question every earlier controversy in this book had only approached from the edges: is the Son of God eternally, fully, and identically God — or is he, however exalted, something less?</w:t>
      </w:r>
    </w:p>
    <w:p w14:paraId="0CF2298D" w14:textId="77777777" w:rsidR="009C7F52" w:rsidRDefault="00731002">
      <w:pPr>
        <w:pStyle w:val="Heading3"/>
        <w:pBdr>
          <w:bottom w:val="single" w:sz="4" w:space="5" w:color="C8AE75"/>
        </w:pBdr>
      </w:pPr>
      <w:bookmarkStart w:id="130" w:name="arius-and-his-slogan"/>
      <w:r>
        <w:t>Arius and His Slogan</w:t>
      </w:r>
    </w:p>
    <w:p w14:paraId="4130C22A" w14:textId="77777777" w:rsidR="009C7F52" w:rsidRDefault="00731002">
      <w:pPr>
        <w:pStyle w:val="FirstParagraph"/>
      </w:pPr>
      <w:r>
        <w:t>Arius was a presbyter (an ordained elder, a rank below bishop) in Alexandria, Egypt, born around A.D. 256, serving a large and influential congregation in a city that was, at the time, one of the great intellectual centers of the Christian world</w:t>
      </w:r>
      <w:hyperlink w:anchor="cite_143" w:history="1">
        <w:r>
          <w:rPr>
            <w:color w:val="671C2A"/>
            <w:sz w:val="16"/>
            <w:vertAlign w:val="superscript"/>
          </w:rPr>
          <w:t>143</w:t>
        </w:r>
      </w:hyperlink>
      <w:r>
        <w:t>. Around 318, Arius began teaching a Christology that struck his own bishop, Alexander of Alexandria, as a serious departure from received doctrine. Arius’s claim was this: the Son is God’s first and greatest creation, brought into being by the Father, before all other things, out of nothing — but the Son himself had a beginning, and does not share the Father’s own uncreated, eternal essence.</w:t>
      </w:r>
    </w:p>
    <w:p w14:paraId="0695AB17" w14:textId="77777777" w:rsidR="009C7F52" w:rsidRDefault="00731002">
      <w:pPr>
        <w:pStyle w:val="BodyText"/>
      </w:pPr>
      <w:r>
        <w:t xml:space="preserve">Arius captured his position in a slogan that would become the single most famous sentence of the entire controversy: </w:t>
      </w:r>
      <w:r>
        <w:rPr>
          <w:i/>
          <w:iCs/>
        </w:rPr>
        <w:t>ἦν ποτε ὅτε οὐκ ἦν</w:t>
      </w:r>
      <w:r>
        <w:t xml:space="preserve"> (ēn pote hote ouk ēn, “there was when he was not”). The phrase asserts that there was a “before” — logically, if not necessarily measured in ordinary time — in which the Son did not yet exist. On Arius’s system, the Son is called “God” in Scripture, but only in a secondary, derivative sense: by grace, or by participation in the Father’s glory, not because he possesses the Father’s own uncreated nature.</w:t>
      </w:r>
    </w:p>
    <w:p w14:paraId="36D13F10" w14:textId="77777777" w:rsidR="009C7F52" w:rsidRDefault="00731002">
      <w:pPr>
        <w:pStyle w:val="BodyText"/>
      </w:pPr>
      <w:r>
        <w:t>It is worth pausing, as this book has done with every heresy so far, to ask what made this teaching attractive to sincere people rather than dismissing it as an obviously self-interested distortion. Arianism offered an almost mathematically clean monotheism: only the Father is truly, necessarily, and eternally God, full stop, with no complicated qualifications required. At the same time, it did not reduce Christ to a mere man the way Ebionism had — Arius happily granted the Son the highest conceivable rank short of full deity, a superlative creature exalted above every other created thing, which let him affirm the New Testament’s obvious reverence for Christ while still preserving what looked, to him, like an uncompromised monotheism. Arius could also appeal to real biblical language: texts calling the Son “begotten,” “firstborn of all creation” (Colossians 1:15), and describing him as receiving authority, being sent, and doing the Father’s will — language that, read in isolation and without the framework the rest of Scripture supplies, can sound like straightforward subordination rather than an eternal relation of origin within one shared nature.</w:t>
      </w:r>
    </w:p>
    <w:p w14:paraId="146D1B03" w14:textId="77777777" w:rsidR="009C7F52" w:rsidRDefault="00731002">
      <w:pPr>
        <w:pStyle w:val="BodyText"/>
      </w:pPr>
      <w:r>
        <w:t>Arius also had philosophical resources on his side that made his position feel intellectually respectable rather than merely convenient. Alexandria was a city steeped in Middle Platonist and Neoplatonist philosophy, in which the ultimate, transcendent first principle was often conceived as radically simple, unified, and beyond all plurality — a conception that made the idea of a second, fully equal divine person alongside the Father feel, to many educated readers of the period, like a philosophical category error before it was even a biblical one. Arius could present his system as the philosophically disciplined option, preserving the Father’s absolute, unshared transcendence, against what he characterized as a Trinitarian position sliding, however unintentionally, toward something like two or three separate, competing absolutes. This is part of why the controversy proved so difficult to settle by argument alone: both sides believed, with equal sincerity, that they alone were defending true monotheism against the other side’s drift toward either polytheism or an incoherent, self-divided God.</w:t>
      </w:r>
    </w:p>
    <w:p w14:paraId="38B1FF88" w14:textId="77777777" w:rsidR="009C7F52" w:rsidRDefault="00731002">
      <w:pPr>
        <w:pStyle w:val="Heading3"/>
        <w:pBdr>
          <w:bottom w:val="single" w:sz="4" w:space="5" w:color="C8AE75"/>
        </w:pBdr>
      </w:pPr>
      <w:bookmarkStart w:id="131" w:name="alexander-and-then-athanasius-respond"/>
      <w:bookmarkEnd w:id="130"/>
      <w:r>
        <w:t>Alexander, and Then Athanasius, Respond</w:t>
      </w:r>
    </w:p>
    <w:p w14:paraId="1FA4DC26" w14:textId="77777777" w:rsidR="009C7F52" w:rsidRDefault="00731002">
      <w:pPr>
        <w:pStyle w:val="FirstParagraph"/>
      </w:pPr>
      <w:r>
        <w:t>Bishop Alexander condemned Arius’s teaching locally, but Arius had followers, allies among fellow bishops, and a gift for public persuasion, and the dispute spread rapidly beyond Alexandria into a controversy that would consume the Eastern church’s political and theological energy for most of the fourth century</w:t>
      </w:r>
      <w:hyperlink w:anchor="cite_144" w:history="1">
        <w:r>
          <w:rPr>
            <w:color w:val="671C2A"/>
            <w:sz w:val="16"/>
            <w:vertAlign w:val="superscript"/>
          </w:rPr>
          <w:t>144</w:t>
        </w:r>
      </w:hyperlink>
      <w:r>
        <w:t xml:space="preserve">. Alexander responded with a circular letter, sometimes known by its opening Greek words </w:t>
      </w:r>
      <w:r>
        <w:rPr>
          <w:i/>
          <w:iCs/>
        </w:rPr>
        <w:t>Henos Sōmatos</w:t>
      </w:r>
      <w:r>
        <w:t xml:space="preserve"> (“of one body”), addressed to bishops throughout the empire, insisting that the Son is “always” and did not come into being “from non-existence” — a direct rejection of Arius’s own slogan, staked out publicly before any council had yet convened to settle the matter</w:t>
      </w:r>
      <w:hyperlink w:anchor="cite_145" w:history="1">
        <w:r>
          <w:rPr>
            <w:color w:val="671C2A"/>
            <w:sz w:val="16"/>
            <w:vertAlign w:val="superscript"/>
          </w:rPr>
          <w:t>145</w:t>
        </w:r>
      </w:hyperlink>
      <w:r>
        <w:t>.</w:t>
      </w:r>
    </w:p>
    <w:p w14:paraId="129E6C2F" w14:textId="77777777" w:rsidR="009C7F52" w:rsidRDefault="00731002">
      <w:pPr>
        <w:pStyle w:val="BodyText"/>
      </w:pPr>
      <w:r>
        <w:t xml:space="preserve">Standing alongside Alexander throughout this early phase of the controversy was his young deacon, Athanasius — probably still in his twenties at the time, but already the sharpest theological mind in Alexander’s circle. Athanasius would go on to become the controversy’s most tenacious defender of Nicene orthodoxy for the rest of his long life, suffering five separate exiles from his own see under a succession of hostile emperors and Arian-leaning church factions, a record of persistence that gave rise to the Latin proverb </w:t>
      </w:r>
      <w:r>
        <w:rPr>
          <w:i/>
          <w:iCs/>
        </w:rPr>
        <w:t>Athanasius contra mundum</w:t>
      </w:r>
      <w:r>
        <w:t xml:space="preserve"> — “Athanasius against the world”</w:t>
      </w:r>
      <w:hyperlink w:anchor="cite_146" w:history="1">
        <w:r>
          <w:rPr>
            <w:color w:val="671C2A"/>
            <w:sz w:val="16"/>
            <w:vertAlign w:val="superscript"/>
          </w:rPr>
          <w:t>146</w:t>
        </w:r>
      </w:hyperlink>
      <w:r>
        <w:t>. Athanasius’s central theological instinct, developed across decades of controversy, ties the metaphysical question directly to the logic of salvation itself: only if the Son is fully, truly, uncreated God can he make believers “partakers of God” — a created Son, however exalted, could unite believers only to another creature, not to God himself, and the entire logic of salvation as the New Testament describes it would collapse.</w:t>
      </w:r>
    </w:p>
    <w:p w14:paraId="62A8FA66" w14:textId="77777777" w:rsidR="009C7F52" w:rsidRDefault="00731002">
      <w:pPr>
        <w:pStyle w:val="Heading3"/>
        <w:pBdr>
          <w:bottom w:val="single" w:sz="4" w:space="5" w:color="C8AE75"/>
        </w:pBdr>
      </w:pPr>
      <w:bookmarkStart w:id="132" w:name="X79ac9c848231fb9da5de08f54f892664d7d8530"/>
      <w:bookmarkEnd w:id="131"/>
      <w:r>
        <w:t>Why the Controversy Could Not Be Settled Locally</w:t>
      </w:r>
    </w:p>
    <w:p w14:paraId="079B0528" w14:textId="77777777" w:rsidR="009C7F52" w:rsidRDefault="00731002">
      <w:pPr>
        <w:pStyle w:val="FirstParagraph"/>
      </w:pPr>
      <w:r>
        <w:t>By the early 320s, the dispute had grown too large, too politically disruptive, and too theologically consequential to be resolved by a single bishop’s condemnation. The Roman Empire itself had only recently emerged from centuries of intermittent persecution — the emperor Constantine had legalized Christianity through the Edict of Milan in 313, and Christianity was, for the first time, a religion an emperor might reasonably want unified rather than divided, both for its own sake and because a fractured church made for a harder-to-govern empire</w:t>
      </w:r>
      <w:hyperlink w:anchor="cite_147" w:history="1">
        <w:r>
          <w:rPr>
            <w:color w:val="671C2A"/>
            <w:sz w:val="16"/>
            <w:vertAlign w:val="superscript"/>
          </w:rPr>
          <w:t>147</w:t>
        </w:r>
      </w:hyperlink>
      <w:r>
        <w:t>. Constantine, who had a personal stake in imperial unity and only a limited grasp of the theological subtleties at issue, convened a general council of bishops from across the Christian world to meet at Nicaea, a city in Asia Minor not far from his own capital, in the summer of 325 — the first ecumenical (empire-wide) council in the history of the church.</w:t>
      </w:r>
    </w:p>
    <w:p w14:paraId="61218ACC" w14:textId="77777777" w:rsidR="009C7F52" w:rsidRDefault="00731002">
      <w:pPr>
        <w:pStyle w:val="Heading3"/>
        <w:pBdr>
          <w:bottom w:val="single" w:sz="4" w:space="5" w:color="C8AE75"/>
        </w:pBdr>
      </w:pPr>
      <w:bookmarkStart w:id="133" w:name="the-word-that-closed-the-loophole"/>
      <w:bookmarkEnd w:id="132"/>
      <w:r>
        <w:t>The Word That Closed the Loophole</w:t>
      </w:r>
    </w:p>
    <w:p w14:paraId="5ED6A7F2" w14:textId="77777777" w:rsidR="009C7F52" w:rsidRDefault="00731002">
      <w:pPr>
        <w:pStyle w:val="FirstParagraph"/>
      </w:pPr>
      <w:r>
        <w:t xml:space="preserve">The council’s central achievement, discussed at length in the next chapter, was to adopt a single Greek technical term that would settle the question with a precision no merely scriptural phrase, taken alone, had proven able to supply: ὁμοούσιος (homoousios, “of the same substance” or “of one essence”). The choice was deliberate and, in a sense, a concession to necessity: every purely scriptural title Arius used for the Son — “only-begotten” (John 1:14, 18), “firstborn of all creation” (Colossians 1:15), “image of the invisible God” (Colossians 1:15) — had already proven exploitable to a subordinationist reading, because none of those phrases, by themselves, settles the question of whether “begotten” and “firstborn” describe an eternal relation of origin within a single shared nature or a datable event of creation within time. Homoousios closed the loophole completely, because it makes an explicitly ontological claim that admits no gradation: the Son does not merely resemble, imitate, or derive from the Father’s nature at one remove; he </w:t>
      </w:r>
      <w:r>
        <w:rPr>
          <w:i/>
          <w:iCs/>
        </w:rPr>
        <w:t>is</w:t>
      </w:r>
      <w:r>
        <w:t xml:space="preserve"> that same nature, entire and without remainder.</w:t>
      </w:r>
    </w:p>
    <w:p w14:paraId="6BF5E812" w14:textId="77777777" w:rsidR="009C7F52" w:rsidRDefault="00731002">
      <w:pPr>
        <w:pStyle w:val="BodyText"/>
      </w:pPr>
      <w:r>
        <w:t>The council’s opponents, and the many bishops caught somewhere in the theological middle, proposed a tempting compromise term instead: ὁμοιούσιος (homoiousios, “of similar substance”), differing from homoousios by a single iota — literally, the small Greek letter ι. The difference looks trivial on the page, and later generations sometimes mock the whole controversy as a dispute over “one iota.” It was nothing of the kind. “Similar” substance still permits the Son to be a distinct, derivative, and ultimately lesser kind of being than the Father — a very exalted creature, perhaps, but a creature nonetheless, standing in the same general relation to the Father that any resembling-but-separate thing stands to its model. “Same” substance admits no such gap: there is, on this reading, only one divine nature, possessed completely and without division by the Father and the Son alike. The church’s rejection of the one-iota compromise, after decades of political and theological struggle recounted more fully in the following chapters, is one of the clearest examples in all of Christian history of how much theological weight a single, carefully chosen word can be asked to bear.</w:t>
      </w:r>
    </w:p>
    <w:p w14:paraId="53D4EFBA" w14:textId="77777777" w:rsidR="009C7F52" w:rsidRDefault="00731002">
      <w:pPr>
        <w:pStyle w:val="BodyText"/>
      </w:pPr>
      <w:r>
        <w:t>Arius did not stand alone; he had capable defenders among the bishops themselves, most notably Eusebius of Nicomedia, a court-connected bishop whose political influence with the imperial family repeatedly worked in Arius’s favor throughout the following decades, and whose faction would keep the controversy alive politically long after Nicaea’s theological verdict had been rendered</w:t>
      </w:r>
      <w:hyperlink w:anchor="cite_148" w:history="1">
        <w:r>
          <w:rPr>
            <w:color w:val="671C2A"/>
            <w:sz w:val="16"/>
            <w:vertAlign w:val="superscript"/>
          </w:rPr>
          <w:t>148</w:t>
        </w:r>
      </w:hyperlink>
      <w:r>
        <w:t>. This political dimension matters for understanding why a single council’s decision, however theologically decisive, could not by itself end a controversy of this scale: bishops who controlled influential sees, and who had the ear of emperors, could keep a condemned position alive institutionally for years after it had already lost the argument on the merits.</w:t>
      </w:r>
    </w:p>
    <w:p w14:paraId="2AFD8FB5" w14:textId="77777777" w:rsidR="009C7F52" w:rsidRDefault="00731002">
      <w:pPr>
        <w:pStyle w:val="Heading3"/>
        <w:pBdr>
          <w:bottom w:val="single" w:sz="4" w:space="5" w:color="C8AE75"/>
        </w:pBdr>
      </w:pPr>
      <w:bookmarkStart w:id="134" w:name="the-biblical-case-against-arius"/>
      <w:bookmarkEnd w:id="133"/>
      <w:r>
        <w:t>The Biblical Case Against Arius</w:t>
      </w:r>
    </w:p>
    <w:p w14:paraId="5C7EE420" w14:textId="77777777" w:rsidR="009C7F52" w:rsidRDefault="00731002">
      <w:pPr>
        <w:pStyle w:val="FirstParagraph"/>
      </w:pPr>
      <w:r>
        <w:t>Arianism’s fatal weakness is that its central claim cannot survive sustained contact with the very Scriptures it claims to honor. John’s prologue is the decisive text: “In the beginning was the Word, and the Word was with God, and the Word was God” (John 1:1) places the Word’s existence at the very starting point of time itself — not as the first thing to come into being within time, as Arius’s slogan requires, but as already present “in the beginning,” before any “when” existed for the Son not to be. John 1:3 removes any remaining ambiguity: “All things were made through him, and without him was not any thing made that was made.” If the Word himself were a “thing that was made,” the sentence collapses into self-contradiction — the Word would then have had to make himself.</w:t>
      </w:r>
    </w:p>
    <w:p w14:paraId="0B028382" w14:textId="77777777" w:rsidR="009C7F52" w:rsidRDefault="00731002">
      <w:pPr>
        <w:pStyle w:val="BodyText"/>
      </w:pPr>
      <w:r>
        <w:t>Colossians 1:16–17 states the same point with even greater force: “For by him all things were created… he is before all things, and in him all things hold together.” Paul explicitly places the Son outside the class of created things by making him their creator and sustainer, and he asserts the Son’s absolute temporal priority — “before all things” — in the strongest terms the Greek language makes available. Hebrews 1:8, quoting Psalm 45:6, delivers perhaps the single most direct rebuttal: the Father himself is depicted addressing the Son as God — “But of the Son he says, ‘Your throne, O God, is forever and ever.’” The very passage Arian exegetes most needed to explain away instead has the Father directly calling the Son θεός (theos, “God”) in a context of eternal, enthroned rule. And John 8:58’s “before Abraham was, I am” deliberately echoes the divine covenant name God gives Moses at the burning bush — ἐγώ εἰμι (egō eimi, “I am”) — provoking Jesus’s hearers to try to stone him on the spot, a reaction that only makes sense if his audience understood him to be claiming the divine name itself, not merely superior age or rank.</w:t>
      </w:r>
    </w:p>
    <w:p w14:paraId="7A7BCA92" w14:textId="77777777" w:rsidR="009C7F52" w:rsidRDefault="00731002">
      <w:pPr>
        <w:pStyle w:val="BodyText"/>
      </w:pPr>
      <w:r>
        <w:t>Taken individually, any one of these texts might, in principle, be argued around by a sufficiently determined interpreter, and Arian exegetes tried to do exactly that with each of them in turn across the following decades. What makes the cumulative case decisive is that Arianism has to explain away not one isolated verse but an entire, mutually reinforcing pattern spanning multiple authors, genres, and decades of the New Testament’s composition — John’s prologue, Paul’s letters to the Colossians and to the Hebrews, and the Gospel of John’s own narrative all converge, independently, on the same conclusion. A single ambiguous text might be a matter of translation nuance; a pattern this broad, spanning nearly the entire New Testament witness, is a settled testimony the church could not honestly set aside for the sake of a tidier philosophical system.</w:t>
      </w:r>
    </w:p>
    <w:p w14:paraId="7A1733A7" w14:textId="77777777" w:rsidR="009C7F52" w:rsidRDefault="00731002">
      <w:pPr>
        <w:pStyle w:val="Heading3"/>
        <w:pBdr>
          <w:bottom w:val="single" w:sz="4" w:space="5" w:color="C8AE75"/>
        </w:pBdr>
      </w:pPr>
      <w:bookmarkStart w:id="135" w:name="the-long-aftermath"/>
      <w:bookmarkEnd w:id="134"/>
      <w:r>
        <w:t>The Long Aftermath</w:t>
      </w:r>
    </w:p>
    <w:p w14:paraId="67258E2B" w14:textId="77777777" w:rsidR="009C7F52" w:rsidRDefault="00731002">
      <w:pPr>
        <w:pStyle w:val="FirstParagraph"/>
      </w:pPr>
      <w:r>
        <w:t>Nicaea condemned Arius and exiled him, but the council’s verdict did not end the controversy — it merely gave the church, for the first time, a precise vocabulary with which to keep fighting it. Various “semi-Arian” compromise positions, built around ὁμοιούσιος (homoiousios, “of similar substance”) and similar formulas, dominated much of the following half-century, with emperors repeatedly favoring one faction or another for reasons that mixed genuine theological conviction with straightforward imperial politics. Athanasius spent the bulk of the rest of his life defending the Nicene settlement through repeated depositions and returns, and it would take the next great council, described in the final chapter of this part, finally to close the door on every remaining Arian variant and settle, with lasting authority, both the Son’s and the Spirit’s full and undiminished deity. But the theological breakthrough achieved at Nicaea in 325 — a single, deliberately chosen, philosophically precise word standing guard over everything the New Testament says about who the Son of God actually is — remains the hinge on which the entire history of Trinitarian doctrine turns. The next chapter goes inside the council itself to see exactly how that word was chosen, and what its adoption actually cost.</w:t>
      </w:r>
    </w:p>
    <w:p w14:paraId="26CBF53E" w14:textId="77777777" w:rsidR="009C7F52" w:rsidRDefault="00731002">
      <w:pPr>
        <w:pStyle w:val="Heading2"/>
        <w:pBdr>
          <w:bottom w:val="single" w:sz="10" w:space="8" w:color="A68037"/>
        </w:pBdr>
      </w:pPr>
      <w:bookmarkStart w:id="136" w:name="X2d76d19087a4f1f4e563f53dd97508f8b9ebb4a"/>
      <w:bookmarkEnd w:id="129"/>
      <w:bookmarkEnd w:id="135"/>
      <w:r>
        <w:t>Chapter 18: Nicaea (325) and the Nicene Creed</w:t>
      </w:r>
    </w:p>
    <w:p w14:paraId="798C1B65" w14:textId="77777777" w:rsidR="009C7F52" w:rsidRDefault="00731002">
      <w:pPr>
        <w:pStyle w:val="FirstParagraph"/>
      </w:pPr>
      <w:r>
        <w:t>Picture roughly two to three hundred bishops, most of them from the Greek-speaking East, traveling — some for weeks, at imperial expense — to a lakeside town in Asia Minor called Nicaea, summoned by an emperor who had legalized their faith only a dozen years earlier and who now wanted, urgently, to know why they could not stop fighting about it. What that assembly produced in the summer of 325 would become the single most important theological document in the history of the church short of Scripture itself, and the word it settled on to solve its central dispute would still be recited, translated into hundreds of languages, in ordinary Sunday worship seventeen centuries later.</w:t>
      </w:r>
    </w:p>
    <w:p w14:paraId="0F03E3A9" w14:textId="77777777" w:rsidR="009C7F52" w:rsidRDefault="00731002">
      <w:pPr>
        <w:pStyle w:val="Heading3"/>
        <w:pBdr>
          <w:bottom w:val="single" w:sz="4" w:space="5" w:color="C8AE75"/>
        </w:pBdr>
      </w:pPr>
      <w:bookmarkStart w:id="137" w:name="an-emperor-convenes-a-council"/>
      <w:r>
        <w:t>An Emperor Convenes a Council</w:t>
      </w:r>
    </w:p>
    <w:p w14:paraId="23418883" w14:textId="77777777" w:rsidR="009C7F52" w:rsidRDefault="00731002">
      <w:pPr>
        <w:pStyle w:val="FirstParagraph"/>
      </w:pPr>
      <w:r>
        <w:t>Constantine had become the first Roman emperor to favor Christianity, ending centuries of intermittent persecution through the Edict of Milan in 313</w:t>
      </w:r>
      <w:hyperlink w:anchor="cite_149" w:history="1">
        <w:r>
          <w:rPr>
            <w:color w:val="671C2A"/>
            <w:sz w:val="16"/>
            <w:vertAlign w:val="superscript"/>
          </w:rPr>
          <w:t>149</w:t>
        </w:r>
      </w:hyperlink>
      <w:r>
        <w:t>. Whatever the precise nature and depth of Constantine’s own personal faith — a question historians still debate — he had a clear practical stake in a unified church: a Christian empire fractured by an internal doctrinal civil war was not the empire he wanted to govern. When the dispute between Arius and Bishop Alexander, described in the previous chapter, proved too large and too disruptive for local resolution, Constantine took the unprecedented step of summoning bishops from across the entire Christian world — not just his own portion of the empire — to a single council, held at his own expense, to settle the question once and for all.</w:t>
      </w:r>
    </w:p>
    <w:p w14:paraId="241ED352" w14:textId="77777777" w:rsidR="009C7F52" w:rsidRDefault="00731002">
      <w:pPr>
        <w:pStyle w:val="BodyText"/>
      </w:pPr>
      <w:r>
        <w:t>Estimates of attendance vary in the ancient sources, ranging from as few as about 220 to the traditional figure of 318, with modern historians often settling on a number somewhere between 250 and 300 bishops, the overwhelming majority from the Greek East, with only a handful representing the Latin-speaking West</w:t>
      </w:r>
      <w:hyperlink w:anchor="cite_150" w:history="1">
        <w:r>
          <w:rPr>
            <w:color w:val="671C2A"/>
            <w:sz w:val="16"/>
            <w:vertAlign w:val="superscript"/>
          </w:rPr>
          <w:t>150</w:t>
        </w:r>
      </w:hyperlink>
      <w:r>
        <w:t>. Constantine himself opened the proceedings with an address urging unity, and by some later accounts personally intervened at key moments to press the assembled bishops toward consensus — an unusual and, in retrospect, uncomfortable precedent of imperial involvement in the church’s internal theological deliberations, though the theological substance of the council’s decisions was worked out by the bishops and their theological advisors, chief among them the young Alexandrian deacon Athanasius, rather than dictated by the emperor himself.</w:t>
      </w:r>
    </w:p>
    <w:p w14:paraId="4D9DC070" w14:textId="77777777" w:rsidR="009C7F52" w:rsidRDefault="00731002">
      <w:pPr>
        <w:pStyle w:val="BodyText"/>
      </w:pPr>
      <w:r>
        <w:t>The logistics alone signal how seriously Constantine took the enterprise. He summoned bishops from across the entire Christian world at imperial expense, provided lodging and transport, and hosted the assembled bishops at an imperial banquet during the proceedings — a display of favor toward a religious community that, within living memory of many bishops present, had been an outlawed and periodically persecuted minority</w:t>
      </w:r>
      <w:hyperlink w:anchor="cite_151" w:history="1">
        <w:r>
          <w:rPr>
            <w:color w:val="671C2A"/>
            <w:sz w:val="16"/>
            <w:vertAlign w:val="superscript"/>
          </w:rPr>
          <w:t>151</w:t>
        </w:r>
      </w:hyperlink>
      <w:r>
        <w:t>. Several bishops at Nicaea, tradition records, still bore physical scars from torture endured during the persecutions of the previous generation, under emperors like Diocletian and Galerius — a detail worth pausing over, because it means the very men debating fine points of Greek ontological vocabulary in 325 had, within their own living memory, risked everything simply to confess Christ as Lord at all. The stakes of getting the confession exactly right, for bishops who had paid that kind of price already, were never merely academic.</w:t>
      </w:r>
    </w:p>
    <w:p w14:paraId="37EC65C0" w14:textId="77777777" w:rsidR="009C7F52" w:rsidRDefault="00731002">
      <w:pPr>
        <w:pStyle w:val="Heading3"/>
        <w:pBdr>
          <w:bottom w:val="single" w:sz="4" w:space="5" w:color="C8AE75"/>
        </w:pBdr>
      </w:pPr>
      <w:bookmarkStart w:id="138" w:name="the-debate-over-a-word"/>
      <w:bookmarkEnd w:id="137"/>
      <w:r>
        <w:t>The Debate Over a Word</w:t>
      </w:r>
    </w:p>
    <w:p w14:paraId="03084128" w14:textId="77777777" w:rsidR="009C7F52" w:rsidRDefault="00731002">
      <w:pPr>
        <w:pStyle w:val="FirstParagraph"/>
      </w:pPr>
      <w:r>
        <w:t>The council’s central task was to find language that could settle, with lasting precision, the relationship between the Father and the Son — language specific enough that Arius and his allies could not simply reinterpret it to fit their own system, the way they had already shown themselves able to do with purely scriptural titles like “only-begotten” and “firstborn.” Bishop Eusebius of Caesarea, a respected historian and theologian who had initially sympathized with a mediating position, proposed his own local baptismal creed as a possible basis for agreement; the council’s final text, however, departed from Eusebius’s more cautious language at exactly the points that mattered most, adding phrases specifically engineered to close every loophole Arius’s system depended on</w:t>
      </w:r>
      <w:hyperlink w:anchor="cite_152" w:history="1">
        <w:r>
          <w:rPr>
            <w:color w:val="671C2A"/>
            <w:sz w:val="16"/>
            <w:vertAlign w:val="superscript"/>
          </w:rPr>
          <w:t>152</w:t>
        </w:r>
      </w:hyperlink>
      <w:r>
        <w:t>.</w:t>
      </w:r>
    </w:p>
    <w:p w14:paraId="6EB85D2A" w14:textId="77777777" w:rsidR="009C7F52" w:rsidRDefault="00731002">
      <w:pPr>
        <w:pStyle w:val="BodyText"/>
      </w:pPr>
      <w:r>
        <w:t>The decisive word, as the previous chapter explained, was ὁμοούσιος (homoousios, “of the same substance” or “of one essence”). It is worth understanding just how bold a choice this was. Homoousios does not occur anywhere in the New Testament. Choosing it meant the council was consciously reaching beyond a purely proof-texted vocabulary — not because Scripture was thought insufficient, but because every scriptural phrase available had already proven exploitable to a subordinationist reading, and the church needed language precise enough to state, without remainder, what it already believed Scripture to teach. This is an important point for readers who have heard the charge that Nicaea “added” something foreign to the apostolic faith: the council did not claim homoousios as a new revelation or a philosophical import replacing biblical authority. It used a non-biblical word to protect a biblical conviction that biblical words alone, in the heat of controversy, had proven too easily twisted to secure on their own.</w:t>
      </w:r>
    </w:p>
    <w:p w14:paraId="31DB18F6" w14:textId="77777777" w:rsidR="009C7F52" w:rsidRDefault="00731002">
      <w:pPr>
        <w:pStyle w:val="Heading3"/>
        <w:pBdr>
          <w:bottom w:val="single" w:sz="4" w:space="5" w:color="C8AE75"/>
        </w:pBdr>
      </w:pPr>
      <w:bookmarkStart w:id="139" w:name="the-text-of-the-creed"/>
      <w:bookmarkEnd w:id="138"/>
      <w:r>
        <w:t>The Text of the Creed</w:t>
      </w:r>
    </w:p>
    <w:p w14:paraId="3D5953C8" w14:textId="77777777" w:rsidR="009C7F52" w:rsidRDefault="00731002">
      <w:pPr>
        <w:pStyle w:val="FirstParagraph"/>
      </w:pPr>
      <w:r>
        <w:t>The creed the council issued is compact, but every clause is doing specific theological work. The full text, reproduced from the standard scholarly collection of early conciliar documents, reads:</w:t>
      </w:r>
    </w:p>
    <w:p w14:paraId="26F00543" w14:textId="77777777" w:rsidR="009C7F52" w:rsidRDefault="00731002">
      <w:pPr>
        <w:pStyle w:val="BodyText"/>
      </w:pPr>
      <w:r>
        <w:t>“We believe in one God, the Father almighty, maker of all things visible and invisible; And in one Lord, Jesus Christ, the Son of God, begotten from the Father, only-begotten, that is, from the substance of the Father, God from God, light from light, true God from true God, begotten not made, of one substance with the Father, through Whom all things came into being, things in heaven and things on earth, Who because of us men and because of our salvation came down, and became incarnate and became man, and suffered, and rose again on the third day, and ascended to the heavens, and will come to judge the living and dead, And in the Holy Spirit. But as for those who say, There was when He was not, and, Before being born He was not, and that He came into existence out of nothing, or who assert that the Son of God is of a different hypostasis or substance, or created, or is subject to alteration or change — these the Catholic and apostolic Church anathematizes.”</w:t>
      </w:r>
      <w:hyperlink w:anchor="cite_153" w:history="1">
        <w:r>
          <w:rPr>
            <w:color w:val="671C2A"/>
            <w:sz w:val="16"/>
            <w:vertAlign w:val="superscript"/>
          </w:rPr>
          <w:t>153</w:t>
        </w:r>
      </w:hyperlink>
    </w:p>
    <w:p w14:paraId="61069A81" w14:textId="77777777" w:rsidR="009C7F52" w:rsidRDefault="00731002">
      <w:pPr>
        <w:pStyle w:val="BodyText"/>
      </w:pPr>
      <w:r>
        <w:t>The theologian James White has summarized the doctrine the church spent these centuries defending in a single, carefully balanced sentence: “Within the one Being that is God, there exists eternally three coequal and coeternal persons, namely, the Father, the Son, and the Holy Spirit”</w:t>
      </w:r>
      <w:hyperlink w:anchor="cite_154" w:history="1">
        <w:r>
          <w:rPr>
            <w:color w:val="671C2A"/>
            <w:sz w:val="16"/>
            <w:vertAlign w:val="superscript"/>
          </w:rPr>
          <w:t>154</w:t>
        </w:r>
      </w:hyperlink>
      <w:r>
        <w:t>. Every phrase of the Nicene Creed examined in this chapter is, in effect, an attempt to defend exactly two words in that sentence against Arius’s challenge: “coequal” and “coeternal.” Homoousios secures “coequal” — the Son shares the Father’s own undivided essence, not a lesser or derivative version of it. “Begotten not made,” together with the creed’s flat denial that “there was when He was not,” secures “coeternal” — the Son’s origin from the Father is an eternal relation, not an event with a starting point in time.</w:t>
      </w:r>
    </w:p>
    <w:p w14:paraId="5562256C" w14:textId="77777777" w:rsidR="009C7F52" w:rsidRDefault="00731002">
      <w:pPr>
        <w:pStyle w:val="BodyText"/>
      </w:pPr>
      <w:r>
        <w:t>Notice how the creed’s positive statement about the Son piles up near-synonyms rather than resting on a single phrase: “begotten from the Father,” “from the substance of the Father,” “God from God, light from light, true God from true God,” “begotten not made,” “of one substance [ὁμοούσιος, homoousios] with the Father.” This redundancy is deliberate. Each phrase forecloses a slightly different Arian evasion — “true God from true God” rules out any merely honorary or courtesy sense of the title “God”; “begotten not made” insists that the Son’s origin from the Father is a category entirely distinct from the origin of any created thing, however exalted. The creed’s final clause — the anathema — is not a gentle appendix but the operative center of the whole document: it names Arius’s own slogans almost word for word (“There was when He was not,” “Before being born He was not”) and formally excludes them, along with anyone who claims the Son is “of a different hypostasis [ὑπόστασις] or substance” from the Father, from the fellowship of the “Catholic and apostolic Church.”</w:t>
      </w:r>
    </w:p>
    <w:p w14:paraId="314282EB" w14:textId="77777777" w:rsidR="009C7F52" w:rsidRDefault="00731002">
      <w:pPr>
        <w:pStyle w:val="Heading3"/>
        <w:pBdr>
          <w:bottom w:val="single" w:sz="4" w:space="5" w:color="C8AE75"/>
        </w:pBdr>
      </w:pPr>
      <w:bookmarkStart w:id="140" w:name="Xbe7d1b5ab493230a4c6fac1cf7f7218b59cb691"/>
      <w:bookmarkEnd w:id="139"/>
      <w:r>
        <w:t>Homoousios versus Homoiousios: The Stakes of One Letter</w:t>
      </w:r>
    </w:p>
    <w:p w14:paraId="5FA52D50" w14:textId="77777777" w:rsidR="009C7F52" w:rsidRDefault="00731002">
      <w:pPr>
        <w:pStyle w:val="FirstParagraph"/>
      </w:pPr>
      <w:r>
        <w:t xml:space="preserve">The council’s rejection of the tempting middle term ὁμοιούσιος (homoiousios, “of similar substance”) deserves a closer look here, because the difference is often trivialized by people encountering it for the first time, and the trivialization badly obscures what was actually at stake. Homoousios and homoiousios differ, in Greek spelling, by a single letter — the iota, ι — and centuries of retelling have turned this into a stock example of pointless theological hairsplitting, a supposed war fought “over one iota.” But consider what each word actually claims. Homoousios asserts numerical identity of essence: there is one divine nature, and the Father and the Son possess that same, single nature completely and without division. Homoiousios asserts resemblance: the Son’s nature is </w:t>
      </w:r>
      <w:r>
        <w:rPr>
          <w:i/>
          <w:iCs/>
        </w:rPr>
        <w:t>like</w:t>
      </w:r>
      <w:r>
        <w:t xml:space="preserve"> the Father’s, closely and admirably, but it remains, in the final analysis, a second and distinct nature standing alongside the Father’s own — which is to say, on strict logical analysis, the Son becomes a second god of a similar (if lesser) kind, precisely the outcome every honest monotheist in the debate, on every side, wanted to avoid. The whole difference between full Trinitarian orthodoxy and a permanently divided-being Christianity turned on exactly that one letter, which is why the council’s bishops, whatever their other disagreements, ultimately closed ranks around the harder, more demanding word.</w:t>
      </w:r>
    </w:p>
    <w:p w14:paraId="5EC83BE3" w14:textId="77777777" w:rsidR="009C7F52" w:rsidRDefault="00731002">
      <w:pPr>
        <w:pStyle w:val="Heading3"/>
        <w:pBdr>
          <w:bottom w:val="single" w:sz="4" w:space="5" w:color="C8AE75"/>
        </w:pBdr>
      </w:pPr>
      <w:bookmarkStart w:id="141" w:name="political-and-theological-stakes"/>
      <w:bookmarkEnd w:id="140"/>
      <w:r>
        <w:t>Political and Theological Stakes</w:t>
      </w:r>
    </w:p>
    <w:p w14:paraId="42AE6DE6" w14:textId="77777777" w:rsidR="009C7F52" w:rsidRDefault="00731002">
      <w:pPr>
        <w:pStyle w:val="FirstParagraph"/>
      </w:pPr>
      <w:r>
        <w:t>Nicaea’s decision was not merely an abstract theological victory recorded on parchment; it carried immediate, concrete consequences. Arius himself was condemned and sent into exile, along with two bishops, Theonas and Secundus, who refused to sign the creed</w:t>
      </w:r>
      <w:hyperlink w:anchor="cite_155" w:history="1">
        <w:r>
          <w:rPr>
            <w:color w:val="671C2A"/>
            <w:sz w:val="16"/>
            <w:vertAlign w:val="superscript"/>
          </w:rPr>
          <w:t>155</w:t>
        </w:r>
      </w:hyperlink>
      <w:r>
        <w:t>. Constantine, having invested his own authority and the empire’s resources in securing this consensus, initially enforced the council’s verdict with the machinery of the state — a pattern of imperial involvement in doctrinal enforcement that would recur, for better and for worse, throughout the rest of the fourth and fifth centuries, and that later generations of Christians, East and West alike, would have decidedly mixed feelings about in retrospect. The theological stakes, meanwhile, were exactly as high as Athanasius and Alexander had insisted: if the Son is not fully, truly God, then, as later chapters of Trinitarian reflection would draw out at length, he cannot fully accomplish what the New Testament says he accomplishes — uniting believers to God himself, rather than merely to an exalted creature standing at one remove from the true God.</w:t>
      </w:r>
    </w:p>
    <w:p w14:paraId="38BAE2C0" w14:textId="77777777" w:rsidR="009C7F52" w:rsidRDefault="00731002">
      <w:pPr>
        <w:pStyle w:val="BodyText"/>
      </w:pPr>
      <w:r>
        <w:t>The council also addressed several matters of church discipline and practice entirely separate from the Christological crisis — among them, the dating of Easter, questions of clerical discipline, and jurisdictional boundaries between major sees — which is a useful reminder that Nicaea was not summoned as a single-issue theological tribunal but as a general working council of the whole church, one that happened to arrive, in the middle of its business, at the most consequential doctrinal formula in Christian history</w:t>
      </w:r>
      <w:hyperlink w:anchor="cite_156" w:history="1">
        <w:r>
          <w:rPr>
            <w:color w:val="671C2A"/>
            <w:sz w:val="16"/>
            <w:vertAlign w:val="superscript"/>
          </w:rPr>
          <w:t>156</w:t>
        </w:r>
      </w:hyperlink>
      <w:r>
        <w:t>. That the Arian question came to dominate later memory of the council, eclipsing nearly everything else on its agenda, is itself a measure of how much the church came to recognize was riding on getting this one question right.</w:t>
      </w:r>
    </w:p>
    <w:p w14:paraId="7499C38D" w14:textId="77777777" w:rsidR="009C7F52" w:rsidRDefault="00731002">
      <w:pPr>
        <w:pStyle w:val="Heading3"/>
        <w:pBdr>
          <w:bottom w:val="single" w:sz="4" w:space="5" w:color="C8AE75"/>
        </w:pBdr>
      </w:pPr>
      <w:bookmarkStart w:id="142" w:name="an-unfinished-settlement"/>
      <w:bookmarkEnd w:id="141"/>
      <w:r>
        <w:t>An Unfinished Settlement</w:t>
      </w:r>
    </w:p>
    <w:p w14:paraId="49EFF654" w14:textId="77777777" w:rsidR="009C7F52" w:rsidRDefault="00731002">
      <w:pPr>
        <w:pStyle w:val="FirstParagraph"/>
      </w:pPr>
      <w:r>
        <w:t>Nicaea’s creed, for all its precision on the question of the Son, is strikingly brief and undeveloped on the Holy Spirit — the text simply states, “And in the Holy Spirit,” with no further elaboration at all. This was not an oversight so much as a reflection of where the controversy’s front line actually stood in 325: the crisis of the moment concerned the Son, and the bishops addressed the Son’s status with all the precision the moment demanded, leaving the Spirit’s status to be worked out — as the final chapter of this part will show — once a new, closely related controversy forced the question a half-century later. Nor did Nicaea’s verdict end the Arian controversy on the ground. Constantine’s own sympathies would later shift, Arius would eventually be readmitted to communion for a time, and various compromise positions clustered around ὁμοιούσιος (homoiousios, “of similar substance”) would dominate much of the following decades. But the theological achievement of the council itself — a single, carefully chosen, non-negotiable word standing permanent guard over the full and undiminished deity of the Son — proved, in the end, unshakeable. It would take the next great council, meeting in the imperial capital itself fifty-six years later, to complete what Nicaea began and to give the church the fuller, more precise creed most Christians actually recite today.</w:t>
      </w:r>
    </w:p>
    <w:p w14:paraId="15C9C2F8" w14:textId="77777777" w:rsidR="009F2F79" w:rsidRDefault="001A04A2">
      <w:pPr>
        <w:pStyle w:val="Heading3"/>
      </w:pPr>
      <w:r>
        <w:t>Reading Nicaea Clause by Clause</w:t>
      </w:r>
    </w:p>
    <w:p w14:paraId="78495E63" w14:textId="77777777" w:rsidR="009F2F79" w:rsidRDefault="001A04A2">
      <w:pPr>
        <w:pStyle w:val="FirstParagraph"/>
      </w:pPr>
      <w:r>
        <w:t>Nicaea’s phrases form a cumulative barrier against creaturely interpretations of the Son. “God from God” and “Light from Light” confess an origin without division: light from light is not a portion cut away from a larger source, and the source is not diminished by the radiance. “True God from true God” excludes any merely honorary or secondary deity. “Begotten, not made” distinguishes the Son’s eternal relation to the Father from every act by which God brings creatures into existence. “Of one essence with the Father” then closes the remaining escape route. Whatever the Father is according to deity, the Son is, because the divine essence communicated in eternal generation is numerically one and wholly possessed.</w:t>
      </w:r>
    </w:p>
    <w:p w14:paraId="31B6E1F2" w14:textId="77777777" w:rsidR="009F2F79" w:rsidRDefault="001A04A2">
      <w:pPr>
        <w:pStyle w:val="BodyText"/>
      </w:pPr>
      <w:r>
        <w:t>The creed’s anathemas show why temporal language mattered. Arians could affirm that the Son existed before the visible world while still claiming that “there was when he was not.” Nicaea rejects not merely a late creation but every beginning of the Son. Terms such as “from another hypostasis or essence” were still linguistically unsettled in 325, but the council’s aim is clear: the Son does not emerge from nothing, change from a lower state, or possess deity by grace. He is eternally what the Father is, while remaining the Son who is from the Father. Later councils would refine the distinction between essence and person without reversing this judgment.</w:t>
      </w:r>
    </w:p>
    <w:p w14:paraId="5006BCA2" w14:textId="77777777" w:rsidR="009F2F79" w:rsidRDefault="001A04A2">
      <w:pPr>
        <w:pStyle w:val="Heading3"/>
      </w:pPr>
      <w:r>
        <w:t>Creedal Language as Biblical Judgment</w:t>
      </w:r>
    </w:p>
    <w:p w14:paraId="2D7F63C7" w14:textId="77777777" w:rsidR="009F2F79" w:rsidRDefault="001A04A2">
      <w:pPr>
        <w:pStyle w:val="FirstParagraph"/>
      </w:pPr>
      <w:r>
        <w:t>No single biblical verse contains the entire Nicene formula, but every clause adjudicates competing readings of the biblical whole. “Begotten” receives the language of Sonship and the unique Son; “not made” obeys John’s division between the Word who already was and all things that came to be through him; “true God” accords with John 1:1 and 20:28; “through whom all things were made” gathers John 1:3, 1 Corinthians 8:6, Colossians 1:16, and Hebrews 1:2; homoousios protects the worship and saving work Scripture assigns to Christ. The creed is therefore a rule for faithful reading, not a substitute for exegesis. Its nonbiblical term was chosen to exclude interpretations that survived by repeating biblical words while changing their sense.</w:t>
      </w:r>
    </w:p>
    <w:p w14:paraId="0B23835E" w14:textId="77777777" w:rsidR="009F2F79" w:rsidRDefault="001A04A2">
      <w:pPr>
        <w:pStyle w:val="Heading3"/>
      </w:pPr>
      <w:r>
        <w:t>Eternal Generation: Relation Without Beginning</w:t>
      </w:r>
    </w:p>
    <w:p w14:paraId="6C7357DB" w14:textId="77777777" w:rsidR="009F2F79" w:rsidRDefault="001A04A2">
      <w:pPr>
        <w:pStyle w:val="FirstParagraph"/>
      </w:pPr>
      <w:r>
        <w:t>Nicaea’s confession that the Son is “begotten, not made” does not describe an event before ordinary time. It distinguishes an eternal personal relation from creation. To create is to bring into existence something that is not God; to beget, in the creed’s carefully qualified use, identifies the Son as from the Father while possessing the same undivided divine essence. The Son never began to be, never advanced into deity, and never existed as something less than the eternal Son.</w:t>
      </w:r>
      <w:hyperlink w:anchor="cite_387" w:history="1">
        <w:r>
          <w:rPr>
            <w:color w:val="671C2A"/>
            <w:sz w:val="16"/>
            <w:vertAlign w:val="superscript"/>
          </w:rPr>
          <w:t>387</w:t>
        </w:r>
      </w:hyperlink>
    </w:p>
    <w:p w14:paraId="1FFE5AEE" w14:textId="77777777" w:rsidR="009F2F79" w:rsidRDefault="001A04A2">
      <w:pPr>
        <w:pStyle w:val="BodyText"/>
      </w:pPr>
      <w:r>
        <w:t>The language also explains why Father and Son are not interchangeable names. The Father is eternally Father of the Son; the Son is eternally Son from the Father. This order is relational, not chronological or hierarchical. There is no earlier moment in which the Father lacked his Word, Wisdom, Image, and radiance, and no interval in which the Son waited to receive divine life. The relation is necessary and eternal, while creation is free and temporal.</w:t>
      </w:r>
      <w:hyperlink w:anchor="cite_388" w:history="1">
        <w:r>
          <w:rPr>
            <w:color w:val="671C2A"/>
            <w:sz w:val="16"/>
            <w:vertAlign w:val="superscript"/>
          </w:rPr>
          <w:t>388</w:t>
        </w:r>
      </w:hyperlink>
    </w:p>
    <w:p w14:paraId="7BF3255D" w14:textId="77777777" w:rsidR="009F2F79" w:rsidRDefault="001A04A2">
      <w:pPr>
        <w:pStyle w:val="BodyText"/>
      </w:pPr>
      <w:r>
        <w:t>Scripture supplies the realities that this grammar serves: the Word is with God and is God; the Son shares glory with the Father before the world; he is the radiance of divine glory and the exact imprint of God’s nature; he has life in himself as the Father has life in himself. The Nicene term does not replace those texts. It prevents them from being rearranged into a doctrine in which the Son is a uniquely exalted creature.</w:t>
      </w:r>
    </w:p>
    <w:p w14:paraId="39ED56DF" w14:textId="77777777" w:rsidR="009C7F52" w:rsidRDefault="00731002">
      <w:pPr>
        <w:pStyle w:val="Heading2"/>
        <w:pBdr>
          <w:bottom w:val="single" w:sz="10" w:space="8" w:color="A68037"/>
        </w:pBdr>
      </w:pPr>
      <w:bookmarkStart w:id="143" w:name="X256c4beab0b1efb7a65308592ee4297319aae5a"/>
      <w:bookmarkEnd w:id="136"/>
      <w:bookmarkEnd w:id="142"/>
      <w:r>
        <w:t>Chapter 19: The Cappadocian Fathers, Constantinople (381), and Augustine in the West</w:t>
      </w:r>
    </w:p>
    <w:p w14:paraId="612A8D0A" w14:textId="77777777" w:rsidR="009C7F52" w:rsidRDefault="00731002">
      <w:pPr>
        <w:pStyle w:val="FirstParagraph"/>
      </w:pPr>
      <w:r>
        <w:t>Nicaea had answered the question of the Son with a single decisive word, but a council’s verdict is not the same thing as a settled peace, and for more than fifty years after 325 the church argued its way through compromise formulas, imperial reversals, and a whole new front in the controversy that Nicaea’s brief, undeveloped clause on the Spirit had left wide open. It took three friends from a remote province of Asia Minor — and, in the different soil of the Latin-speaking West, one towering North African bishop — to finish the theological work Nicaea had begun and to give later generations the vocabulary that still anchors Trinitarian doctrine today.</w:t>
      </w:r>
    </w:p>
    <w:p w14:paraId="3871A548" w14:textId="77777777" w:rsidR="009C7F52" w:rsidRDefault="00731002">
      <w:pPr>
        <w:pStyle w:val="Heading3"/>
        <w:pBdr>
          <w:bottom w:val="single" w:sz="4" w:space="5" w:color="C8AE75"/>
        </w:pBdr>
      </w:pPr>
      <w:bookmarkStart w:id="144" w:name="the-cappadocian-fathers"/>
      <w:r>
        <w:t>The Cappadocian Fathers</w:t>
      </w:r>
    </w:p>
    <w:p w14:paraId="7ADE7D2A" w14:textId="77777777" w:rsidR="009C7F52" w:rsidRDefault="00731002">
      <w:pPr>
        <w:pStyle w:val="FirstParagraph"/>
      </w:pPr>
      <w:r>
        <w:t>Basil of Caesarea, his younger brother Gregory of Nyssa, and their close friend Gregory of Nazianzus all came from Cappadocia, a rugged plateau region in central Asia Minor, and history remembers them together as the Cappadocian Fathers. Basil, born around 330, became bishop of Caesarea Mazaca in 370 and used the office to organize Nicene resistance against the lingering Arian and semi-Arian factions that still dominated much of the Eastern church’s hierarchy</w:t>
      </w:r>
      <w:hyperlink w:anchor="cite_157" w:history="1">
        <w:r>
          <w:rPr>
            <w:color w:val="671C2A"/>
            <w:sz w:val="16"/>
            <w:vertAlign w:val="superscript"/>
          </w:rPr>
          <w:t>157</w:t>
        </w:r>
      </w:hyperlink>
      <w:r>
        <w:t xml:space="preserve">. Basil’s most important contribution to this book’s story is his treatise </w:t>
      </w:r>
      <w:r>
        <w:rPr>
          <w:i/>
          <w:iCs/>
        </w:rPr>
        <w:t>On the Holy Spirit</w:t>
      </w:r>
      <w:r>
        <w:t>, written around 375, in which he mounts a careful, patient case for the Spirit’s full and undiminished deity — a case built less on abstract philosophy than on the church’s own inherited worship practice. Basil points to the way Christians had always offered the same doxology, the same glory, jointly to the Spirit as to the Father and the Son: “What our fathers said, the same say we, that the glory of the Father and of the Son is common; wherefore we offer the doxology to the Father with the Son… As, however, God and Son, He is glorified with and together with the Father” (</w:t>
      </w:r>
      <w:r>
        <w:rPr>
          <w:i/>
          <w:iCs/>
        </w:rPr>
        <w:t>On the Holy Spirit</w:t>
      </w:r>
      <w:r>
        <w:t>, chapters 6–8)</w:t>
      </w:r>
      <w:hyperlink w:anchor="cite_158" w:history="1">
        <w:r>
          <w:rPr>
            <w:color w:val="671C2A"/>
            <w:sz w:val="16"/>
            <w:vertAlign w:val="superscript"/>
          </w:rPr>
          <w:t>158</w:t>
        </w:r>
      </w:hyperlink>
      <w:r>
        <w:t>. If the church’s worship had always treated the Spirit as belonging, alongside the Father and the Son, to a single object of praise, Basil argued, then Christian doctrine needed to catch up explicitly to what Christian worship had always assumed.</w:t>
      </w:r>
    </w:p>
    <w:p w14:paraId="4474B56F" w14:textId="77777777" w:rsidR="009C7F52" w:rsidRDefault="00731002">
      <w:pPr>
        <w:pStyle w:val="BodyText"/>
      </w:pPr>
      <w:r>
        <w:t xml:space="preserve">Gregory of Nazianzus, sometimes called “the Theologian” for the precision and eloquence of his doctrinal writing, pressed the same point with even sharper logical directness in his </w:t>
      </w:r>
      <w:r>
        <w:rPr>
          <w:i/>
          <w:iCs/>
        </w:rPr>
        <w:t>Five Theological Orations</w:t>
      </w:r>
      <w:r>
        <w:t>, delivered at Constantinople around 380. His fifth oration poses the question almost as a syllogism: “What then? Is the Spirit God? Most certainly. Well then, is He consubstantial? Yes, if He is God” (</w:t>
      </w:r>
      <w:r>
        <w:rPr>
          <w:i/>
          <w:iCs/>
        </w:rPr>
        <w:t>Oration 31</w:t>
      </w:r>
      <w:r>
        <w:t>)</w:t>
      </w:r>
      <w:hyperlink w:anchor="cite_159" w:history="1">
        <w:r>
          <w:rPr>
            <w:color w:val="671C2A"/>
            <w:sz w:val="16"/>
            <w:vertAlign w:val="superscript"/>
          </w:rPr>
          <w:t>159</w:t>
        </w:r>
      </w:hyperlink>
      <w:r>
        <w:t>. Gregory refuses any middle position that would grant the Spirit an exalted, superior-to-ordinary-creatures status while stopping short of full, undiminished deity — for Gregory, there simply is no available middle ground between “creature” and “God,” and once the Spirit’s deity is granted at all, full consubstantiality with the Father and the Son follows as a matter of strict logical necessity, not a further concession still open for negotiation. Gregory served briefly as Archbishop of Constantinople in 380–381, presiding for a time over the very council whose story this chapter now turns to tell, though he resigned amid the council’s political turbulence before its business concluded</w:t>
      </w:r>
      <w:hyperlink w:anchor="cite_160" w:history="1">
        <w:r>
          <w:rPr>
            <w:color w:val="671C2A"/>
            <w:sz w:val="16"/>
            <w:vertAlign w:val="superscript"/>
          </w:rPr>
          <w:t>160</w:t>
        </w:r>
      </w:hyperlink>
      <w:r>
        <w:t>.</w:t>
      </w:r>
    </w:p>
    <w:p w14:paraId="4C6142DB" w14:textId="77777777" w:rsidR="009C7F52" w:rsidRDefault="00731002">
      <w:pPr>
        <w:pStyle w:val="BodyText"/>
      </w:pPr>
      <w:r>
        <w:t xml:space="preserve">Gregory of Nyssa, Basil’s younger brother, supplied the philosophically most rigorous piece of the Cappadocian settlement. In his treatise conventionally known as </w:t>
      </w:r>
      <w:r>
        <w:rPr>
          <w:i/>
          <w:iCs/>
        </w:rPr>
        <w:t>On “Not Three Gods”</w:t>
      </w:r>
      <w:r>
        <w:t xml:space="preserve"> (addressed to a correspondent named Ablabius), Gregory tackles head-on the objection that talk of “three persons” inevitably implies three separate gods, the way three distinct human persons — Peter, James, and John, say — are properly called three separate men. Gregory’s answer turns on the doctrine of inseparable operations: unlike three human beings, who each act independently and whose individual actions belong only to themselves, every external act of God — creation, providence, redemption — is the single, undivided act of Father, Son, and Spirit acting together, never divided into three separate operations belonging to three separate agents. Because the three persons never act divided from one another, “three gods” is precisely the wrong inference to draw from “three persons,” and Gregory’s treatment became the classic patristic statement of exactly this point</w:t>
      </w:r>
      <w:hyperlink w:anchor="cite_161" w:history="1">
        <w:r>
          <w:rPr>
            <w:color w:val="671C2A"/>
            <w:sz w:val="16"/>
            <w:vertAlign w:val="superscript"/>
          </w:rPr>
          <w:t>161</w:t>
        </w:r>
      </w:hyperlink>
      <w:r>
        <w:t>.</w:t>
      </w:r>
    </w:p>
    <w:p w14:paraId="4A4EBC1A" w14:textId="77777777" w:rsidR="009C7F52" w:rsidRDefault="00731002">
      <w:pPr>
        <w:pStyle w:val="Heading3"/>
        <w:pBdr>
          <w:bottom w:val="single" w:sz="4" w:space="5" w:color="C8AE75"/>
        </w:pBdr>
      </w:pPr>
      <w:bookmarkStart w:id="145" w:name="one-ousia-three-hypostases"/>
      <w:bookmarkEnd w:id="144"/>
      <w:r>
        <w:t>One Ousia, Three Hypostases</w:t>
      </w:r>
    </w:p>
    <w:p w14:paraId="4993048A" w14:textId="77777777" w:rsidR="009C7F52" w:rsidRDefault="00731002">
      <w:pPr>
        <w:pStyle w:val="FirstParagraph"/>
      </w:pPr>
      <w:r>
        <w:t xml:space="preserve">The technical formula the Cappadocians left to the church, refined across their combined body of work, is usually summarized as “one οὐσία (ousia,”essence” or “substance”), three ὑποστάσεις (hypostaseis, plural of hypostasis, “persons” or “individual realities”).” This formula solved a problem that had dogged Greek theology for decades: in ordinary philosophical Greek before the Cappadocians, οὐσία (ousia, “essence” or “substance”) and ὑπόστασις (hypostasis, “person” or “individual reality”) had often functioned as near-synonyms, both loosely meaning something like “underlying reality” — which meant that a Greek-speaking theologian who said God has “one ὑπόστασις (hypostasis)” could sound, to unfamiliar ears, dangerously close to a modalist collapsing of the persons (the very error Chapter 16 examined), while a theologian who spoke of “three οὐσίαι (ousiai, plural of ousia)” could sound like a tritheist multiplying separate gods. The Cappadocians’ decisive contribution was to fix these two words to two permanently distinct meanings: οὐσία (ousia) names what is common and single — the one, shared, undivided divine nature — while ὑπόστασις (hypostasis) names what is particular and really distinct — the individual, personal reality of the Father, the Son, or the Spirit, each possessing the whole οὐσία (ousia) entirely, not a third of it. This distinction gave the Greek East exactly the same conceptual clarity Tertullian’s Latin phrase </w:t>
      </w:r>
      <w:r>
        <w:rPr>
          <w:i/>
          <w:iCs/>
        </w:rPr>
        <w:t>tres personae, una substantia</w:t>
      </w:r>
      <w:r>
        <w:t xml:space="preserve"> had already given the West a century and a half earlier — two independently developed vocabularies converging, from different linguistic starting points, on the identical underlying doctrine.</w:t>
      </w:r>
    </w:p>
    <w:p w14:paraId="28220CD5" w14:textId="77777777" w:rsidR="009C7F52" w:rsidRDefault="00731002">
      <w:pPr>
        <w:pStyle w:val="Heading3"/>
        <w:pBdr>
          <w:bottom w:val="single" w:sz="4" w:space="5" w:color="C8AE75"/>
        </w:pBdr>
      </w:pPr>
      <w:bookmarkStart w:id="146" w:name="the-council-of-constantinople-381"/>
      <w:bookmarkEnd w:id="145"/>
      <w:r>
        <w:t>The Council of Constantinople, 381</w:t>
      </w:r>
    </w:p>
    <w:p w14:paraId="3D531408" w14:textId="77777777" w:rsidR="009C7F52" w:rsidRDefault="00731002">
      <w:pPr>
        <w:pStyle w:val="FirstParagraph"/>
      </w:pPr>
      <w:r>
        <w:t>The theological labor of the Cappadocians reached its formal, conciliar ratification at the First Council of Constantinople, convened in 381 under the emperor Theodosius I — the second ecumenical council, meeting in the imperial capital itself. Gregory of Nazianzus presided for part of the proceedings before his resignation, and the council’s bishops formally adopted, in Gregory of Nyssa’s words, the doctrine that God is “one essence [οὐσία, ousia, ”essence” or ”substance”] in three persons [ὑποστάσεις, hypostaseis, ”persons” or ”individual realities”]”</w:t>
      </w:r>
      <w:hyperlink w:anchor="cite_162" w:history="1">
        <w:r>
          <w:rPr>
            <w:color w:val="671C2A"/>
            <w:sz w:val="16"/>
            <w:vertAlign w:val="superscript"/>
          </w:rPr>
          <w:t>162</w:t>
        </w:r>
      </w:hyperlink>
      <w:r>
        <w:t>. More concretely, the council took up the piece of unfinished business Nicaea’s brief, undeveloped clause — simply “And in the Holy Spirit,” with no further elaboration — had left open, and it expanded that single clause into a full, deliberately worded confession of the Spirit’s own deity and personhood: “And [we believe] in the Holy Spirit, the Lord, the giver of life, who proceeds from the Father, who in unity with the Father and the Son is worshiped and glorified, who has spoken through the prophets”</w:t>
      </w:r>
      <w:hyperlink w:anchor="cite_163" w:history="1">
        <w:r>
          <w:rPr>
            <w:color w:val="671C2A"/>
            <w:sz w:val="16"/>
            <w:vertAlign w:val="superscript"/>
          </w:rPr>
          <w:t>163</w:t>
        </w:r>
      </w:hyperlink>
      <w:r>
        <w:t>.</w:t>
      </w:r>
    </w:p>
    <w:p w14:paraId="373449C7" w14:textId="77777777" w:rsidR="009C7F52" w:rsidRDefault="00731002">
      <w:pPr>
        <w:pStyle w:val="BodyText"/>
      </w:pPr>
      <w:r>
        <w:t>Notice what each phrase is doing. “The Lord, the giver of life” applies to the Spirit exactly the divine title (κύριος, kyrios, “Lord”) the Greek Old Testament uses to translate God’s own covenant name. “Who proceeds from the Father” gives the Spirit’s eternal relation of origin its own settled technical description — a parallel, though not identical, relation to the Son’s eternal generation, preserving the Spirit’s real personal distinctness from the Father without in any way diminishing his equal deity. And “who in unity with the Father and the Son is worshiped and glorified” settles, in a single conciliar clause, exactly the question Basil’s treatise on the Spirit and Gregory of Nazianzus’s fifth oration had spent years arguing for: the Spirit belongs, on entirely equal footing, within the single act of worship the church offers to the one God — not a lesser, subordinate object of reverence, but a full and equal participant in the very act of being worshiped.</w:t>
      </w:r>
    </w:p>
    <w:p w14:paraId="6BFF2D15" w14:textId="77777777" w:rsidR="009C7F52" w:rsidRDefault="00731002">
      <w:pPr>
        <w:pStyle w:val="BodyText"/>
      </w:pPr>
      <w:r>
        <w:t>What most people today recite as “the Nicene Creed” — in Catholic Mass, Orthodox Divine Liturgy, and many Protestant liturgies alike — is, strictly and technically, this 381 Constantinopolitan text, expanded well beyond the 325 original, not the shorter creed Chapter 18 examined in full. The two creeds differ in wording as well as length, and it is this 381 text, ratifying the Cappadocians’ hard-won vocabulary, that has functioned as the church’s settled, ecumenically received statement of Trinitarian faith ever since</w:t>
      </w:r>
      <w:hyperlink w:anchor="cite_164" w:history="1">
        <w:r>
          <w:rPr>
            <w:color w:val="671C2A"/>
            <w:sz w:val="16"/>
            <w:vertAlign w:val="superscript"/>
          </w:rPr>
          <w:t>164</w:t>
        </w:r>
      </w:hyperlink>
      <w:r>
        <w:t>. One later addition deserves a brief note here, though its full story belongs to a much later chapter of church history: centuries afterward, the Western church added the words “and the Son” (in Latin, the filioque) to the Spirit’s procession clause, describing the Spirit as proceeding “from the Father and the Son.” The Eastern churches never accepted this addition, made without the consent of an ecumenical council, and it remains, to this day, one of the genuine and unresolved points of difference between the Western and Eastern halves of the ancient, undivided church — a difference internal to a shared Trinitarian orthodoxy, not a dispute about the Trinity’s basic structure.</w:t>
      </w:r>
    </w:p>
    <w:p w14:paraId="37717E02" w14:textId="77777777" w:rsidR="009C7F52" w:rsidRDefault="00731002">
      <w:pPr>
        <w:pStyle w:val="Heading3"/>
        <w:pBdr>
          <w:bottom w:val="single" w:sz="4" w:space="5" w:color="C8AE75"/>
        </w:pBdr>
      </w:pPr>
      <w:bookmarkStart w:id="147" w:name="X6ee2cbbbac1c4e0172385423197ca50c1d83580"/>
      <w:bookmarkEnd w:id="146"/>
      <w:r>
        <w:t>Augustine of Hippo and the Western Synthesis</w:t>
      </w:r>
    </w:p>
    <w:p w14:paraId="17FBE47A" w14:textId="77777777" w:rsidR="009C7F52" w:rsidRDefault="00731002">
      <w:pPr>
        <w:pStyle w:val="FirstParagraph"/>
      </w:pPr>
      <w:r>
        <w:t xml:space="preserve">While the Cappadocians were finishing the Greek East’s Trinitarian vocabulary, a young North African rhetorician named Augustine was still, by his own famous account, resisting conversion to the very faith whose doctrine he would eventually do more than any other Latin writer to shape. Augustine was born in 354 in Thagaste, in Roman North Africa, converted to Christianity in 386, and became bishop of Hippo Regius in 396, a position he held until his death in 430. Between roughly 400 and 416 he composed his fifteen-book masterwork </w:t>
      </w:r>
      <w:r>
        <w:rPr>
          <w:i/>
          <w:iCs/>
        </w:rPr>
        <w:t>De Trinitate</w:t>
      </w:r>
      <w:r>
        <w:t xml:space="preserve"> (“On the Trinity”), the most influential and systematically developed treatment of Trinitarian doctrine the Latin church would produce, and the direct ancestor of nearly every subsequent medieval and Reformation-era discussion of the topic in the West.</w:t>
      </w:r>
    </w:p>
    <w:p w14:paraId="3578D651" w14:textId="77777777" w:rsidR="009C7F52" w:rsidRDefault="00731002">
      <w:pPr>
        <w:pStyle w:val="BodyText"/>
      </w:pPr>
      <w:r>
        <w:t>Augustine inherited, and did not need to re-argue from scratch, the settled conclusions of Nicaea and Constantinople — his task was less to defend the Son’s or the Spirit’s deity against Arian or Pneumatomachian opponents (though he does this too, at length) than to work out, with unprecedented philosophical depth, exactly how one God can be three persons without any hint of division, gradation, or mere appearance. Two contributions stand out as Augustine’s most lasting gifts to later Trinitarian theology.</w:t>
      </w:r>
    </w:p>
    <w:p w14:paraId="77C2AB87" w14:textId="77777777" w:rsidR="009C7F52" w:rsidRDefault="00731002">
      <w:pPr>
        <w:pStyle w:val="BodyText"/>
      </w:pPr>
      <w:r>
        <w:t xml:space="preserve">The first is his doctrine of relations of origin. Augustine insists that “Father,” “Son,” and “Spirit” are not names for three different substances, nor names for three temporary roles the one substance plays (the Modalist error Chapter 16 examined), but names for real, eternal, </w:t>
      </w:r>
      <w:r>
        <w:rPr>
          <w:i/>
          <w:iCs/>
        </w:rPr>
        <w:t>relational</w:t>
      </w:r>
      <w:r>
        <w:t xml:space="preserve"> distinctions within the single, undivided divine essence. The Father is Father only in relation to the Son; the Son is Son only in relation to the Father; the Spirit is Spirit — proceeding, in the language both East and West received from Scripture and the councils, from the Father (and, in Augustine’s own developing Western formulation, from the Son as well) — only in relation to both. None of these relational names describes a difference of nature, rank, or degree of divinity; each describes only the way one eternal person stands, and has always stood, toward the other two. This is why Augustine can write, discussing the Latin church’s own inherited language of “three persons,” that the three are called one essence “not that there might be an assertion of quantity, but that a word might not be wanting” for what the church must nonetheless confess</w:t>
      </w:r>
      <w:hyperlink w:anchor="cite_165" w:history="1">
        <w:r>
          <w:rPr>
            <w:color w:val="671C2A"/>
            <w:sz w:val="16"/>
            <w:vertAlign w:val="superscript"/>
          </w:rPr>
          <w:t>165</w:t>
        </w:r>
      </w:hyperlink>
      <w:r>
        <w:t xml:space="preserve"> — in plainer terms, “person” language is not an attempt to count God as though he were a collection of separable parts, but simply the best available word for holding on to a real distinction that Scripture requires the church to confess even though ordinary human vocabulary, built for counting separate things, strains under the weight of describing it.</w:t>
      </w:r>
    </w:p>
    <w:p w14:paraId="023B4C8A" w14:textId="77777777" w:rsidR="009C7F52" w:rsidRDefault="00731002">
      <w:pPr>
        <w:pStyle w:val="BodyText"/>
      </w:pPr>
      <w:r>
        <w:t xml:space="preserve">The second, and more famous, contribution is Augustine’s psychological analogy for the Trinity, developed at length in Books IX through XI of </w:t>
      </w:r>
      <w:r>
        <w:rPr>
          <w:i/>
          <w:iCs/>
        </w:rPr>
        <w:t>De Trinitate</w:t>
      </w:r>
      <w:r>
        <w:t>. Because human beings are made in God’s image, Augustine reasons, some faint, imperfect reflection of the Trinity’s inner life might be discoverable within the structure of the human mind itself. He finds his analogy in the mind’s own threefold activity: the mind (which Augustine likens to the Father), the mind’s self-knowledge or understanding, which the mind generates or “begets” in knowing itself (likened to the Son, the Word begotten of the Father), and the love or will by which the mind embraces and unites itself to that self-knowledge (likened to the Spirit, who binds Father and Son together in a single, eternal bond of love)</w:t>
      </w:r>
      <w:hyperlink w:anchor="cite_166" w:history="1">
        <w:r>
          <w:rPr>
            <w:color w:val="671C2A"/>
            <w:sz w:val="16"/>
            <w:vertAlign w:val="superscript"/>
          </w:rPr>
          <w:t>166</w:t>
        </w:r>
      </w:hyperlink>
      <w:r>
        <w:t>. Augustine is careful, and modern readers should be equally careful, not to overstate what this analogy can do. He never claims that the human mind literally contains three separate persons, nor that reasoning from psychology alone could ever have discovered the Trinity without the prior testimony of Scripture and the church’s confession. The analogy functions only as an illustration after the fact — a way of making a revealed truth slightly less alien to ordinary human experience, not a philosophical proof standing independently of revelation. Used this way, with its limits honestly acknowledged, it became one of the most fruitful teaching tools in the entire history of Western theology, still echoed in academic and popular explanations of the Trinity today.</w:t>
      </w:r>
    </w:p>
    <w:p w14:paraId="37F3EC3A" w14:textId="77777777" w:rsidR="009C7F52" w:rsidRDefault="00731002">
      <w:pPr>
        <w:pStyle w:val="Heading3"/>
        <w:pBdr>
          <w:bottom w:val="single" w:sz="4" w:space="5" w:color="C8AE75"/>
        </w:pBdr>
      </w:pPr>
      <w:bookmarkStart w:id="148" w:name="X7862f4cefa1ec77e120818cc663e1baaab63554"/>
      <w:bookmarkEnd w:id="147"/>
      <w:r>
        <w:t>A Settlement Complete, Received East and West</w:t>
      </w:r>
    </w:p>
    <w:p w14:paraId="23BA395A" w14:textId="77777777" w:rsidR="009C7F52" w:rsidRDefault="00731002">
      <w:pPr>
        <w:pStyle w:val="FirstParagraph"/>
      </w:pPr>
      <w:r>
        <w:t>By the last years of the fourth century, then, both halves of the ancient church had arrived, by somewhat different routes and using somewhat different technical vocabularies, at the same settled doctrine. The Greek East, through the patient exegetical and philosophical labor of Basil, Gregory of Nazianzus, and Gregory of Nyssa, had fixed the difference between οὐσία (ousia, “essence” or “substance”) and ὑπόστασις (hypostasis, “person” or “individual reality”) and seen that distinction ratified at Constantinople in 381, completing what Nicaea had begun by finally securing the Spirit’s own place, fully and equally, within the single Godhead worshiped by the church. The Latin West, through Tertullian’s earlier vocabulary and now through Augustine’s far more developed synthesis, had reached the identical doctrine — one divine substance, three really distinct persons, related to one another eternally rather than sequentially or by degree — through its own independent theological tradition. Two languages, two philosophical idioms, one converging confession: within the one Being that is God, three coequal, coeternal persons, really distinct and yet never divided, each fully possessing the one undivided divine essence. The councils, creeds, and fathers this part of the book has traced did not invent that confession. They received it from the apostles, watched it come under sustained and serious attack from every conceivable direction, and, across four centuries of controversy, hammered out the precise words needed to state it so clearly that it could never again be mistaken for anything less.</w:t>
      </w:r>
    </w:p>
    <w:p w14:paraId="3A36F8BA" w14:textId="77777777" w:rsidR="009C7F52" w:rsidRDefault="00731002">
      <w:pPr>
        <w:keepNext/>
        <w:pageBreakBefore/>
        <w:spacing w:before="360" w:after="200"/>
        <w:jc w:val="center"/>
      </w:pPr>
      <w:bookmarkStart w:id="149" w:name="Xa5b01257403288045c2bdbecc7d92964eab8ce6"/>
      <w:bookmarkEnd w:id="111"/>
      <w:bookmarkEnd w:id="143"/>
      <w:bookmarkEnd w:id="148"/>
      <w:r>
        <w:rPr>
          <w:noProof/>
        </w:rPr>
        <w:drawing>
          <wp:inline distT="0" distB="0" distL="0" distR="0" wp14:anchorId="3A5B07E1" wp14:editId="514A0D4B">
            <wp:extent cx="4160520" cy="7396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69F0D8E6" w14:textId="77777777" w:rsidR="009F2F79" w:rsidRDefault="001A04A2">
      <w:pPr>
        <w:pStyle w:val="Heading3"/>
      </w:pPr>
      <w:r>
        <w:t>Internal Relations and Inseparable External Works</w:t>
      </w:r>
    </w:p>
    <w:p w14:paraId="57BDEDE2" w14:textId="77777777" w:rsidR="009F2F79" w:rsidRDefault="001A04A2">
      <w:pPr>
        <w:pStyle w:val="FirstParagraph"/>
      </w:pPr>
      <w:r>
        <w:t>Classical theology distinguishes God’s internal personal relations from the works by which the triune God acts toward creation. Eternal generation belongs personally to the Father and the Son; eternal procession identifies the Spirit’s relation to the Father and, in the Western confession, to the Father and the Son. These relations do not terminate in a creature and are not actions performed jointly by all three persons. They are the incommunicable relations by which the persons are who they eternally are.</w:t>
      </w:r>
      <w:hyperlink w:anchor="cite_385" w:history="1">
        <w:r>
          <w:rPr>
            <w:color w:val="671C2A"/>
            <w:sz w:val="16"/>
            <w:vertAlign w:val="superscript"/>
          </w:rPr>
          <w:t>385</w:t>
        </w:r>
      </w:hyperlink>
    </w:p>
    <w:p w14:paraId="2C5BDA62" w14:textId="77777777" w:rsidR="009F2F79" w:rsidRDefault="001A04A2">
      <w:pPr>
        <w:pStyle w:val="BodyText"/>
      </w:pPr>
      <w:r>
        <w:t>Creation, providence, redemption, judgment, and sanctification are different. Because Father, Son, and Spirit possess one power, wisdom, will, and essence, every external work of God is the undivided work of the Trinity. Scripture may place one person in the foreground, but it never partitions divine action. The Father creates through the Son in the Spirit; the Son’s incarnate obedience fulfills the Father’s will by the Spirit; the Spirit applies the redemption accomplished by the Son according to the Father’s purpose.</w:t>
      </w:r>
    </w:p>
    <w:p w14:paraId="5AD5AEED" w14:textId="77777777" w:rsidR="009F2F79" w:rsidRDefault="001A04A2">
      <w:pPr>
        <w:pStyle w:val="BodyText"/>
      </w:pPr>
      <w:r>
        <w:t>The tradition calls this foregrounding appropriation. Creation is commonly appropriated to the Father, redemption to the Son, and sanctification to the Spirit, not because the other persons are absent, but because the ordered form of the work fittingly manifests their eternal relations. The Father acts from himself through the Son and in the Spirit; the Son acts from the Father and sends the Spirit; the Spirit acts from the Father and the Son and brings creatures into communion with them.</w:t>
      </w:r>
      <w:hyperlink w:anchor="cite_386" w:history="1">
        <w:r>
          <w:rPr>
            <w:color w:val="671C2A"/>
            <w:sz w:val="16"/>
            <w:vertAlign w:val="superscript"/>
          </w:rPr>
          <w:t>386</w:t>
        </w:r>
      </w:hyperlink>
    </w:p>
    <w:p w14:paraId="52A4A552" w14:textId="77777777" w:rsidR="009F2F79" w:rsidRDefault="001A04A2">
      <w:pPr>
        <w:pStyle w:val="BodyText"/>
      </w:pPr>
      <w:r>
        <w:t>This distinction guards two truths at once. Inseparable operations protect monotheism: the three persons do not negotiate, divide labor, or combine independent powers. Appropriation protects personal order: salvation is not performed by an anonymous divine essence wearing interchangeable names. The one saving act has a Trinitarian shape because the one God who acts is eternally Father, Son, and Holy Spirit.</w:t>
      </w:r>
    </w:p>
    <w:p w14:paraId="116711DC" w14:textId="77777777" w:rsidR="009C7F52" w:rsidRDefault="00731002">
      <w:pPr>
        <w:pStyle w:val="Heading1"/>
      </w:pPr>
      <w:r>
        <w:t>Part IV — The Hypostatic Union and the Person of Christ</w:t>
      </w:r>
    </w:p>
    <w:p w14:paraId="3A24DAF2" w14:textId="77777777" w:rsidR="009F2F79" w:rsidRDefault="001A04A2">
      <w:pPr>
        <w:pStyle w:val="Heading3"/>
      </w:pPr>
      <w:r>
        <w:t>Constantinople and the Full Grammar of the Spirit</w:t>
      </w:r>
    </w:p>
    <w:p w14:paraId="32F04E55" w14:textId="77777777" w:rsidR="009F2F79" w:rsidRDefault="001A04A2">
      <w:pPr>
        <w:pStyle w:val="FirstParagraph"/>
      </w:pPr>
      <w:r>
        <w:t>The expanded creed of 381 does not call the Spirit “God” in isolation and then move on; it surrounds him with predicates that belong to deity. He is “the Lord,” not a ministering creature; “the giver of life,” not merely one recipient of life; the one “who proceeds from the Father,” possessing an eternal relation rather than a created beginning; the one worshiped and glorified together with Father and Son, receiving the honor that monotheistic worship may give only to God; and the one who spoke through the prophets, identifying the personal author of divine revelation. The grammar is cumulative. Lordship, life-giving power, eternal procession, common worship, and prophetic speech locate the Spirit within the one divine identity while preserving his personal distinction.</w:t>
      </w:r>
    </w:p>
    <w:p w14:paraId="47F9D33E" w14:textId="77777777" w:rsidR="009F2F79" w:rsidRDefault="001A04A2">
      <w:pPr>
        <w:pStyle w:val="Heading3"/>
      </w:pPr>
      <w:r>
        <w:t>The Cappadocian Settlement: Common and Particular</w:t>
      </w:r>
    </w:p>
    <w:p w14:paraId="5629CC7C" w14:textId="77777777" w:rsidR="009F2F79" w:rsidRDefault="001A04A2">
      <w:pPr>
        <w:pStyle w:val="FirstParagraph"/>
      </w:pPr>
      <w:r>
        <w:t>The formula “one ousia, three hypostaseis” works because it distinguishes what is common from what is particular. The common essence includes every divine perfection and operation: eternity, infinity, holiness, knowledge, will, power, glory, and sovereign action. The particular properties identify the persons by relation: paternity, filiation, and procession. These personal properties do not divide the essence, and the common attributes do not erase the persons. The result is neither a generic nature instantiated three times, as humanity is instantiated in three human beings, nor one person wearing three relational masks. It is one numerically identical divine essence subsisting eternally as Father, Son, and Spirit.</w:t>
      </w:r>
    </w:p>
    <w:p w14:paraId="1C969E85" w14:textId="77777777" w:rsidR="009F2F79" w:rsidRDefault="001A04A2">
      <w:pPr>
        <w:pStyle w:val="BodyText"/>
      </w:pPr>
      <w:r>
        <w:t>This grammar also explains the ancient maxim that the external works of the Trinity are undivided. The Father does not create a portion of the world, the Son another, and the Spirit a third. The one divine act proceeds according to personal order. Gregory of Nyssa’s answer to the charge of “three gods” depends on precisely this indivisible agency, and Augustine would develop the point in the West: the persons are named distinctly where Scripture reveals relation, yet their divine action toward creation is one. A doctrine that assigns independent operations, wills, or spheres of power to the persons has already moved from three hypostases toward three gods.</w:t>
      </w:r>
    </w:p>
    <w:p w14:paraId="594C1641" w14:textId="77777777" w:rsidR="009C7F52" w:rsidRDefault="00731002">
      <w:pPr>
        <w:pStyle w:val="Heading2"/>
        <w:pBdr>
          <w:bottom w:val="single" w:sz="10" w:space="8" w:color="A68037"/>
        </w:pBdr>
      </w:pPr>
      <w:bookmarkStart w:id="150" w:name="X4a29a33ce5f62c23d5b40b8791293ee49006475"/>
      <w:r>
        <w:t>Chapter 20: Apollinarius and the Question of Christ’s Humanity</w:t>
      </w:r>
    </w:p>
    <w:p w14:paraId="56FE8F75" w14:textId="77777777" w:rsidR="009C7F52" w:rsidRDefault="00731002">
      <w:pPr>
        <w:pStyle w:val="FirstParagraph"/>
      </w:pPr>
      <w:r>
        <w:t>Ask a child what Jesus is, and the answer usually comes without hesitation: he is God, and he is a man. Ask the same child how those two things fit together in a single person, and the confident answer disappears. That gap between the plain confession and the hard question is where the fourth century’s last great Christological controversy began, and it began, unexpectedly, with a friend of the faith rather than an enemy of it.</w:t>
      </w:r>
    </w:p>
    <w:p w14:paraId="7ED25F28" w14:textId="77777777" w:rsidR="009C7F52" w:rsidRDefault="00731002">
      <w:pPr>
        <w:pStyle w:val="BodyText"/>
      </w:pPr>
      <w:r>
        <w:t xml:space="preserve">By the 360s, the church had spent nearly a century fighting to defend one half of that confession — that Jesus Christ is truly, fully, eternally God, not a demigod or an exalted creature. Nicaea had settled, at least in principle, that the Son is ὁμοούσιος (homoousios, “of the same substance/essence”), of the very same substance, with the Father. But settling that Christ is fully divine reopened, with new urgency, the other half of the question: is he also, without qualification, fully human? And if he is both, what actually happens to the human and the divine when they are joined in one person? The technical name for that joining is the </w:t>
      </w:r>
      <w:r>
        <w:rPr>
          <w:b/>
          <w:bCs/>
        </w:rPr>
        <w:t>hypostatic union</w:t>
      </w:r>
      <w:r>
        <w:t xml:space="preserve"> — the union of a complete divine nature and a complete human nature in the single person, or ὑπόστασις (hypostasis, “individual reality” or “person”), of the Son. It is the doctrine that Jesus Christ is not part God and part man, not God merely disguised as a man, and not two separate individuals sharing one body, but one person who possesses, fully and permanently, both natures at once. Nothing in Christian theology has been fought over with more patient precision than getting that union right, and the fight began in earnest with a bishop named Apollinaris.</w:t>
      </w:r>
    </w:p>
    <w:p w14:paraId="679971B2" w14:textId="77777777" w:rsidR="009C7F52" w:rsidRDefault="00731002">
      <w:pPr>
        <w:pStyle w:val="Heading3"/>
        <w:pBdr>
          <w:bottom w:val="single" w:sz="4" w:space="5" w:color="C8AE75"/>
        </w:pBdr>
      </w:pPr>
      <w:bookmarkStart w:id="151" w:name="a-friend-of-nicaea-overcorrects"/>
      <w:r>
        <w:t>A Friend of Nicaea Overcorrects</w:t>
      </w:r>
    </w:p>
    <w:p w14:paraId="04ABB6B9" w14:textId="77777777" w:rsidR="009C7F52" w:rsidRDefault="00731002">
      <w:pPr>
        <w:pStyle w:val="FirstParagraph"/>
      </w:pPr>
      <w:r>
        <w:t>Apollinaris of Laodicea was not a marginal figure or an obvious heretic. Born around 310 and serving as bishop of Laodicea in Syria from about 360, he was a serious, learned theologian and a committed ally of Athanasius in the long war against Arianism — the very man who had insisted, against Arius, that the Son was no mere creature but true God</w:t>
      </w:r>
      <w:hyperlink w:anchor="cite_167" w:history="1">
        <w:r>
          <w:rPr>
            <w:color w:val="671C2A"/>
            <w:sz w:val="16"/>
            <w:vertAlign w:val="superscript"/>
          </w:rPr>
          <w:t>167</w:t>
        </w:r>
      </w:hyperlink>
      <w:r>
        <w:t>. It is precisely because he came from inside the orthodox camp, not from some obviously alien school of thought, that his error mattered so much and proved so hard to dismiss.</w:t>
      </w:r>
    </w:p>
    <w:p w14:paraId="4A8D90C0" w14:textId="77777777" w:rsidR="009C7F52" w:rsidRDefault="00731002">
      <w:pPr>
        <w:pStyle w:val="BodyText"/>
      </w:pPr>
      <w:r>
        <w:t>Apollinaris was trying to solve a real problem. If Christ has a complete, ordinary human mind and a complete, ordinary human will, alongside his divine nature, does that risk two independent centers of thought and decision fighting for control of one life — and worse, does it risk a genuinely human mind that could, in principle, choose sin the way every other human mind has? Apollinaris judged the human rational mind to be exactly the faculty in which sin originates and temptation gains its foothold. If Christ’s redemptive death was going to carry infinite value and guarantee flawless sinlessness, he reasoned, the safest possible arrangement was to make sure the seat of decision in Christ was never, even potentially, a vulnerable human mind at all</w:t>
      </w:r>
      <w:hyperlink w:anchor="cite_168" w:history="1">
        <w:r>
          <w:rPr>
            <w:color w:val="671C2A"/>
            <w:sz w:val="16"/>
            <w:vertAlign w:val="superscript"/>
          </w:rPr>
          <w:t>168</w:t>
        </w:r>
      </w:hyperlink>
      <w:r>
        <w:t>.</w:t>
      </w:r>
    </w:p>
    <w:p w14:paraId="33F702C6" w14:textId="77777777" w:rsidR="009C7F52" w:rsidRDefault="00731002">
      <w:pPr>
        <w:pStyle w:val="BodyText"/>
      </w:pPr>
      <w:r>
        <w:t>So Apollinaris proposed a solution modeled loosely on the ancient Greek picture of a human being as body, animating soul, and governing rational mind — νοῦς (nous, “mind” or “rational faculty”). Christ, he taught, possessed a genuine human body and what the Greeks called a “sensitive soul” — the animal-level faculty of sensation and basic life — but not a complete human rational mind or spirit. In place of that third and highest human element, the eternal divine Word — λόγος (Logos, “Word” or “Reason,” the title John’s Gospel gives the eternal Son) — itself stepped in and directly functioned as Christ’s governing mind. Picture a human being as a house with three rooms — body, animal life, and a thinking, choosing mind — and Apollinaris was proposing that in Christ, the top room was never built. The divine λόγος (Logos, “Word”) simply occupied that space outright, ruling the body and the animal soul the way an ordinary human mind would, but without the vulnerabilities, limitations, or risks a truly human mind would carry. The picture that results is less a full human being indwelt by God than a divine mind wearing a human body and animal soul like a garment</w:t>
      </w:r>
      <w:hyperlink w:anchor="cite_169" w:history="1">
        <w:r>
          <w:rPr>
            <w:color w:val="671C2A"/>
            <w:sz w:val="16"/>
            <w:vertAlign w:val="superscript"/>
          </w:rPr>
          <w:t>169</w:t>
        </w:r>
      </w:hyperlink>
      <w:r>
        <w:t>.</w:t>
      </w:r>
    </w:p>
    <w:p w14:paraId="2632246C" w14:textId="77777777" w:rsidR="009C7F52" w:rsidRDefault="00731002">
      <w:pPr>
        <w:pStyle w:val="Heading3"/>
        <w:pBdr>
          <w:bottom w:val="single" w:sz="4" w:space="5" w:color="C8AE75"/>
        </w:pBdr>
      </w:pPr>
      <w:bookmarkStart w:id="152" w:name="Xdc96993cb753485a13b5202be316c864f4eeede"/>
      <w:bookmarkEnd w:id="151"/>
      <w:r>
        <w:t>Why the Church Could Not Accept the Trade</w:t>
      </w:r>
    </w:p>
    <w:p w14:paraId="6CAC0971" w14:textId="77777777" w:rsidR="009C7F52" w:rsidRDefault="00731002">
      <w:pPr>
        <w:pStyle w:val="FirstParagraph"/>
      </w:pPr>
      <w:r>
        <w:t>The church’s answer came from several directions at once, but the sharpest and most enduring rebuttal came from Gregory of Nazianzus, one of the three great Cappadocian theologians who had also done so much to defend the full deity of the Holy Spirit (a controversy covered in an earlier part of this book). In his letters to the priest Cledonius, written around 380–381 specifically “Against Apollinarius,” Gregory coined the single sentence that would settle the question for the rest of Christian history: “For that which He has not assumed He has not healed; but that which is united to His Godhead is also saved”</w:t>
      </w:r>
      <w:hyperlink w:anchor="cite_170" w:history="1">
        <w:r>
          <w:rPr>
            <w:color w:val="671C2A"/>
            <w:sz w:val="16"/>
            <w:vertAlign w:val="superscript"/>
          </w:rPr>
          <w:t>170</w:t>
        </w:r>
      </w:hyperlink>
      <w:r>
        <w:t>. The logic is medical before it is philosophical. If a physician is going to heal an infection in your lungs, the medicine has to actually reach your lungs; if it only reaches your arm, your lungs remain unhealed no matter how thoroughly your arm recovers. In the same way, if the eternal Son is going to heal fallen human nature — mind, will, and all — he has to actually take up a complete human nature, including a real human mind and will, in his own person. Whatever the Son does not take to himself in the incarnation, he does not heal. If Apollinaris was right that Christ had no genuine human rational mind, then the human mind — the very faculty most implicated in sin, doubt, and rebellion — remains permanently outside the reach of the incarnation, and therefore outside the reach of salvation.</w:t>
      </w:r>
    </w:p>
    <w:p w14:paraId="1EF31576" w14:textId="77777777" w:rsidR="009C7F52" w:rsidRDefault="00731002">
      <w:pPr>
        <w:pStyle w:val="BodyText"/>
      </w:pPr>
      <w:r>
        <w:t>Basil of Caesarea, another of the Cappadocians, separately criticized Apollinaris for abandoning the plain sense of Scripture in favor of a convenient, system-serving allegory, and Theodoret charged him with a confusion of persons reminiscent of the modalist heresy discussed earlier in this book</w:t>
      </w:r>
      <w:hyperlink w:anchor="cite_171" w:history="1">
        <w:r>
          <w:rPr>
            <w:color w:val="671C2A"/>
            <w:sz w:val="16"/>
            <w:vertAlign w:val="superscript"/>
          </w:rPr>
          <w:t>171</w:t>
        </w:r>
      </w:hyperlink>
      <w:r>
        <w:t>. The verdict of the wider church followed the Cappadocians’ lead, and would soon be made official, as the next section of this chapter explains.</w:t>
      </w:r>
    </w:p>
    <w:p w14:paraId="6E8B086F" w14:textId="77777777" w:rsidR="009C7F52" w:rsidRDefault="00731002">
      <w:pPr>
        <w:pStyle w:val="Heading3"/>
        <w:pBdr>
          <w:bottom w:val="single" w:sz="4" w:space="5" w:color="C8AE75"/>
        </w:pBdr>
      </w:pPr>
      <w:bookmarkStart w:id="153" w:name="Xc02c4d567e65936ad31f1d55c837ba02407d06f"/>
      <w:bookmarkEnd w:id="152"/>
      <w:r>
        <w:t>The Biblical Case for a Complete Human Mind</w:t>
      </w:r>
    </w:p>
    <w:p w14:paraId="66CF8FD8" w14:textId="77777777" w:rsidR="009C7F52" w:rsidRDefault="00731002">
      <w:pPr>
        <w:pStyle w:val="FirstParagraph"/>
      </w:pPr>
      <w:r>
        <w:t>Gregory’s axiom is not a bare philosophical slogan; it grows directly out of the New Testament’s own account of why the incarnation happened and what it accomplished. The letter to the Hebrews states the principle with unusual directness: “Therefore he had to be made like his brothers in every respect, so that he might become a merciful and faithful high priest in the service of God, to make propitiation for the sins of the people” (Hebrews 2:17). “In every respect” is a comprehensive phrase, and the whole point of the sentence depends on that comprehensiveness — Christ can serve as a high priest on our behalf precisely because he was made like us completely, not in every respect except the one faculty most responsible for temptation and sin.</w:t>
      </w:r>
    </w:p>
    <w:p w14:paraId="43CE4588" w14:textId="77777777" w:rsidR="009C7F52" w:rsidRDefault="00731002">
      <w:pPr>
        <w:pStyle w:val="BodyText"/>
      </w:pPr>
      <w:r>
        <w:t>Hebrews sharpens the same point when it turns specifically to testing and temptation: “For we do not have a high priest who is unable to sympathize with our weaknesses, but one who in every respect has been tempted as we are, yet without sin” (Hebrews 4:15). Read the Gospels’ own account of what temptation actually looked like for Jesus, and the point becomes concrete. In Matthew’s telling of the wilderness temptation, Jesus does not merely endure a bodily trial; he reasons, weighs competing claims, and answers Satan’s proposals with quotations from Scripture (Matthew 4:1–11). That is a rational and volitional event — a mind and a will actively engaged in refusal — not a purely sensory ordeal that a body and an animal-level “sensitive soul” alone could undergo. If Apollinaris were correct that Christ had no human rational mind, the wilderness temptation becomes either a performance — the changeless divine λόγος (Logos, “Word”) going through the motions of a struggle it could never actually have — or else a trial undergone by a mind that was never truly human, which would make Hebrews 4:15’s claim that Christ was tempted “as we are” false by definition, since being tempted the way we are tempted requires the very faculty Apollinaris removed.</w:t>
      </w:r>
    </w:p>
    <w:p w14:paraId="5B4E5A1B" w14:textId="77777777" w:rsidR="009C7F52" w:rsidRDefault="00731002">
      <w:pPr>
        <w:pStyle w:val="BodyText"/>
      </w:pPr>
      <w:r>
        <w:t>Luke’s Gospel supplies an independent line of evidence pointing the same direction: “And Jesus increased in wisdom and in stature and in favor with God and man” (Luke 2:52). Wisdom is not primarily a matter of physical growth or sensation; it is a rational and moral capacity, the kind of thing that develops through learning, reflection, and experience. A divine mind that already possesses infinite, unchanging knowledge cannot meaningfully “increase” in wisdom — but a real human mind, genuinely limited and genuinely growing the way every other human mind grows, can. Luke’s plain, unremarkable-sounding sentence turns out to be one of the most theologically weighty verses in the Gospel precisely because it requires exactly the complete human rational faculty Apollinaris denied Christ possessed.</w:t>
      </w:r>
    </w:p>
    <w:p w14:paraId="67E3A6A2" w14:textId="77777777" w:rsidR="009C7F52" w:rsidRDefault="00731002">
      <w:pPr>
        <w:pStyle w:val="Heading3"/>
        <w:pBdr>
          <w:bottom w:val="single" w:sz="4" w:space="5" w:color="C8AE75"/>
        </w:pBdr>
      </w:pPr>
      <w:bookmarkStart w:id="154" w:name="the-modern-shadow-of-an-old-solution"/>
      <w:bookmarkEnd w:id="153"/>
      <w:r>
        <w:t>The Modern Shadow of an Old Solution</w:t>
      </w:r>
    </w:p>
    <w:p w14:paraId="237C731D" w14:textId="77777777" w:rsidR="009C7F52" w:rsidRDefault="00731002">
      <w:pPr>
        <w:pStyle w:val="FirstParagraph"/>
      </w:pPr>
      <w:r>
        <w:t>Apollinarianism as an organized movement is long gone, but the instinct behind it is not. A functional Apollinarianism reappears whenever popular preaching or devotional imagination pictures Jesus’s humanity as a kind of passive shell wrapped around an actively divine mind — as though Jesus always secretly knew the answers to every question, effortlessly accessed unlimited knowledge through some unbroken exercise of omniscience running straight through an otherwise ordinary-looking body, without ever undergoing the real, limited, human process of learning and growing in wisdom that Luke 2:52 describes. It is a comforting picture in some ways; it removes the mystery and the tension. But it is not the picture the church settled on, and it is not the picture the Gospels themselves paint.</w:t>
      </w:r>
    </w:p>
    <w:p w14:paraId="7858E657" w14:textId="77777777" w:rsidR="009C7F52" w:rsidRDefault="00731002">
      <w:pPr>
        <w:pStyle w:val="BodyText"/>
      </w:pPr>
      <w:r>
        <w:t>What the controversy forced the church to see clearly, for the first time with real precision, is that “fully human” cannot be negotiated away even a little without unraveling the logic of salvation itself. Christ had to take up a complete human nature — body, “sensitive soul,” and rational mind together — because only a complete human nature actually joined to the eternal Son could be healed, and through that healing, ours.</w:t>
      </w:r>
    </w:p>
    <w:p w14:paraId="05898A66" w14:textId="77777777" w:rsidR="009C7F52" w:rsidRDefault="00731002">
      <w:pPr>
        <w:pStyle w:val="Heading3"/>
        <w:pBdr>
          <w:bottom w:val="single" w:sz="4" w:space="5" w:color="C8AE75"/>
        </w:pBdr>
      </w:pPr>
      <w:bookmarkStart w:id="155" w:name="a-test-case-ignorance-and-growth"/>
      <w:bookmarkEnd w:id="154"/>
      <w:r>
        <w:t>A Test Case: Ignorance and Growth</w:t>
      </w:r>
    </w:p>
    <w:p w14:paraId="088F2906" w14:textId="77777777" w:rsidR="009C7F52" w:rsidRDefault="00731002">
      <w:pPr>
        <w:pStyle w:val="FirstParagraph"/>
      </w:pPr>
      <w:r>
        <w:t>One of the reasons Apollinaris’s proposal felt attractive is that it seemed to remove an uncomfortable puzzle: how can the same person be the omniscient God and also, apparently, not know certain things? The Gospels are strikingly candid about the limits of Christ’s human knowledge. He tells his disciples that “concerning that day and hour no one knows, not even the angels of heaven, nor the Son, but the Father only” (Matthew 24:36) — a plain admission of ignorance about the timing of his own return. He is described as growing in wisdom the ordinary way any child does (Luke 2:52), and as being surprised, or at least remarking with evident wonder, at a Roman centurion’s faith (Matthew 8:10) and at the unbelief he found in his hometown (Mark 6:6). If the divine λόγος (Logos, “Word”) itself simply functioned as Christ’s mind, as Apollinaris taught, none of this makes sense — an infinite, all-knowing mind cannot coherently not know something, or be surprised by anything, or grow in anything.</w:t>
      </w:r>
    </w:p>
    <w:p w14:paraId="772586F8" w14:textId="77777777" w:rsidR="009C7F52" w:rsidRDefault="00731002">
      <w:pPr>
        <w:pStyle w:val="BodyText"/>
      </w:pPr>
      <w:r>
        <w:t xml:space="preserve">The orthodox answer, worked out more fully in the centuries after Apollinarianism was condemned, is that these limitations belong to Christ’s human nature and human consciousness specifically, while his divine nature remains, without any change or diminishment, fully omniscient. Because the properties of each nature may be truly said of the single person — the principle later named </w:t>
      </w:r>
      <w:r>
        <w:rPr>
          <w:i/>
          <w:iCs/>
        </w:rPr>
        <w:t>communicatio idiomatum</w:t>
      </w:r>
      <w:r>
        <w:t>, “the communication of properties,” which the next chapter in this part will explore at greater length — it is entirely correct to say that the person, Jesus Christ, did not know the day of his return “according to his human nature and consciousness,” while never suggesting that the eternal Word ceased, even momentarily, to know all things according to his divine nature. This is a harder answer than Apollinaris’s clean substitution of a divine mind for a human one, but it is the answer required if Christ is going to be a real human being who learns, grows, and is genuinely tempted, and not merely a divine mind wearing human skin.</w:t>
      </w:r>
    </w:p>
    <w:p w14:paraId="75B7D658" w14:textId="77777777" w:rsidR="009C7F52" w:rsidRDefault="00731002">
      <w:pPr>
        <w:pStyle w:val="Heading3"/>
        <w:pBdr>
          <w:bottom w:val="single" w:sz="4" w:space="5" w:color="C8AE75"/>
        </w:pBdr>
      </w:pPr>
      <w:bookmarkStart w:id="156" w:name="a-model-not-just-a-puzzle-to-solve"/>
      <w:bookmarkEnd w:id="155"/>
      <w:r>
        <w:t>A Model, Not Just a Puzzle to Solve</w:t>
      </w:r>
    </w:p>
    <w:p w14:paraId="28A6F0B8" w14:textId="77777777" w:rsidR="009C7F52" w:rsidRDefault="00731002">
      <w:pPr>
        <w:pStyle w:val="FirstParagraph"/>
      </w:pPr>
      <w:r>
        <w:t>There is a pastoral payoff to getting this right that Apollinaris’s own pastoral concern, ironically, put at risk. If Christ’s temptations were not real — if the outcome was never actually in doubt because a changeless divine mind was quietly running the show behind a merely apparent human struggle — then his example offers little real comfort or real pattern for believers who face their own temptations with a mind that can, in fact, waver, doubt, and be drawn toward wrong choices. But if Christ possessed a complete, genuine human mind and will, capable of real deliberation and real refusal, then his sinlessness was not a foregone conclusion built into the architecture of his person; it was a moral achievement, freely willed, all the way through, which is exactly what the writer of Hebrews has in view when he says Christ “learned obedience through what he suffered” (Hebrews 5:8) and was perfected as “the founder of their salvation” through real suffering (Hebrews 2:10). A Christ who only appears to struggle cannot be, in the fullest sense, the pioneer of faith that Hebrews describes; only a Christ with a complete human mind and will, really engaged in the fight, can be.</w:t>
      </w:r>
    </w:p>
    <w:p w14:paraId="276D9B56" w14:textId="77777777" w:rsidR="009C7F52" w:rsidRDefault="00731002">
      <w:pPr>
        <w:pStyle w:val="BodyText"/>
      </w:pPr>
      <w:r>
        <w:t>That insight would prove indispensable in the next round of controversy, when the church had to answer a very different kind of error: not a denial that Christ was fully human, but a denial that his full humanity and full deity belonged to a single, unified person at all.</w:t>
      </w:r>
    </w:p>
    <w:p w14:paraId="32ECF993" w14:textId="77777777" w:rsidR="009C7F52" w:rsidRDefault="00731002">
      <w:pPr>
        <w:pStyle w:val="Heading3"/>
        <w:pBdr>
          <w:bottom w:val="single" w:sz="4" w:space="5" w:color="C8AE75"/>
        </w:pBdr>
      </w:pPr>
      <w:bookmarkStart w:id="157" w:name="X320dc150af0706ec605ec13213274c474076b8a"/>
      <w:bookmarkEnd w:id="156"/>
      <w:r>
        <w:t>How the Church Formally Answered Apollinaris</w:t>
      </w:r>
    </w:p>
    <w:p w14:paraId="482F533E" w14:textId="77777777" w:rsidR="009C7F52" w:rsidRDefault="00731002">
      <w:pPr>
        <w:pStyle w:val="FirstParagraph"/>
      </w:pPr>
      <w:r>
        <w:t>The condemnation of Apollinarianism did not happen in a single dramatic moment; it built gradually across a series of decisions. A synod at Alexandria in 362, convened under Athanasius of Alexandria — the very ally in whose cause Apollinaris had spent his career — already registered concern about his teaching, and Gregory of Nazianzus’s letters to Cledonius, quoted earlier in this chapter, supplied the theological ammunition for the fuller condemnation still to come</w:t>
      </w:r>
      <w:hyperlink w:anchor="cite_172" w:history="1">
        <w:r>
          <w:rPr>
            <w:color w:val="671C2A"/>
            <w:sz w:val="16"/>
            <w:vertAlign w:val="superscript"/>
          </w:rPr>
          <w:t>172</w:t>
        </w:r>
      </w:hyperlink>
      <w:r>
        <w:t>. The decisive verdict came at the First Council of Constantinople in 381 — the same council that finished the church’s defense of the Holy Spirit’s full deity, discussed earlier in this book. That council formally declared Apollinaris’s teaching heretical, directing its condemnation specifically at his denial of a complete, rational human soul — νοῦς (nous, “mind”) — in Christ’s human nature and his claim that the divine λόγος (Logos, “Word”) simply replaced it</w:t>
      </w:r>
      <w:hyperlink w:anchor="cite_173" w:history="1">
        <w:r>
          <w:rPr>
            <w:color w:val="671C2A"/>
            <w:sz w:val="16"/>
            <w:vertAlign w:val="superscript"/>
          </w:rPr>
          <w:t>173</w:t>
        </w:r>
      </w:hyperlink>
      <w:r>
        <w:t>.</w:t>
      </w:r>
    </w:p>
    <w:p w14:paraId="5A995F5E" w14:textId="77777777" w:rsidR="009C7F52" w:rsidRDefault="00731002">
      <w:pPr>
        <w:pStyle w:val="BodyText"/>
      </w:pPr>
      <w:r>
        <w:t>Apollinaris himself, by all accounts, never recanted, and he continued to lead a following until his death in 382, the year after the council’s verdict. Even the council’s condemnation did not immediately dissolve the movement; after Apollinaris’s death it split into two rival sects, the more moderate Vitalians, named for an Apollinarist claimant to the see of Antioch, and the more radical Polemeans, who went further and taught that Christ’s body itself, fused with deity, was a fit object of worship in its own right</w:t>
      </w:r>
      <w:hyperlink w:anchor="cite_174" w:history="1">
        <w:r>
          <w:rPr>
            <w:color w:val="671C2A"/>
            <w:sz w:val="16"/>
            <w:vertAlign w:val="superscript"/>
          </w:rPr>
          <w:t>174</w:t>
        </w:r>
      </w:hyperlink>
      <w:r>
        <w:t>. Both branches faded out within the following decades, but the underlying instinct behind Apollinaris’s proposal — emphasizing the unity of Christ’s person by quietly minimizing one nature in favor of the other — did not disappear with them; it resurfaced, in a different form, in the controversy over Eutyches treated later in this part</w:t>
      </w:r>
      <w:hyperlink w:anchor="cite_175" w:history="1">
        <w:r>
          <w:rPr>
            <w:color w:val="671C2A"/>
            <w:sz w:val="16"/>
            <w:vertAlign w:val="superscript"/>
          </w:rPr>
          <w:t>175</w:t>
        </w:r>
      </w:hyperlink>
      <w:r>
        <w:t>. What outlasted the movement itself, in other words, was the philosophical shortcut at its center — the temptation to solve the puzzle of Christ’s two natures by quietly trimming away part of one of them, usually the human side, because a human faculty always seems like the more manageable, more dispensable variable in the equation. The church’s answer, worked out across Gregory of Nazianzus’s letters and the council’s verdict, was to insist that no such trimming is permitted, however elegant the resulting simplicity might look on paper.</w:t>
      </w:r>
    </w:p>
    <w:p w14:paraId="48EC7DED" w14:textId="77777777" w:rsidR="009C7F52" w:rsidRDefault="00731002">
      <w:pPr>
        <w:pStyle w:val="BodyText"/>
      </w:pPr>
      <w:r>
        <w:t>The pastoral stakes recur precisely because the temptation recurs. It surfaces, in a mild and rarely examined form, whenever a Christian instinctively pictures Jesus’s temptations as effectively pre-decided — a performance of struggle without any real possibility of failure, because after all, he was God. Apollinaris tried to build that intuition into formal doctrine; the church, guided by Gregory of Nazianzus’s axiom, insisted instead that Christ’s victory over temptation was real, because his human mind and will, in the fight, were real.</w:t>
      </w:r>
    </w:p>
    <w:p w14:paraId="33A7D2B4" w14:textId="77777777" w:rsidR="009C7F52" w:rsidRDefault="00731002">
      <w:pPr>
        <w:pStyle w:val="Heading2"/>
        <w:pBdr>
          <w:bottom w:val="single" w:sz="10" w:space="8" w:color="A68037"/>
        </w:pBdr>
      </w:pPr>
      <w:bookmarkStart w:id="158" w:name="Xe68fdda86c0fd5362566ee4f1ae212662936a05"/>
      <w:bookmarkEnd w:id="150"/>
      <w:bookmarkEnd w:id="157"/>
      <w:r>
        <w:t>Chapter 21: Nestorius, Cyril, and the Council of Ephesus (431)</w:t>
      </w:r>
    </w:p>
    <w:p w14:paraId="484B028E" w14:textId="77777777" w:rsidR="009C7F52" w:rsidRDefault="00731002">
      <w:pPr>
        <w:pStyle w:val="FirstParagraph"/>
      </w:pPr>
      <w:r>
        <w:t>Suppose someone told you that the baby in Bethlehem’s manger was not, strictly speaking, God — that God the eternal Word merely lived alongside that baby, closely and lovingly, the way a benevolent guardian lives alongside the person under his protection. It sounds like a small, careful distinction. It is actually one of the sharpest fault lines in the entire history of Christian doctrine, and the fifth-century church spent a bruising, politically charged council working out exactly why.</w:t>
      </w:r>
    </w:p>
    <w:p w14:paraId="00ADE026" w14:textId="77777777" w:rsidR="009C7F52" w:rsidRDefault="00731002">
      <w:pPr>
        <w:pStyle w:val="BodyText"/>
      </w:pPr>
      <w:r>
        <w:t xml:space="preserve">The Apollinarian controversy, treated in the previous chapter, had forced the church to insist that Christ possesses a complete, unabridged human nature alongside his complete divine nature. But insisting on two complete natures immediately raises a harder question: are those two natures held together in a single person, or does the church end up, in practice, describing two persons loosely associated with each other? That is the question the </w:t>
      </w:r>
      <w:r>
        <w:rPr>
          <w:b/>
          <w:bCs/>
        </w:rPr>
        <w:t>hypostatic union</w:t>
      </w:r>
      <w:r>
        <w:t xml:space="preserve"> — the joining of full deity and full humanity in the one person of Christ, a term introduced in the previous chapter — exists to answer, and it is the question that exploded into open controversy in Constantinople in the year 428.</w:t>
      </w:r>
    </w:p>
    <w:p w14:paraId="297CCE20" w14:textId="77777777" w:rsidR="009C7F52" w:rsidRDefault="00731002">
      <w:pPr>
        <w:pStyle w:val="Heading3"/>
        <w:pBdr>
          <w:bottom w:val="single" w:sz="4" w:space="5" w:color="C8AE75"/>
        </w:pBdr>
      </w:pPr>
      <w:bookmarkStart w:id="159" w:name="a-new-archbishop-and-an-old-title"/>
      <w:r>
        <w:t>A New Archbishop and an Old Title</w:t>
      </w:r>
    </w:p>
    <w:p w14:paraId="33FC5D92" w14:textId="77777777" w:rsidR="009C7F52" w:rsidRDefault="00731002">
      <w:pPr>
        <w:pStyle w:val="FirstParagraph"/>
      </w:pPr>
      <w:r>
        <w:t>Nestorius, a monk trained in the theological tradition of Antioch, became Archbishop of Constantinople in 428. The Antiochene school he came from had a genuine and legitimate theological instinct: a strong emphasis on keeping Christ’s divine and human natures clearly, carefully distinct, precisely so that neither nature would be allowed to blur into or overwhelm the other. Almost immediately after his appointment, Nestorius brought that instinct into public controversy by preaching against a title that Christians had long used for Mary: Θεοτόκος (Theotokos, “God-bearer” or “Mother of God”)</w:t>
      </w:r>
      <w:hyperlink w:anchor="cite_176" w:history="1">
        <w:r>
          <w:rPr>
            <w:color w:val="671C2A"/>
            <w:sz w:val="16"/>
            <w:vertAlign w:val="superscript"/>
          </w:rPr>
          <w:t>176</w:t>
        </w:r>
      </w:hyperlink>
      <w:r>
        <w:t>.</w:t>
      </w:r>
    </w:p>
    <w:p w14:paraId="739E7501" w14:textId="77777777" w:rsidR="009C7F52" w:rsidRDefault="00731002">
      <w:pPr>
        <w:pStyle w:val="BodyText"/>
      </w:pPr>
      <w:r>
        <w:t>Nestorius’s objection followed a certain kind of logic. God, understood as the eternal, uncreated, unchanging source of all things, cannot literally be born from a woman’s womb — birth is something that happens to created, temporal beings, not to the infinite God. So, Nestorius argued, Mary should be called Χριστοτόκος (Christotokos, “Christ-bearer”) rather than Θεοτόκος (Theotokos, “God-bearer”). On his own account, Nestorius did not intend to ban the older title outright or to claim that the man Jesus and the divine Son were two entirely separate beings; he described the union of Christ’s human and divine natures using the Greek word συνάφεια (synapheia, “conjunction” or “close joining”), and insisted the two were joined in a single πρόσωπον (prosopon, “person” or, literally, “face”) of Christ</w:t>
      </w:r>
      <w:hyperlink w:anchor="cite_177" w:history="1">
        <w:r>
          <w:rPr>
            <w:color w:val="671C2A"/>
            <w:sz w:val="16"/>
            <w:vertAlign w:val="superscript"/>
          </w:rPr>
          <w:t>177</w:t>
        </w:r>
      </w:hyperlink>
      <w:r>
        <w:t>. But to many of his contemporaries — and to one opponent in particular — that language sounded like something far more dangerous than careful precision: two complete, independent centers of being, a human one and a divine one, merely conjoined rather than genuinely, personally united.</w:t>
      </w:r>
    </w:p>
    <w:p w14:paraId="20FB8A15" w14:textId="77777777" w:rsidR="009C7F52" w:rsidRDefault="00731002">
      <w:pPr>
        <w:pStyle w:val="BodyText"/>
      </w:pPr>
      <w:r>
        <w:t>The instinct behind Nestorius’s caution deserves to be taken seriously rather than dismissed. He and his Antiochene colleagues were trying to protect something real: the integrity and non-confusion of Christ’s full humanity against any hint that the divine nature simply absorbed or diluted it — the same worry, from the opposite direction, that would later produce the Eutychian controversy discussed in the next chapter. To an unsympathetic ear, Θεοτόκος (Theotokos, “God-bearer”) really can sound like it collapses the distinction between Christ’s two natures, or even divinizes Mary herself. Distinguishing the “Christ-bearing” role Mary played from any claim about the eternal Godhead itself being generated in time looked, to Nestorius, like ordinary theological precision. It would take a formidable opponent, and an imperial council, to show him and the wider church why precision of that particular kind came at too high a cost.</w:t>
      </w:r>
    </w:p>
    <w:p w14:paraId="6CED1A46" w14:textId="77777777" w:rsidR="009C7F52" w:rsidRDefault="00731002">
      <w:pPr>
        <w:pStyle w:val="Heading3"/>
        <w:pBdr>
          <w:bottom w:val="single" w:sz="4" w:space="5" w:color="C8AE75"/>
        </w:pBdr>
      </w:pPr>
      <w:bookmarkStart w:id="160" w:name="cyril-of-alexandrias-answer"/>
      <w:bookmarkEnd w:id="159"/>
      <w:r>
        <w:t>Cyril of Alexandria’s Answer</w:t>
      </w:r>
    </w:p>
    <w:p w14:paraId="5F15D6AE" w14:textId="77777777" w:rsidR="009C7F52" w:rsidRDefault="00731002">
      <w:pPr>
        <w:pStyle w:val="FirstParagraph"/>
      </w:pPr>
      <w:r>
        <w:t>Cyril, Patriarch of Alexandria from 412 to 444, became Nestorius’s most forceful and theologically formidable opponent</w:t>
      </w:r>
      <w:hyperlink w:anchor="cite_178" w:history="1">
        <w:r>
          <w:rPr>
            <w:color w:val="671C2A"/>
            <w:sz w:val="16"/>
            <w:vertAlign w:val="superscript"/>
          </w:rPr>
          <w:t>178</w:t>
        </w:r>
      </w:hyperlink>
      <w:r>
        <w:t>. Cyril’s core argument was that Nestorius’s language of two natures loosely “conjoined” in one πρόσωπον (prosopon, “person”) logically required two distinct Sons — a human son of Mary and a divine, eternal Son of God, merely traveling together — rather than a single, unified subject who is both at once. In his Third Epistle to Nestorius, Cyril pressed the point at length and appended twelve formal condemnations, known as the Twelve Anathemas, one of which states simply: “Anyone who dares to deny the Holy Virgin the title Theotokos is Anathema!”</w:t>
      </w:r>
      <w:hyperlink w:anchor="cite_179" w:history="1">
        <w:r>
          <w:rPr>
            <w:color w:val="671C2A"/>
            <w:sz w:val="16"/>
            <w:vertAlign w:val="superscript"/>
          </w:rPr>
          <w:t>179</w:t>
        </w:r>
      </w:hyperlink>
      <w:r>
        <w:t>. Cyril secured the backing of Pope Celestine I of Rome, who authorized him to demand that Nestorius recant his teaching within ten days or face excommunication</w:t>
      </w:r>
      <w:hyperlink w:anchor="cite_180" w:history="1">
        <w:r>
          <w:rPr>
            <w:color w:val="671C2A"/>
            <w:sz w:val="16"/>
            <w:vertAlign w:val="superscript"/>
          </w:rPr>
          <w:t>180</w:t>
        </w:r>
      </w:hyperlink>
      <w:r>
        <w:t>.</w:t>
      </w:r>
    </w:p>
    <w:p w14:paraId="63D9B696" w14:textId="77777777" w:rsidR="009C7F52" w:rsidRDefault="00731002">
      <w:pPr>
        <w:pStyle w:val="BodyText"/>
      </w:pPr>
      <w:r>
        <w:t xml:space="preserve">Cyril’s underlying theology was not a denial of Christ’s full humanity; it was, rather, an insistence that whatever happens to Christ — birth, growth, suffering, death — happens to a single, undivided subject who is, without remainder, both God and man. On this view, it is entirely appropriate to say that “God the Word was born of Mary,” not because the eternal divine nature itself began to exist at that moment, but because the one person doing the being-born is the eternal divine Word, now also, and inseparably, a human being. This principle — that properties belonging to either of Christ’s two natures may be truly said of the single person — is called by its later Latin name, </w:t>
      </w:r>
      <w:r>
        <w:rPr>
          <w:i/>
          <w:iCs/>
        </w:rPr>
        <w:t>communicatio idiomatum</w:t>
      </w:r>
      <w:r>
        <w:t xml:space="preserve"> (“the communication of properties”), and it depends entirely on there being one person, not two, to whom both sets of properties can be attributed. Cyril believed Nestorius’s careful two-πρόσωπα (prosopa, plural of prosopon, “persons”) language made that kind of speech impossible, and with it, made the very idea of a genuine incarnation impossible.</w:t>
      </w:r>
    </w:p>
    <w:p w14:paraId="323E8F7B" w14:textId="77777777" w:rsidR="009C7F52" w:rsidRDefault="00731002">
      <w:pPr>
        <w:pStyle w:val="Heading3"/>
        <w:pBdr>
          <w:bottom w:val="single" w:sz="4" w:space="5" w:color="C8AE75"/>
        </w:pBdr>
      </w:pPr>
      <w:bookmarkStart w:id="161" w:name="ephesus-431"/>
      <w:bookmarkEnd w:id="160"/>
      <w:r>
        <w:t>Ephesus, 431</w:t>
      </w:r>
    </w:p>
    <w:p w14:paraId="2513263F" w14:textId="77777777" w:rsidR="009C7F52" w:rsidRDefault="00731002">
      <w:pPr>
        <w:pStyle w:val="FirstParagraph"/>
      </w:pPr>
      <w:r>
        <w:t>The struggle between the sees of Alexandria and Antioch, sharpened by the additional rivalry each felt toward the newly prominent see of Constantinople, provided much of the political backdrop against which this theological dispute played out</w:t>
      </w:r>
      <w:hyperlink w:anchor="cite_181" w:history="1">
        <w:r>
          <w:rPr>
            <w:color w:val="671C2A"/>
            <w:sz w:val="16"/>
            <w:vertAlign w:val="superscript"/>
          </w:rPr>
          <w:t>181</w:t>
        </w:r>
      </w:hyperlink>
      <w:r>
        <w:t>. Nestorius himself, confident that a fair hearing would vindicate him and lead instead to Cyril’s condemnation, requested that Emperor Theodosius II convene a council to settle the matter</w:t>
      </w:r>
      <w:hyperlink w:anchor="cite_182" w:history="1">
        <w:r>
          <w:rPr>
            <w:color w:val="671C2A"/>
            <w:sz w:val="16"/>
            <w:vertAlign w:val="superscript"/>
          </w:rPr>
          <w:t>182</w:t>
        </w:r>
      </w:hyperlink>
      <w:r>
        <w:t>. Theodosius agreed, and the third ecumenical council opened at the Church of Mary in Ephesus — a city with deep, ancient associations with the veneration of Mary — on 22 June 431</w:t>
      </w:r>
      <w:hyperlink w:anchor="cite_183" w:history="1">
        <w:r>
          <w:rPr>
            <w:color w:val="671C2A"/>
            <w:sz w:val="16"/>
            <w:vertAlign w:val="superscript"/>
          </w:rPr>
          <w:t>183</w:t>
        </w:r>
      </w:hyperlink>
      <w:r>
        <w:t>.</w:t>
      </w:r>
    </w:p>
    <w:p w14:paraId="6AAEFA14" w14:textId="77777777" w:rsidR="009C7F52" w:rsidRDefault="00731002">
      <w:pPr>
        <w:pStyle w:val="BodyText"/>
      </w:pPr>
      <w:r>
        <w:t>What followed was not a leisurely theological seminar. Cyril, presiding, opened the council’s proceedings before the delegation of bishops from Antioch and Syria — bishops broadly sympathetic to Nestorius, including John of Antioch — had even arrived in the city</w:t>
      </w:r>
      <w:hyperlink w:anchor="cite_184" w:history="1">
        <w:r>
          <w:rPr>
            <w:color w:val="671C2A"/>
            <w:sz w:val="16"/>
            <w:vertAlign w:val="superscript"/>
          </w:rPr>
          <w:t>184</w:t>
        </w:r>
      </w:hyperlink>
      <w:r>
        <w:t>. Nestorius, considering the council’s early opening a “flagrant injustice,” refused three separate summonses to appear and defend himself before the assembled bishops</w:t>
      </w:r>
      <w:hyperlink w:anchor="cite_185" w:history="1">
        <w:r>
          <w:rPr>
            <w:color w:val="671C2A"/>
            <w:sz w:val="16"/>
            <w:vertAlign w:val="superscript"/>
          </w:rPr>
          <w:t>185</w:t>
        </w:r>
      </w:hyperlink>
      <w:r>
        <w:t>. Roughly two hundred bishops, meeting without him, examined his teaching, condemned it, and deposed him from his see. When John of Antioch’s delegation finally arrived days later, they were furious at what they regarded as a rigged proceeding and convened a brief rival council of their own that in turn condemned Cyril — a genuinely messy, human, political tangle that took roughly two more years, and the mediating efforts of imperial officials, to fully untangle</w:t>
      </w:r>
      <w:hyperlink w:anchor="cite_186" w:history="1">
        <w:r>
          <w:rPr>
            <w:color w:val="671C2A"/>
            <w:sz w:val="16"/>
            <w:vertAlign w:val="superscript"/>
          </w:rPr>
          <w:t>186</w:t>
        </w:r>
      </w:hyperlink>
      <w:r>
        <w:t>.</w:t>
      </w:r>
    </w:p>
    <w:p w14:paraId="55BCBE23" w14:textId="77777777" w:rsidR="009C7F52" w:rsidRDefault="00731002">
      <w:pPr>
        <w:pStyle w:val="BodyText"/>
      </w:pPr>
      <w:r>
        <w:t>It would be a mistake to let the council’s irregular, hurried procedure obscure the substance of what it decided, or to conclude that the outcome was merely a matter of political maneuvering. The wider church, East and West alike, received Ephesus’s central verdict — the condemnation of Nestorius’s teaching and the affirmation of Mary as Θεοτόκος (Theotokos, “God-bearer”) — as a faithful articulation of what the apostolic witness had always implied about the unity of Christ’s person, and both the Eastern Orthodox and Roman Catholic communions, along with the later Reformation churches, have continued to recognize Ephesus as the third ecumenical council ever since</w:t>
      </w:r>
      <w:hyperlink w:anchor="cite_187" w:history="1">
        <w:r>
          <w:rPr>
            <w:color w:val="671C2A"/>
            <w:sz w:val="16"/>
            <w:vertAlign w:val="superscript"/>
          </w:rPr>
          <w:t>187</w:t>
        </w:r>
      </w:hyperlink>
      <w:r>
        <w:t>. By 433, Cyril and John of Antioch reached a reconciliation, and two decades later, the Council of Chalcedon — the subject of the next chapter — would formally reaffirm Ephesus’s condemnation of Nestorius even while correcting an opposite and equally serious error that had grown up, ironically, out of an overzealous defense of Cyril’s own theology</w:t>
      </w:r>
      <w:hyperlink w:anchor="cite_188" w:history="1">
        <w:r>
          <w:rPr>
            <w:color w:val="671C2A"/>
            <w:sz w:val="16"/>
            <w:vertAlign w:val="superscript"/>
          </w:rPr>
          <w:t>188</w:t>
        </w:r>
      </w:hyperlink>
      <w:r>
        <w:t>.</w:t>
      </w:r>
    </w:p>
    <w:p w14:paraId="44D71BA2" w14:textId="77777777" w:rsidR="009C7F52" w:rsidRDefault="00731002">
      <w:pPr>
        <w:pStyle w:val="Heading3"/>
        <w:pBdr>
          <w:bottom w:val="single" w:sz="4" w:space="5" w:color="C8AE75"/>
        </w:pBdr>
      </w:pPr>
      <w:bookmarkStart w:id="162" w:name="Xa48534f9b2c6375fe9f54c268b4857f44a3718c"/>
      <w:bookmarkEnd w:id="161"/>
      <w:r>
        <w:t>Why the New Testament Requires One Person, Not Two</w:t>
      </w:r>
    </w:p>
    <w:p w14:paraId="0B4BE44E" w14:textId="77777777" w:rsidR="009C7F52" w:rsidRDefault="00731002">
      <w:pPr>
        <w:pStyle w:val="FirstParagraph"/>
      </w:pPr>
      <w:r>
        <w:t>The deepest reason the church could not accept Nestorius’s language, whatever his own careful intentions, is that the New Testament consistently narrates Jesus Christ as a single, undivided subject to whom both fully divine and fully human predicates are attributed without the slightest hint that two different persons are alternately speaking or acting through him. John’s Gospel opens with exactly this kind of single-subject claim: “And the Word became flesh and dwelt among us” (John 1:14). The sentence names one subject — “the Word” — undergoing a real transition into flesh. It does not say that the Word joined forces with, or took up residence alongside, an already-existing separate human person named Jesus; it says the Word itself became flesh. If Nestorius were right that the man Jesus and the divine Son were two distinct persons merely conjoined, John’s Gospel would need a very different sentence — something closer to “the Word indwelt a man” — rather than this stark claim of the Word’s own becoming.</w:t>
      </w:r>
    </w:p>
    <w:p w14:paraId="79823EA1" w14:textId="77777777" w:rsidR="009C7F52" w:rsidRDefault="00731002">
      <w:pPr>
        <w:pStyle w:val="BodyText"/>
      </w:pPr>
      <w:r>
        <w:t>Luke’s account of the angel’s announcement to Mary makes the identical point from the opposite direction, at the very moment of conception that Nestorius’s Χριστοτόκος (Christotokos, “Christ-bearer”) argument specifically targets. The angel tells Mary that the Holy Spirit will come upon her and “the power of the Most High will overshadow you; therefore the child to be born will be called holy — the Son of God” (Luke 1:35). The child conceived in Mary’s womb is identified, from the very first instant of his human existence, as “the Son of God” — not as a human person who will later be joined to the Son of God, but as the Son of God himself, in the act of being conceived and, in due course, born. This is precisely what Θεοτόκος (Theotokos, “God-bearer”) was coined to protect, and precisely what a strict Χριστοτόκος (Christotokos, “Christ-bearer”)-only reading cannot accommodate without quietly introducing a second, merely human subject where Luke names only one.</w:t>
      </w:r>
    </w:p>
    <w:p w14:paraId="14A98C78" w14:textId="77777777" w:rsidR="009C7F52" w:rsidRDefault="00731002">
      <w:pPr>
        <w:pStyle w:val="BodyText"/>
      </w:pPr>
      <w:r>
        <w:t>Paul’s letters confirm the same identity of subject across the whole span of the incarnation. “God sent forth his Son, born of woman, born under the law, to redeem those who were under the law” (Galatians 4:4–5) identifies the one born of a woman explicitly as “his Son” — the eternal, sent Son, not some separate human associate of the Son. And Colossians states the unity in the present tense of Paul’s own day, describing the already-incarnate, already-risen Christ: “For in him the whole fullness of deity dwells bodily” (Colossians 2:9) — one “him,” one bodily dwelling, the fullness of deity and a real human body predicated of a single subject without division.</w:t>
      </w:r>
    </w:p>
    <w:p w14:paraId="477E9350" w14:textId="77777777" w:rsidR="009C7F52" w:rsidRDefault="00731002">
      <w:pPr>
        <w:pStyle w:val="Heading3"/>
        <w:pBdr>
          <w:bottom w:val="single" w:sz="4" w:space="5" w:color="C8AE75"/>
        </w:pBdr>
      </w:pPr>
      <w:bookmarkStart w:id="163" w:name="ephesuss-legacy"/>
      <w:bookmarkEnd w:id="162"/>
      <w:r>
        <w:t>Ephesus’s Legacy</w:t>
      </w:r>
    </w:p>
    <w:p w14:paraId="5DE634FC" w14:textId="77777777" w:rsidR="009C7F52" w:rsidRDefault="00731002">
      <w:pPr>
        <w:pStyle w:val="FirstParagraph"/>
      </w:pPr>
      <w:r>
        <w:t>The historic Church of the East carried a version of a strongly two-ὑπόστασις (hypostasis, “person”) Christology eastward into Persia, India, and China in the centuries following Ephesus; the label “Nestorian” is still loosely applied to its theological descendants today, though many modern scholars regard that label as an oversimplification of what Nestorius actually taught and what those churches actually believe</w:t>
      </w:r>
      <w:hyperlink w:anchor="cite_189" w:history="1">
        <w:r>
          <w:rPr>
            <w:color w:val="671C2A"/>
            <w:sz w:val="16"/>
            <w:vertAlign w:val="superscript"/>
          </w:rPr>
          <w:t>189</w:t>
        </w:r>
      </w:hyperlink>
      <w:r>
        <w:t>. More diffusely, a functional Nestorianism reappears whenever popular devotion imaginatively separates “the human Jesus” from “the divine Christ,” picturing them as two overlapping but distinguishable actors sharing the story of the Gospels rather than one, single, indivisible person.</w:t>
      </w:r>
    </w:p>
    <w:p w14:paraId="638B87FA" w14:textId="77777777" w:rsidR="009C7F52" w:rsidRDefault="00731002">
      <w:pPr>
        <w:pStyle w:val="Heading3"/>
        <w:pBdr>
          <w:bottom w:val="single" w:sz="4" w:space="5" w:color="C8AE75"/>
        </w:pBdr>
      </w:pPr>
      <w:bookmarkStart w:id="164" w:name="X2782502237daa9d355cad3b9dcb7c458b101308"/>
      <w:bookmarkEnd w:id="163"/>
      <w:r>
        <w:t>Why the Title Mattered More Than It Seemed To</w:t>
      </w:r>
    </w:p>
    <w:p w14:paraId="7AEC7941" w14:textId="77777777" w:rsidR="009C7F52" w:rsidRDefault="00731002">
      <w:pPr>
        <w:pStyle w:val="FirstParagraph"/>
      </w:pPr>
      <w:r>
        <w:t>It would be easy for a modern reader to conclude that the whole dispute turned on a technicality of religious etiquette — what, after all, does it really matter which title Mary receives? But the title was never really about Mary; it was a diagnostic test for a much larger claim about who was in the manger, who hung on the cross, and who rose from the dead. If Θεοτόκος (Theotokos, “God-bearer”) is refused because “God cannot be born,” then whatever was born of Mary was, in the end, someone other than God himself — a human person specially joined to God, perhaps, but not God the Son in person. And if that is true, then it is no longer accurate to say, with Paul, that “God was manifested in the flesh” (1 Timothy 3:16), or with John, that “the Word became flesh” (John 1:14); at best, one could say that the Word came to dwell alongside flesh. Every subsequent claim the New Testament makes about the identity of the one who suffered, died, and rose — that it was God’s own Son, not merely God’s specially chosen human partner — depends on the very point Θεοτόκος (Theotokos, “God-bearer”) was coined to protect.</w:t>
      </w:r>
    </w:p>
    <w:p w14:paraId="5CF4A0FB" w14:textId="77777777" w:rsidR="009C7F52" w:rsidRDefault="00731002">
      <w:pPr>
        <w:pStyle w:val="BodyText"/>
      </w:pPr>
      <w:r>
        <w:t>This is also why the controversy could not be resolved by simply letting both titles stand as acceptable alternatives, the way a modern reader accustomed to denominational tolerance might expect. Cyril was not policing Nestorius’s manners; he judged, rightly, that Χριστοτόκος (Christotokos, “Christ-bearer”) alone, stripped of Θεοτόκος (Theotokos, “God-bearer”), functioned as a wedge that would eventually split Christ into two subjects no matter how carefully Nestorius himself intended to hold them together. Ideas carry their own logic further than the people who first state them always intend, and the church’s task at Ephesus was to trace that logic to its end before it had fully unfolded in the wider church’s devotion and preaching.</w:t>
      </w:r>
    </w:p>
    <w:p w14:paraId="2FD0AC74" w14:textId="77777777" w:rsidR="009C7F52" w:rsidRDefault="00731002">
      <w:pPr>
        <w:pStyle w:val="Heading3"/>
        <w:pBdr>
          <w:bottom w:val="single" w:sz="4" w:space="5" w:color="C8AE75"/>
        </w:pBdr>
      </w:pPr>
      <w:bookmarkStart w:id="165" w:name="X274cc9d5f3c0e83727172abd6efc189467158cd"/>
      <w:bookmarkEnd w:id="164"/>
      <w:r>
        <w:t>The Word Made Flesh, Not a Word Alongside Flesh</w:t>
      </w:r>
    </w:p>
    <w:p w14:paraId="7374ADDD" w14:textId="77777777" w:rsidR="009C7F52" w:rsidRDefault="00731002">
      <w:pPr>
        <w:pStyle w:val="FirstParagraph"/>
      </w:pPr>
      <w:r>
        <w:t xml:space="preserve">Acts of the Apostles preserves a small but telling piece of evidence for how the earliest post-apostolic generations of Christians actually spoke about this unity of subject, well before Nestorius or Cyril were born. Paul warns the Ephesian elders to “care for the church of God, which he obtained with his own blood” (Acts 20:28) — a sentence that predicates something as ordinarily, unmistakably human as bleeding directly of “God.” No one supposes Luke means that the eternal divine nature, as such, secreted blood; the point is that the one person who is God the Son also, and inseparably, shed real human blood, and Scripture is comfortable attributing that human act directly to the divine subject because there is, in the end, only one subject to attribute it to. Paul does exactly the same thing in Romans, describing the Son as “descended from David according to the flesh” and simultaneously “declared to be the Son of God in power… according to the Spirit of holiness, by his resurrection from the dead” (Romans 1:3–4) — one person, described from two angles, human descent and divine sonship, in successive clauses of a single sentence. This kind of language, sometimes later called the </w:t>
      </w:r>
      <w:r>
        <w:rPr>
          <w:i/>
          <w:iCs/>
        </w:rPr>
        <w:t>communicatio idiomatum</w:t>
      </w:r>
      <w:r>
        <w:t xml:space="preserve"> (“the communication of properties”) and treated at greater length in the next chapter, only works, only remains true rather than confused, if the human and divine predicates belong to a single person rather than two conjoined ones.</w:t>
      </w:r>
    </w:p>
    <w:p w14:paraId="5E3EDB50" w14:textId="77777777" w:rsidR="009C7F52" w:rsidRDefault="00731002">
      <w:pPr>
        <w:pStyle w:val="BodyText"/>
      </w:pPr>
      <w:r>
        <w:t>What Ephesus established, against Nestorius’s careful but ultimately unworkable caution, is that Jesus Christ is one person, and only one, who possesses two complete natures. That single conclusion, however, immediately created the opposite temptation: if Christ is so thoroughly one person, why not simplify matters further and say his two natures themselves blend into one? That is exactly the mistake the next generation of the church would have to answer.</w:t>
      </w:r>
    </w:p>
    <w:p w14:paraId="2C7078C9" w14:textId="77777777" w:rsidR="009F2F79" w:rsidRDefault="001A04A2">
      <w:pPr>
        <w:pStyle w:val="Heading3"/>
      </w:pPr>
      <w:r>
        <w:t>Ephesus and the Unity of the Acting Subject</w:t>
      </w:r>
    </w:p>
    <w:p w14:paraId="71D67FFF" w14:textId="77777777" w:rsidR="009F2F79" w:rsidRDefault="001A04A2">
      <w:pPr>
        <w:pStyle w:val="FirstParagraph"/>
      </w:pPr>
      <w:r>
        <w:t>The enduring achievement of Ephesus is the insistence that every Gospel predicate belongs to one and the same personal subject, the eternal Son. The one born of Mary is the one through whom the world was made; the one who hungers is the bread of life; the one who sleeps in the boat commands the sea; the Lord of glory is crucified (1 Corinthians 2:8). These statements do not transfer divine properties into the human nature or human limitations into the divine essence. They predicate the properties of either nature of the one person who possesses both. The communicatio idiomatum is therefore grammatical and personal before it is speculative: Scripture speaks this way because Christ is not two sons acting in partnership.</w:t>
      </w:r>
    </w:p>
    <w:p w14:paraId="4CF956B1" w14:textId="77777777" w:rsidR="009F2F79" w:rsidRDefault="001A04A2">
      <w:pPr>
        <w:pStyle w:val="BodyText"/>
      </w:pPr>
      <w:r>
        <w:t>The title Theotokos protects this unity. It does not claim that Mary originated the divine nature or existed before the Son. It confesses that the person born from her according to humanity is God the Son. Christotokos may be true if it means that Mary bore the Messiah, but it becomes inadequate when used to separate the human birth from the identity of the Word. Ephesus teaches the church to ask “who?” before “according to which nature?” The answer to the first question is always the Son; the second explains how the one Son can truly be eternal and born, omnipotent and weak, impassible according to deity and suffering according to humanity.</w:t>
      </w:r>
    </w:p>
    <w:p w14:paraId="147FA449" w14:textId="77777777" w:rsidR="009C7F52" w:rsidRDefault="00731002">
      <w:pPr>
        <w:pStyle w:val="Heading2"/>
        <w:pBdr>
          <w:bottom w:val="single" w:sz="10" w:space="8" w:color="A68037"/>
        </w:pBdr>
      </w:pPr>
      <w:bookmarkStart w:id="166" w:name="X60881847f089f21a28adc50657c2a903cd02a14"/>
      <w:bookmarkEnd w:id="158"/>
      <w:bookmarkEnd w:id="165"/>
      <w:r>
        <w:t>Chapter 22: Eutyches, Chalcedon (451), and the Definition of Two Natures</w:t>
      </w:r>
    </w:p>
    <w:p w14:paraId="7FCE5224" w14:textId="77777777" w:rsidR="009C7F52" w:rsidRDefault="00731002">
      <w:pPr>
        <w:pStyle w:val="FirstParagraph"/>
      </w:pPr>
      <w:r>
        <w:t>Get one error right and you can still walk straight into its mirror image. That is exactly what happened in the two decades after Ephesus. Having condemned Nestorius for dividing Christ into two persons, a new generation of theologians, anxious above all to honor the unity Ephesus had defended, swung so hard in the opposite direction that they began to erase the very distinction between Christ’s two natures that made him a genuine mediator between God and humanity at all.</w:t>
      </w:r>
    </w:p>
    <w:p w14:paraId="2932362D" w14:textId="77777777" w:rsidR="009C7F52" w:rsidRDefault="00731002">
      <w:pPr>
        <w:pStyle w:val="Heading3"/>
        <w:pBdr>
          <w:bottom w:val="single" w:sz="4" w:space="5" w:color="C8AE75"/>
        </w:pBdr>
      </w:pPr>
      <w:bookmarkStart w:id="167" w:name="eutyches-and-the-opposite-extreme"/>
      <w:r>
        <w:t>Eutyches and the Opposite Extreme</w:t>
      </w:r>
    </w:p>
    <w:p w14:paraId="06552302" w14:textId="77777777" w:rsidR="009C7F52" w:rsidRDefault="00731002">
      <w:pPr>
        <w:pStyle w:val="FirstParagraph"/>
      </w:pPr>
      <w:r>
        <w:t>Eutyches of Constantinople was an elderly and influential archimandrite — the superior of a monastery — in the imperial capital, and a vehement, committed opponent of everything Nestorius had stood for. In the 440s he taught a Christology built directly, though mistakenly, out of Cyril of Alexandria’s own vocabulary</w:t>
      </w:r>
      <w:hyperlink w:anchor="cite_190" w:history="1">
        <w:r>
          <w:rPr>
            <w:color w:val="671C2A"/>
            <w:sz w:val="16"/>
            <w:vertAlign w:val="superscript"/>
          </w:rPr>
          <w:t>190</w:t>
        </w:r>
      </w:hyperlink>
      <w:r>
        <w:t>. Where Nestorius had insisted, too sharply, that two natures meant two persons, Eutyches went to the opposite extreme: he taught that after the incarnation, Christ’s human and divine natures fused into a single, composite nature — one so thoroughly blended that the humanity was effectively absorbed or overwhelmed by the divinity. Critics would later compare his view to a drop of vinegar dissolved into the vast ocean: technically still present, perhaps, but no longer distinguishable, no longer really itself. Eutyches insisted that Christ was “of” two natures before the union but not “in” two natures after it — the human and divine blended into one new nature that was, in effect, no longer fully or recognizably human</w:t>
      </w:r>
      <w:hyperlink w:anchor="cite_191" w:history="1">
        <w:r>
          <w:rPr>
            <w:color w:val="671C2A"/>
            <w:sz w:val="16"/>
            <w:vertAlign w:val="superscript"/>
          </w:rPr>
          <w:t>191</w:t>
        </w:r>
      </w:hyperlink>
      <w:r>
        <w:t>.</w:t>
      </w:r>
    </w:p>
    <w:p w14:paraId="0B2CC238" w14:textId="77777777" w:rsidR="009C7F52" w:rsidRDefault="00731002">
      <w:pPr>
        <w:pStyle w:val="BodyText"/>
      </w:pPr>
      <w:r>
        <w:t>The appeal of this view is not hard to understand. It offers an intuitively simple, unified picture of Christ — one nature, one Christ, no risk of the “two Sons” problem Cyril had accused Nestorius of creating — and it satisfies a real devotional instinct to emphasize Christ’s overwhelming, glorious divinity without the harder work of holding two whole, unmixed natures together in careful balance. Because Eutyches’s teaching grew directly, if mistakenly, out of the entirely orthodox Alexandrian emphasis on the unity of Christ’s person, it could present itself, plausibly to many at the time, as simply defending Ephesus’s verdict rather than introducing a brand-new error of its own.</w:t>
      </w:r>
    </w:p>
    <w:p w14:paraId="4F23A48D" w14:textId="77777777" w:rsidR="009C7F52" w:rsidRDefault="00731002">
      <w:pPr>
        <w:pStyle w:val="BodyText"/>
      </w:pPr>
      <w:r>
        <w:t>Bishop Eusebius of Dorylaeum accused Eutyches of heresy at a synod held in Constantinople on 8 November 448, presided over by Archbishop Flavian, which examined, condemned, and deposed him</w:t>
      </w:r>
      <w:hyperlink w:anchor="cite_192" w:history="1">
        <w:r>
          <w:rPr>
            <w:color w:val="671C2A"/>
            <w:sz w:val="16"/>
            <w:vertAlign w:val="superscript"/>
          </w:rPr>
          <w:t>192</w:t>
        </w:r>
      </w:hyperlink>
      <w:r>
        <w:t xml:space="preserve">. But Eutyches had powerful friends at court, including the eunuch chamberlain Chrysaphius, and at a second council held at Ephesus in 449 — later branded the </w:t>
      </w:r>
      <w:r>
        <w:rPr>
          <w:i/>
          <w:iCs/>
        </w:rPr>
        <w:t>Latrocinium</w:t>
      </w:r>
      <w:r>
        <w:t>, or “Robber Synod,” by Pope Leo I for its intimidation and irregular procedure — his one-nature teaching was controversially vindicated. Flavian himself was deposed and, according to tradition, fatally injured in the resulting violence</w:t>
      </w:r>
      <w:hyperlink w:anchor="cite_193" w:history="1">
        <w:r>
          <w:rPr>
            <w:color w:val="671C2A"/>
            <w:sz w:val="16"/>
            <w:vertAlign w:val="superscript"/>
          </w:rPr>
          <w:t>193</w:t>
        </w:r>
      </w:hyperlink>
      <w:r>
        <w:t>. For a brief, alarming moment, the church’s official position on the person of Christ had swung from one extreme all the way to the other.</w:t>
      </w:r>
    </w:p>
    <w:p w14:paraId="256C96A2" w14:textId="77777777" w:rsidR="009C7F52" w:rsidRDefault="00731002">
      <w:pPr>
        <w:pStyle w:val="Heading3"/>
        <w:pBdr>
          <w:bottom w:val="single" w:sz="4" w:space="5" w:color="C8AE75"/>
        </w:pBdr>
      </w:pPr>
      <w:bookmarkStart w:id="168" w:name="chalcedon-corrects-the-course"/>
      <w:bookmarkEnd w:id="167"/>
      <w:r>
        <w:t>Chalcedon Corrects the Course</w:t>
      </w:r>
    </w:p>
    <w:p w14:paraId="51DB7D6C" w14:textId="77777777" w:rsidR="009C7F52" w:rsidRDefault="00731002">
      <w:pPr>
        <w:pStyle w:val="FirstParagraph"/>
      </w:pPr>
      <w:r>
        <w:t>The Robber Synod’s own proceedings are worth pausing on, because they show how far a council can drift when procedure breaks down. Roughly 130 bishops assembled at Ephesus in August 449 under Dioscorus, Patriarch of Alexandria, and 111 of them voted to rehabilitate Eutyches; Dioscorus barred the bishops who had originally condemned Eutyches from sitting as judges, repeatedly refused to let Pope Leo’s Tome be read into the record despite the papal legate Hilary’s persistent requests, and presided over the deposition of both Flavian and Eusebius of Dorylaeum</w:t>
      </w:r>
      <w:hyperlink w:anchor="cite_194" w:history="1">
        <w:r>
          <w:rPr>
            <w:color w:val="671C2A"/>
            <w:sz w:val="16"/>
            <w:vertAlign w:val="superscript"/>
          </w:rPr>
          <w:t>194</w:t>
        </w:r>
      </w:hyperlink>
      <w:r>
        <w:t>. Chalcedonian sources report that a mob then assaulted Flavian at the altar and that he died of his injuries within days, though the ancient accounts vary on exactly who bore responsibility for the violence</w:t>
      </w:r>
      <w:hyperlink w:anchor="cite_195" w:history="1">
        <w:r>
          <w:rPr>
            <w:color w:val="671C2A"/>
            <w:sz w:val="16"/>
            <w:vertAlign w:val="superscript"/>
          </w:rPr>
          <w:t>195</w:t>
        </w:r>
      </w:hyperlink>
      <w:r>
        <w:t xml:space="preserve">. Hilary fled Constantinople to bring the news to Rome, and Leo’s furious verdict on what he had heard gave the council its lasting nickname: the </w:t>
      </w:r>
      <w:r>
        <w:rPr>
          <w:i/>
          <w:iCs/>
        </w:rPr>
        <w:t>Latrocinium</w:t>
      </w:r>
      <w:r>
        <w:t>, or “Robber Synod”</w:t>
      </w:r>
      <w:hyperlink w:anchor="cite_196" w:history="1">
        <w:r>
          <w:rPr>
            <w:color w:val="671C2A"/>
            <w:sz w:val="16"/>
            <w:vertAlign w:val="superscript"/>
          </w:rPr>
          <w:t>196</w:t>
        </w:r>
      </w:hyperlink>
      <w:r>
        <w:t>.</w:t>
      </w:r>
    </w:p>
    <w:p w14:paraId="6C677764" w14:textId="77777777" w:rsidR="009C7F52" w:rsidRDefault="00731002">
      <w:pPr>
        <w:pStyle w:val="BodyText"/>
      </w:pPr>
      <w:r>
        <w:t>The Robber Synod’s verdict did not stand for long. Emperor Marcian and Empress Pulcheria convened a new council at Chalcedon in 451 — the fourth ecumenical council — which overturned the decisions of 449, restored Flavian’s memory and honor, and condemned Eutyches’s one-nature Christology decisively</w:t>
      </w:r>
      <w:hyperlink w:anchor="cite_197" w:history="1">
        <w:r>
          <w:rPr>
            <w:color w:val="671C2A"/>
            <w:sz w:val="16"/>
            <w:vertAlign w:val="superscript"/>
          </w:rPr>
          <w:t>197</w:t>
        </w:r>
      </w:hyperlink>
      <w:r>
        <w:t xml:space="preserve">. The council first reaffirmed the Creed of Nicaea (325) and the Niceno-Constantinopolitan Creed (381), then confirmed the authority of two key documents: Cyril of Alexandria’s synodical letters, read correctly against Eutyches’s misuse of Cyrilline language, and Pope Leo I’s </w:t>
      </w:r>
      <w:r>
        <w:rPr>
          <w:i/>
          <w:iCs/>
        </w:rPr>
        <w:t>Tome to Flavian</w:t>
      </w:r>
      <w:r>
        <w:t>, a letter written in 449 that had already laid out, in Latin theological vocabulary, the two-natures Christology the council was about to ratify</w:t>
      </w:r>
      <w:hyperlink w:anchor="cite_198" w:history="1">
        <w:r>
          <w:rPr>
            <w:color w:val="671C2A"/>
            <w:sz w:val="16"/>
            <w:vertAlign w:val="superscript"/>
          </w:rPr>
          <w:t>198</w:t>
        </w:r>
      </w:hyperlink>
      <w:r>
        <w:t>. Roughly 520 bishops or their representatives gathered for the sessions that ran from 8 October to 1 November 451, making Chalcedon by far the largest and best-documented of the councils this book has surveyed so far</w:t>
      </w:r>
      <w:hyperlink w:anchor="cite_199" w:history="1">
        <w:r>
          <w:rPr>
            <w:color w:val="671C2A"/>
            <w:sz w:val="16"/>
            <w:vertAlign w:val="superscript"/>
          </w:rPr>
          <w:t>199</w:t>
        </w:r>
      </w:hyperlink>
      <w:r>
        <w:t>. Dioscorus himself stood trial before the assembly for his conduct at the Robber Synod, refused to appear in his own defense, and was deposed and exiled by Marcian; the bishops he had unjustly deposed at Ephesus, including Flavian’s ally Eusebius of Dorylaeum, were restored to their sees</w:t>
      </w:r>
      <w:hyperlink w:anchor="cite_200" w:history="1">
        <w:r>
          <w:rPr>
            <w:color w:val="671C2A"/>
            <w:sz w:val="16"/>
            <w:vertAlign w:val="superscript"/>
          </w:rPr>
          <w:t>200</w:t>
        </w:r>
      </w:hyperlink>
      <w:r>
        <w:t>. Dioscorus’s removal from office, and not merely his theology, mattered to the wider church, because it demonstrated that the correction of 451 was aimed at restoring due process as much as correcting doctrine — though it also left a lasting wound: the Egyptian church, which never accepted his condemnation, would become the historical core of what is today called the Coptic Orthodox Church, one of the Oriental Orthodox communions discussed later in this chapter</w:t>
      </w:r>
      <w:hyperlink w:anchor="cite_201" w:history="1">
        <w:r>
          <w:rPr>
            <w:color w:val="671C2A"/>
            <w:sz w:val="16"/>
            <w:vertAlign w:val="superscript"/>
          </w:rPr>
          <w:t>201</w:t>
        </w:r>
      </w:hyperlink>
      <w:r>
        <w:t>. Leo’s Tome put the matter memorably: “Without detriment therefore to the properties of either nature and substance which then came together in one person, majesty took on humility, strength weakness, eternity mortality… For both natures retain their own proper character without loss”</w:t>
      </w:r>
      <w:hyperlink w:anchor="cite_202" w:history="1">
        <w:r>
          <w:rPr>
            <w:color w:val="671C2A"/>
            <w:sz w:val="16"/>
            <w:vertAlign w:val="superscript"/>
          </w:rPr>
          <w:t>202</w:t>
        </w:r>
      </w:hyperlink>
      <w:r>
        <w:t>.</w:t>
      </w:r>
    </w:p>
    <w:p w14:paraId="585C2B64" w14:textId="77777777" w:rsidR="009C7F52" w:rsidRDefault="00731002">
      <w:pPr>
        <w:pStyle w:val="BodyText"/>
      </w:pPr>
      <w:r>
        <w:t>Out of this foundation, the council issued the single most quoted sentence in the entire history of Christian theology: the Chalcedonian Definition. It is worth reading in full, because every phrase in it was chosen to close off a specific, previously argued error:</w:t>
      </w:r>
    </w:p>
    <w:p w14:paraId="62F9831A" w14:textId="77777777" w:rsidR="009C7F52" w:rsidRDefault="00731002">
      <w:pPr>
        <w:pStyle w:val="BlockText"/>
      </w:pPr>
      <w:r>
        <w:t>“Following, then, the holy Fathers, we all unanimously teach that our Lord Jesus Christ is to us One and the same Son, the Self-same Perfect in Godhead, the Self-same Perfect in Manhood; truly God and truly Man; the Self-same of a rational soul and body; co-essential with the Father according to the Godhead, the Self-same co-essential with us according to the Manhood; like us in all things, sin apart; before the ages begotten of the Father as to the Godhead, but in the last days, the Self-same, for us and for our salvation (born) of Mary the Virgin Theotokos as to the Manhood; One and the Same Christ, Son, Lord, Only-begotten; acknowledged in Two Natures unconfusedly, unchangeably, indivisibly, inseparably; the difference of the Natures being in no way removed because of the Union, but rather the properties of each Nature being preserved, and (both) concurring into One Person and One Hypostasis; not as though He was parted or divided into Two Persons, but One and the Self-same Son and Only-begotten God, Word, Lord, Jesus Christ.” — The Chalcedonian Definition (451), as reproduced in</w:t>
      </w:r>
      <w:hyperlink w:anchor="cite_203" w:history="1">
        <w:r>
          <w:rPr>
            <w:color w:val="671C2A"/>
            <w:sz w:val="16"/>
            <w:vertAlign w:val="superscript"/>
          </w:rPr>
          <w:t>203</w:t>
        </w:r>
      </w:hyperlink>
      <w:r>
        <w:t>.</w:t>
      </w:r>
    </w:p>
    <w:p w14:paraId="19276C3E" w14:textId="77777777" w:rsidR="009C7F52" w:rsidRDefault="00731002">
      <w:pPr>
        <w:pStyle w:val="Heading3"/>
        <w:pBdr>
          <w:bottom w:val="single" w:sz="4" w:space="5" w:color="C8AE75"/>
        </w:pBdr>
      </w:pPr>
      <w:bookmarkStart w:id="169" w:name="unpacking-the-four-adverbs"/>
      <w:bookmarkEnd w:id="168"/>
      <w:r>
        <w:t>Unpacking the Four Adverbs</w:t>
      </w:r>
    </w:p>
    <w:p w14:paraId="18703A4D" w14:textId="77777777" w:rsidR="009C7F52" w:rsidRDefault="00731002">
      <w:pPr>
        <w:pStyle w:val="FirstParagraph"/>
      </w:pPr>
      <w:r>
        <w:t>Everything the previous three controversies had taught the church is compressed into that single sentence, and especially into its four negative adverbs — “unconfusedly, unchangeably, indivisibly, inseparably” — which target, two by two, the two opposite errors just surveyed.</w:t>
      </w:r>
    </w:p>
    <w:p w14:paraId="24796328" w14:textId="77777777" w:rsidR="009C7F52" w:rsidRDefault="00731002">
      <w:pPr>
        <w:pStyle w:val="BodyText"/>
      </w:pPr>
      <w:r>
        <w:t>“Unconfusedly” and “unchangeably” are aimed squarely at Eutyches. Christ’s human and divine natures are not blended, mixed, or fused into some new, third kind of nature; each nature retains its own real properties, unchanged and undiminished, even while united in the one person of Christ. The divine nature does not become less than fully divine, and — this is the point Apollinaris had also missed, from a different angle — the human nature does not become less than fully, ordinarily human. Nothing about either nature is altered by the union; both retain everything that makes them what they are.</w:t>
      </w:r>
    </w:p>
    <w:p w14:paraId="5FDDBE6F" w14:textId="77777777" w:rsidR="009C7F52" w:rsidRDefault="00731002">
      <w:pPr>
        <w:pStyle w:val="BodyText"/>
      </w:pPr>
      <w:r>
        <w:t>“Indivisibly” and “inseparably,” by contrast, are aimed at Nestorius. Whatever real distinction remains between Christ’s two natures, that distinction never amounts to two separate persons, two independent subjects, or two Sons loosely conjoined. The natures cannot be pulled apart even conceptually into two different individuals; they belong, permanently and inseparably, to a single person.</w:t>
      </w:r>
    </w:p>
    <w:p w14:paraId="58DF9E69" w14:textId="77777777" w:rsidR="009C7F52" w:rsidRDefault="00731002">
      <w:pPr>
        <w:pStyle w:val="BodyText"/>
      </w:pPr>
      <w:r>
        <w:t xml:space="preserve">Put those four adverbs together and you have the classical, and still-standard, definition of the </w:t>
      </w:r>
      <w:r>
        <w:rPr>
          <w:b/>
          <w:bCs/>
        </w:rPr>
        <w:t>hypostatic union</w:t>
      </w:r>
      <w:r>
        <w:t>: the union of full deity and full humanity in the single person of Christ, without confusion, without change, without division, and without separation. Notice what this formula deliberately refuses to do: it does not explain, in the sense of resolving every philosophical puzzle, exactly how an infinite divine nature and a finite human nature can be joined in one person. It draws the boundary lines with precision — here is where you go wrong if you merge the natures, and here is where you go wrong if you split the person — without claiming to remove all mystery from what remains, finally, a miracle rather than a philosophical proof.</w:t>
      </w:r>
    </w:p>
    <w:p w14:paraId="15CD062D" w14:textId="77777777" w:rsidR="009C7F52" w:rsidRDefault="00731002">
      <w:pPr>
        <w:pStyle w:val="BodyText"/>
      </w:pPr>
      <w:r>
        <w:t>The Definition’s closing phrase, “concurring into One Person and One Hypostasis,” states the positive side of the same truth: one person, one ὑπόστασις (hypostasis, “individual reality” or “person”) — the Greek term introduced earlier in this book to describe the three eternal, distinct persons within the one divine being — possessing, permanently and without loss, two complete and unconfused natures.</w:t>
      </w:r>
    </w:p>
    <w:p w14:paraId="7572B2A1" w14:textId="77777777" w:rsidR="009C7F52" w:rsidRDefault="00731002">
      <w:pPr>
        <w:pStyle w:val="Heading3"/>
        <w:pBdr>
          <w:bottom w:val="single" w:sz="4" w:space="5" w:color="C8AE75"/>
        </w:pBdr>
      </w:pPr>
      <w:bookmarkStart w:id="170" w:name="the-cost-of-the-definition"/>
      <w:bookmarkEnd w:id="169"/>
      <w:r>
        <w:t>The Cost of the Definition</w:t>
      </w:r>
    </w:p>
    <w:p w14:paraId="4C3BB2DD" w14:textId="77777777" w:rsidR="009C7F52" w:rsidRDefault="00731002">
      <w:pPr>
        <w:pStyle w:val="FirstParagraph"/>
      </w:pPr>
      <w:r>
        <w:t>Chalcedon’s rejection of Eutychianism was not received everywhere with equal enthusiasm, and the council’s aftermath produced one of Christianity’s most significant and longest-lasting divisions. Several churches in Egypt, Syria, Armenia, and Ethiopia held firmly to Cyril’s preferred formula — “one incarnate nature of God the Word” — understood in a careful, non-Eutychian sense that its adherents insisted preserved, rather than dissolved, Christ’s full humanity within a single composite nature. These churches rejected Chalcedon’s “two natures” language as insufficiently unifying, and the resulting schism produced what are today called the Oriental Orthodox churches — the Coptic, Ethiopian, Eritrean, Armenian Apostolic, and Syriac Orthodox communions</w:t>
      </w:r>
      <w:hyperlink w:anchor="cite_204" w:history="1">
        <w:r>
          <w:rPr>
            <w:color w:val="671C2A"/>
            <w:sz w:val="16"/>
            <w:vertAlign w:val="superscript"/>
          </w:rPr>
          <w:t>204</w:t>
        </w:r>
      </w:hyperlink>
      <w:r>
        <w:t>. It is worth saying plainly, and without editorializing against these ancient and faithful communities, that most Oriental Orthodox Christians explicitly reject any suggestion that their theology is actually Eutychian in Eutyches’s own absorptive sense, and the Christological conversation between Chalcedonian and Oriental Orthodox churches remains a live, largely constructive area of ecumenical dialogue today.</w:t>
      </w:r>
    </w:p>
    <w:p w14:paraId="2949A32D" w14:textId="77777777" w:rsidR="009C7F52" w:rsidRDefault="00731002">
      <w:pPr>
        <w:pStyle w:val="BodyText"/>
      </w:pPr>
      <w:r>
        <w:t>Full-blown Eutychianism itself — the actual absorption of Christ’s humanity into his deity — survives less as an organized movement than as a devotional tendency: whenever popular piety imagines Christ’s human experiences of hunger, fatigue, grief, or the limits of his human knowledge as somehow less than fully real, once his glorified, risen divinity comes into view, that same old instinct to let the human nature quietly dissolve into the divine one is at work again.</w:t>
      </w:r>
    </w:p>
    <w:p w14:paraId="0905B57D" w14:textId="77777777" w:rsidR="009C7F52" w:rsidRDefault="00731002">
      <w:pPr>
        <w:pStyle w:val="Heading3"/>
        <w:pBdr>
          <w:bottom w:val="single" w:sz="4" w:space="5" w:color="C8AE75"/>
        </w:pBdr>
      </w:pPr>
      <w:bookmarkStart w:id="171" w:name="why-an-unmixed-humanity-is-not-optional"/>
      <w:bookmarkEnd w:id="170"/>
      <w:r>
        <w:t>Why an Unmixed Humanity Is Not Optional</w:t>
      </w:r>
    </w:p>
    <w:p w14:paraId="3B104278" w14:textId="77777777" w:rsidR="009C7F52" w:rsidRDefault="00731002">
      <w:pPr>
        <w:pStyle w:val="FirstParagraph"/>
      </w:pPr>
      <w:r>
        <w:t>Scripture requires that Christ’s human nature remain genuinely, completely, unmixed human — not diluted, absorbed, or transmuted by his divine nature — and several passages make this practically undeniable once the question is asked directly. The letter to the Hebrews, in the course of explaining why the incarnation was necessary at all, insists on an unqualified, entirely ordinary human nature: “Since therefore the children share in flesh and blood, he himself likewise partook of the same things, that through death he might destroy the one who has the power of death, that is, the devil” (Hebrews 2:14). The verb “partook” and the phrase “the same things” both stress identity, not mere resemblance or fusion, with ordinary human flesh and blood — precisely the same flesh and blood the rest of us actually have, not some divinized composite substance unlike any other human being’s.</w:t>
      </w:r>
    </w:p>
    <w:p w14:paraId="79D2C910" w14:textId="77777777" w:rsidR="009C7F52" w:rsidRDefault="00731002">
      <w:pPr>
        <w:pStyle w:val="BodyText"/>
      </w:pPr>
      <w:r>
        <w:t>Paul makes a structurally similar argument in his first letter to Timothy: “For there is one God, and there is one mediator between God and men, the man Christ Jesus” (1 Timothy 2:5). A mediator has to genuinely belong to, and be capable of genuinely representing, both parties being reconciled. Paul calls him “the man Christ Jesus” without qualification precisely because effective mediation requires an unmixed, uncompromised humanity standing on the human side of the transaction — not a fused hybrid nature that is no longer straightforwardly human in the way the people he mediates for are human. And the Gospel of John’s account of Lazarus’s death captures the same requirement narratively: Jesus, fully aware that he is about to raise Lazarus from the dead by his own divine authority, nevertheless “wept” at the tomb, moved by genuine grief (John 11:33–35). A nature already absorbed into, or overwhelmed by, deity — “as a drop of vinegar,” in the old image, dissolved into the ocean — could hardly weep with the raw, unguarded grief John records, since the very thing grieving would no longer really be human in the relevant sense.</w:t>
      </w:r>
    </w:p>
    <w:p w14:paraId="267851FE" w14:textId="77777777" w:rsidR="009C7F52" w:rsidRDefault="00731002">
      <w:pPr>
        <w:pStyle w:val="Heading3"/>
        <w:pBdr>
          <w:bottom w:val="single" w:sz="4" w:space="5" w:color="C8AE75"/>
        </w:pBdr>
      </w:pPr>
      <w:bookmarkStart w:id="172" w:name="what-chalcedon-did-not-try-to-do"/>
      <w:bookmarkEnd w:id="171"/>
      <w:r>
        <w:t>What Chalcedon Did Not Try to Do</w:t>
      </w:r>
    </w:p>
    <w:p w14:paraId="70EE3564" w14:textId="77777777" w:rsidR="009C7F52" w:rsidRDefault="00731002">
      <w:pPr>
        <w:pStyle w:val="FirstParagraph"/>
      </w:pPr>
      <w:r>
        <w:t xml:space="preserve">It is worth noticing what the bishops at Chalcedon deliberately declined to attempt. They did not try to explain, in mechanical or philosophical detail, exactly how an infinite divine nature and a finite human nature can coexist, unmixed and unconfused, within a single person — as though the union were a puzzle with a fully diagrammable solution. They drew boundary lines instead: this is the error on one side (Eutyches’s fusion), and this is the error on the other side (Nestorius’s division), and orthodox confession lies in the space the four adverbs mark out between them. That restraint is itself theologically significant. The fathers at Chalcedon were confident enough in the reality of the union, on the authority of Scripture read across both Testaments, to state it with precision, while remaining honest that its inner mechanism — how, exactly, two complete natures belong to one person without either nature losing anything or the person becoming two — exceeds what any creature can fully map. Later theology would develop supporting concepts, such as the </w:t>
      </w:r>
      <w:r>
        <w:rPr>
          <w:i/>
          <w:iCs/>
        </w:rPr>
        <w:t>communicatio idiomatum</w:t>
      </w:r>
      <w:r>
        <w:t xml:space="preserve"> (“the communication of properties”) already introduced in the previous chapter and the notion of </w:t>
      </w:r>
      <w:r>
        <w:rPr>
          <w:i/>
          <w:iCs/>
        </w:rPr>
        <w:t>anhypostasis</w:t>
      </w:r>
      <w:r>
        <w:t xml:space="preserve"> (from the Greek ἀ-, “not,” plus ὑπόστασις, hypostasis, “person” — the teaching that Christ’s human nature never existed, even momentarily, as a separate human person prior to or apart from the eternal Son’s assumption of it, but had its personal existence only “in” the Son from the very moment of conception) — but these later refinements serve the Chalcedonian Definition rather than replacing it.</w:t>
      </w:r>
    </w:p>
    <w:p w14:paraId="7D833F66" w14:textId="77777777" w:rsidR="009C7F52" w:rsidRDefault="00731002">
      <w:pPr>
        <w:pStyle w:val="Heading3"/>
        <w:pBdr>
          <w:bottom w:val="single" w:sz="4" w:space="5" w:color="C8AE75"/>
        </w:pBdr>
      </w:pPr>
      <w:bookmarkStart w:id="173" w:name="one-person-two-wills"/>
      <w:bookmarkEnd w:id="172"/>
      <w:r>
        <w:t>One Person, Two Wills?</w:t>
      </w:r>
    </w:p>
    <w:p w14:paraId="2F2438D9" w14:textId="77777777" w:rsidR="009C7F52" w:rsidRDefault="00731002">
      <w:pPr>
        <w:pStyle w:val="FirstParagraph"/>
      </w:pPr>
      <w:r>
        <w:t>Chalcedon settled that Christ possesses one person and two complete, unconfused natures. But within a Christian, that word “nature” carries a great deal of freight — a mind, a will, a capacity to act and choose. If Christ genuinely has two complete natures, does he also have two complete wills, divine and human? Or does his single personhood mean that, whatever else remains distinct between the natures, there is really only one will directing the one person? That question — left implicit at Chalcedon, and not yet fully worked out — would occupy the church for another two centuries, and it is where this part of the story now turns.</w:t>
      </w:r>
    </w:p>
    <w:p w14:paraId="1BA59C00" w14:textId="77777777" w:rsidR="009F2F79" w:rsidRDefault="001A04A2">
      <w:pPr>
        <w:pStyle w:val="Heading3"/>
      </w:pPr>
      <w:r>
        <w:t>The Symmetry of Chalcedon</w:t>
      </w:r>
    </w:p>
    <w:p w14:paraId="3B5E6432" w14:textId="77777777" w:rsidR="009F2F79" w:rsidRDefault="001A04A2">
      <w:pPr>
        <w:pStyle w:val="FirstParagraph"/>
      </w:pPr>
      <w:r>
        <w:t>Chalcedon’s definition is deliberately symmetrical. The same Son is “perfect in Godhead and perfect in manhood,” “truly God and truly man,” consubstantial with the Father according to deity and consubstantial with us according to humanity, like us in all things except sin. The first set of clauses excludes Ebionite and Arian reduction; the second excludes Docetic and Apollinarian reduction. “One and the same” is repeated so the two complete natures cannot be turned into two personal subjects. The definition refuses to purchase unity by diminishing humanity or to protect humanity by dividing the Son.</w:t>
      </w:r>
    </w:p>
    <w:p w14:paraId="2F36B4D9" w14:textId="77777777" w:rsidR="009F2F79" w:rsidRDefault="001A04A2">
      <w:pPr>
        <w:pStyle w:val="BodyText"/>
      </w:pPr>
      <w:r>
        <w:t>The four adverbs state how the natures are united: without confusion and without change protect their continuing integrity; without division and without separation protect the unity of the person. They function as guardrails rather than a mechanical explanation of incarnation. Chalcedon does not tell readers how infinity and finitude are personally united; it tells them which biblical truths no proposed explanation may sacrifice. The distinction of natures remains, and the properties of each are preserved, yet they concur in one person and hypostasis. Nature answers what Christ is—divine and human. Hypostasis answers who he is—the one eternal Son.</w:t>
      </w:r>
    </w:p>
    <w:p w14:paraId="60C4A4C6" w14:textId="77777777" w:rsidR="009F2F79" w:rsidRDefault="001A04A2">
      <w:pPr>
        <w:pStyle w:val="Heading3"/>
      </w:pPr>
      <w:r>
        <w:t>Constantinople II and the Theopaschite Guardrail</w:t>
      </w:r>
    </w:p>
    <w:p w14:paraId="72F225C1" w14:textId="77777777" w:rsidR="009F2F79" w:rsidRDefault="001A04A2">
      <w:pPr>
        <w:pStyle w:val="FirstParagraph"/>
      </w:pPr>
      <w:r>
        <w:t>The Second Council of Constantinople in 553 strengthened the Cyrilline reading of Chalcedon by insisting that the incarnate one is one of the Trinity. The formula often summarized as “one of the Trinity suffered in the flesh” protects both impassibility and personal unity. The divine nature does not become passible, bleed, or die; suffering belongs to the assumed human nature. Yet the subject who suffers is not a separate human person alongside the Word. It is the eternal Son himself suffering according to the flesh. The qualification “in the flesh” distinguishes the natures; the subject “one of the Trinity” preserves the person.</w:t>
      </w:r>
    </w:p>
    <w:p w14:paraId="4E9F578C" w14:textId="77777777" w:rsidR="009F2F79" w:rsidRDefault="001A04A2">
      <w:pPr>
        <w:pStyle w:val="BodyText"/>
      </w:pPr>
      <w:r>
        <w:t>This formula prevents opposite errors. To say without qualification that the divine essence suffers would confuse the natures and compromise immutability. To say only that “the humanity” suffers can make an abstraction, rather than the Son, the subject of the passion. Scripture speaks more concretely: God purchased the church with his own blood (Acts 20:28 in its strongest textual form), and the Lord of glory was crucified. The communication of properties licenses such statements because the person is God, even though blood and crucifixion belong to the mode of existence he possesses through his humanity.</w:t>
      </w:r>
    </w:p>
    <w:p w14:paraId="51EE680E" w14:textId="77777777" w:rsidR="009C7F52" w:rsidRDefault="00731002">
      <w:pPr>
        <w:pStyle w:val="Heading2"/>
        <w:pBdr>
          <w:bottom w:val="single" w:sz="10" w:space="8" w:color="A68037"/>
        </w:pBdr>
      </w:pPr>
      <w:bookmarkStart w:id="174" w:name="Xa12a901e5c013a05bccf3ca929d755ebbd77d8c"/>
      <w:bookmarkEnd w:id="166"/>
      <w:bookmarkEnd w:id="173"/>
      <w:r>
        <w:t>Chapter 23: Monothelitism, Constantinople III, and What the Hypostatic Union Means Today</w:t>
      </w:r>
    </w:p>
    <w:p w14:paraId="421AC4E4" w14:textId="77777777" w:rsidR="009C7F52" w:rsidRDefault="00731002">
      <w:pPr>
        <w:pStyle w:val="FirstParagraph"/>
      </w:pPr>
      <w:r>
        <w:t>Watch Jesus pray in the garden of Gethsemane, hours before his crucifixion, and you will hear something that sounds, on its face, almost like an argument: “My Father, if it be possible, let this cup pass from me; nevertheless, not as I will, but as you will” (Matthew 26:39). A recoiling wish and a submitted will, both attributed to the same person, in the same breath. Two centuries after Chalcedon had settled that Christ possesses two complete, unconfused natures, the church still had to work out what that meant for a question Chalcedon’s Definition had not directly addressed: does Christ, having two natures, also have two wills?</w:t>
      </w:r>
    </w:p>
    <w:p w14:paraId="18003692" w14:textId="77777777" w:rsidR="009C7F52" w:rsidRDefault="00731002">
      <w:pPr>
        <w:pStyle w:val="Heading3"/>
        <w:pBdr>
          <w:bottom w:val="single" w:sz="4" w:space="5" w:color="C8AE75"/>
        </w:pBdr>
      </w:pPr>
      <w:bookmarkStart w:id="175" w:name="a-compromise-born-of-politics"/>
      <w:r>
        <w:t>A Compromise Born of Politics</w:t>
      </w:r>
    </w:p>
    <w:p w14:paraId="5B3A4D6A" w14:textId="77777777" w:rsidR="009C7F52" w:rsidRDefault="00731002">
      <w:pPr>
        <w:pStyle w:val="FirstParagraph"/>
      </w:pPr>
      <w:r>
        <w:t>By the early seventh century, the Byzantine Empire had been fractured for nearly two hundred years by the unresolved aftermath of Chalcedon. Chalcedonian populations in the imperial heartland and miaphysite (“monophysite,” in the older and less accurate label) populations across Egypt, Syria, and Armenia had drifted into deepening estrangement, at a moment when the empire desperately needed unity to withstand external pressure — first from Persia, and soon from the rapidly expanding armies of Islam</w:t>
      </w:r>
      <w:hyperlink w:anchor="cite_205" w:history="1">
        <w:r>
          <w:rPr>
            <w:color w:val="671C2A"/>
            <w:sz w:val="16"/>
            <w:vertAlign w:val="superscript"/>
          </w:rPr>
          <w:t>205</w:t>
        </w:r>
      </w:hyperlink>
      <w:r>
        <w:t>. Emperor Heraclius, casting about for a formula that might heal the rift, backed a theological compromise engineered chiefly by Sergius I, Patriarch of Constantinople.</w:t>
      </w:r>
    </w:p>
    <w:p w14:paraId="66B8B532" w14:textId="77777777" w:rsidR="009C7F52" w:rsidRDefault="00731002">
      <w:pPr>
        <w:pStyle w:val="BodyText"/>
      </w:pPr>
      <w:r>
        <w:t>Sergius’s proposal came in two stages. From 622 onward he promoted monoenergism — the claim that, whatever else was true of Christ’s two natures, he possessed only a single “theandric” (God-manly) operative ἐνέργεια (energeia, “energy” or “operative force”), rather than two distinct natural energies, one for each nature</w:t>
      </w:r>
      <w:hyperlink w:anchor="cite_206" w:history="1">
        <w:r>
          <w:rPr>
            <w:color w:val="671C2A"/>
            <w:sz w:val="16"/>
            <w:vertAlign w:val="superscript"/>
          </w:rPr>
          <w:t>206</w:t>
        </w:r>
      </w:hyperlink>
      <w:r>
        <w:t>. When that formula faltered under scrutiny, Sergius shifted to a related but distinct claim: monothelitism proper, from the Greek μόνος (monos, “one” or “single”) and θέλημα (thelēma, “will”) — the teaching that Christ, though truly possessing two natures as Chalcedon required, has only one will, located in the divine nature, exercised through a human nature that itself supplies no independent volitional principle of its own</w:t>
      </w:r>
      <w:hyperlink w:anchor="cite_207" w:history="1">
        <w:r>
          <w:rPr>
            <w:color w:val="671C2A"/>
            <w:sz w:val="16"/>
            <w:vertAlign w:val="superscript"/>
          </w:rPr>
          <w:t>207</w:t>
        </w:r>
      </w:hyperlink>
      <w:r>
        <w:t>. A formula affirming two natures, to satisfy Chalcedonian sensibilities, united by a single will and operation, to sound closer to miaphysite unity-language, seemed to Sergius and Heraclius to offer a face-saving bridge both sides of the empire’s fractured church might accept.</w:t>
      </w:r>
    </w:p>
    <w:p w14:paraId="570C2943" w14:textId="77777777" w:rsidR="009C7F52" w:rsidRDefault="00731002">
      <w:pPr>
        <w:pStyle w:val="BodyText"/>
      </w:pPr>
      <w:r>
        <w:t>The proposal was not merely cynical politics; it carried a genuine, if mistaken, theological appeal of its own. Attributing a fully independent human will to Christ can sound, to an unwary ear, as though it risks a divided, potentially conflicted Christ — surely, the reasoning went, it is simpler and safer to say that the one divine will simply governs and directs the human nature without a second, distinct center of willing to coordinate with it. Sergius secured qualified support from Pope Honorius I, who replied to him in 635 endorsing an end to the debate over “one or two energies” and agreeing that Christ had “one will,” not two conflicting wills — an endorsement that would return to haunt Honorius’s memory decades after his death</w:t>
      </w:r>
      <w:hyperlink w:anchor="cite_208" w:history="1">
        <w:r>
          <w:rPr>
            <w:color w:val="671C2A"/>
            <w:sz w:val="16"/>
            <w:vertAlign w:val="superscript"/>
          </w:rPr>
          <w:t>208</w:t>
        </w:r>
      </w:hyperlink>
      <w:r>
        <w:t>. Successive patriarchs of Constantinople — Pyrrhus, then Paul II — continued pressing the doctrine through the 630s, 640s, and 650s, while Sophronius, later Patriarch of Jerusalem, emerged as its principal early opponent and a champion of what would come to be called dyothelitism — the teaching that Christ has two wills</w:t>
      </w:r>
      <w:hyperlink w:anchor="cite_209" w:history="1">
        <w:r>
          <w:rPr>
            <w:color w:val="671C2A"/>
            <w:sz w:val="16"/>
            <w:vertAlign w:val="superscript"/>
          </w:rPr>
          <w:t>209</w:t>
        </w:r>
      </w:hyperlink>
      <w:r>
        <w:t>.</w:t>
      </w:r>
    </w:p>
    <w:p w14:paraId="0897D0FA" w14:textId="77777777" w:rsidR="009C7F52" w:rsidRDefault="00731002">
      <w:pPr>
        <w:pStyle w:val="Heading3"/>
        <w:pBdr>
          <w:bottom w:val="single" w:sz="4" w:space="5" w:color="C8AE75"/>
        </w:pBdr>
      </w:pPr>
      <w:bookmarkStart w:id="176" w:name="maximus-the-confessors-stand"/>
      <w:bookmarkEnd w:id="175"/>
      <w:r>
        <w:t>Maximus the Confessor’s Stand</w:t>
      </w:r>
    </w:p>
    <w:p w14:paraId="4338ADEF" w14:textId="77777777" w:rsidR="009C7F52" w:rsidRDefault="00731002">
      <w:pPr>
        <w:pStyle w:val="FirstParagraph"/>
      </w:pPr>
      <w:r>
        <w:t xml:space="preserve">The controversy’s most dramatic opposition came from a monk named Maximus, later given the honorific title “the Confessor” for what he was about to endure. Maximus campaigned vigorously against monothelitism from North Africa, persuading regional councils there in 646 to draft a formal manifesto against the doctrine. In his </w:t>
      </w:r>
      <w:r>
        <w:rPr>
          <w:i/>
          <w:iCs/>
        </w:rPr>
        <w:t>Disputation with Pyrrhus</w:t>
      </w:r>
      <w:r>
        <w:t>, a recorded debate with the former patriarch, Maximus argued a point of real philosophical precision: θέλημα (thelēma, “will”), he insisted, is a property of φύσις (physis, “nature”), not of ὑπόστασις (hypostasis, “person”). A nature is what supplies the capacity to will something at all; a person is who does the willing. Since Chalcedon had already established that Christ possesses two complete, unconfused natures in his one person, it follows necessarily that he possesses two natural wills as well — a human will, genuinely and completely his own, and a divine will, and the two are not in competition or conflict but stand in perfect, harmonious agreement</w:t>
      </w:r>
      <w:hyperlink w:anchor="cite_210" w:history="1">
        <w:r>
          <w:rPr>
            <w:color w:val="671C2A"/>
            <w:sz w:val="16"/>
            <w:vertAlign w:val="superscript"/>
          </w:rPr>
          <w:t>210</w:t>
        </w:r>
      </w:hyperlink>
      <w:r>
        <w:t>.</w:t>
      </w:r>
    </w:p>
    <w:p w14:paraId="70757C9E" w14:textId="77777777" w:rsidR="009C7F52" w:rsidRDefault="00731002">
      <w:pPr>
        <w:pStyle w:val="BodyText"/>
      </w:pPr>
      <w:r>
        <w:t>This was not, Maximus stressed, a recipe for internal conflict of the kind Apollinaris had feared two and a half centuries earlier. Our own human wills feel divided and conflicted because they are fallen — torn between competing, disordered desires. A human will free of that corruption, Maximus argued, can be in complete, willing agreement with the divine will precisely because it remains a real, distinct, and fully functioning human volitional faculty, not because it has been absorbed, silenced, or replaced by the divine will governing it from outside.</w:t>
      </w:r>
    </w:p>
    <w:p w14:paraId="663AAE96" w14:textId="77777777" w:rsidR="009C7F52" w:rsidRDefault="00731002">
      <w:pPr>
        <w:pStyle w:val="BodyText"/>
      </w:pPr>
      <w:r>
        <w:t>Maximus paid dearly for defending this position. Brought to Constantinople and tried as a heretic in 658, he refused to recant and was sent back into exile for four more years; during that trial he was also accused, falsely, of having somehow aided the Muslim conquests then sweeping through Egypt and North Africa</w:t>
      </w:r>
      <w:hyperlink w:anchor="cite_211" w:history="1">
        <w:r>
          <w:rPr>
            <w:color w:val="671C2A"/>
            <w:sz w:val="16"/>
            <w:vertAlign w:val="superscript"/>
          </w:rPr>
          <w:t>211</w:t>
        </w:r>
      </w:hyperlink>
      <w:r>
        <w:t>. In 662 he was tried again, convicted once more, and subjected to deliberate, calculated mutilation on the orders of Emperor Constans II: his tongue was cut out so that he could no longer speak against the doctrine, and his right hand was cut off so that he could no longer write in its defense</w:t>
      </w:r>
      <w:hyperlink w:anchor="cite_212" w:history="1">
        <w:r>
          <w:rPr>
            <w:color w:val="671C2A"/>
            <w:sz w:val="16"/>
            <w:vertAlign w:val="superscript"/>
          </w:rPr>
          <w:t>212</w:t>
        </w:r>
      </w:hyperlink>
      <w:r>
        <w:t>. Exiled afterward to the remote region of Lazica, in what is now western Georgia, Maximus died shortly afterward, on 13 August 662</w:t>
      </w:r>
      <w:hyperlink w:anchor="cite_213" w:history="1">
        <w:r>
          <w:rPr>
            <w:color w:val="671C2A"/>
            <w:sz w:val="16"/>
            <w:vertAlign w:val="superscript"/>
          </w:rPr>
          <w:t>213</w:t>
        </w:r>
      </w:hyperlink>
      <w:r>
        <w:t>. He is remembered as a “Confessor” rather than a martyr because, though he suffered grievously for the faith, he was not put to death outright for it — but he never recanted, and he did not live to see his theology vindicated.</w:t>
      </w:r>
    </w:p>
    <w:p w14:paraId="74488DA0" w14:textId="77777777" w:rsidR="009C7F52" w:rsidRDefault="00731002">
      <w:pPr>
        <w:pStyle w:val="Heading3"/>
        <w:pBdr>
          <w:bottom w:val="single" w:sz="4" w:space="5" w:color="C8AE75"/>
        </w:pBdr>
      </w:pPr>
      <w:bookmarkStart w:id="177" w:name="the-sixth-ecumenical-council"/>
      <w:bookmarkEnd w:id="176"/>
      <w:r>
        <w:t>The Sixth Ecumenical Council</w:t>
      </w:r>
    </w:p>
    <w:p w14:paraId="1E6E2ADD" w14:textId="77777777" w:rsidR="009C7F52" w:rsidRDefault="00731002">
      <w:pPr>
        <w:pStyle w:val="FirstParagraph"/>
      </w:pPr>
      <w:r>
        <w:t>That vindication came nearly two decades after Maximus’s death. Emperor Constantine IV, with the backing of Pope Agatho, convened the Third Council of Constantinople in 680–681 — the sixth ecumenical council — meeting in a domed hall of the imperial palace called the Trullus</w:t>
      </w:r>
      <w:hyperlink w:anchor="cite_214" w:history="1">
        <w:r>
          <w:rPr>
            <w:color w:val="671C2A"/>
            <w:sz w:val="16"/>
            <w:vertAlign w:val="superscript"/>
          </w:rPr>
          <w:t>214</w:t>
        </w:r>
      </w:hyperlink>
      <w:r>
        <w:t>. Pope Agatho’s preliminary synod in Rome earlier in 680 had already condemned monothelitism, and synods at Milan and at Hatfield in England had done the same beforehand, so the ecumenical council that followed had wide, coordinated support across both the Greek East and the Latin West</w:t>
      </w:r>
      <w:hyperlink w:anchor="cite_215" w:history="1">
        <w:r>
          <w:rPr>
            <w:color w:val="671C2A"/>
            <w:sz w:val="16"/>
            <w:vertAlign w:val="superscript"/>
          </w:rPr>
          <w:t>215</w:t>
        </w:r>
      </w:hyperlink>
      <w:r>
        <w:t>. The council opened on 7 November 680 with a modest 37 bishops in attendance and grew across its sessions to 151 bishops by its closing session on 16 September 681</w:t>
      </w:r>
      <w:hyperlink w:anchor="cite_216" w:history="1">
        <w:r>
          <w:rPr>
            <w:color w:val="671C2A"/>
            <w:sz w:val="16"/>
            <w:vertAlign w:val="superscript"/>
          </w:rPr>
          <w:t>216</w:t>
        </w:r>
      </w:hyperlink>
      <w:r>
        <w:t>.</w:t>
      </w:r>
    </w:p>
    <w:p w14:paraId="036F1DCE" w14:textId="77777777" w:rsidR="009C7F52" w:rsidRDefault="00731002">
      <w:pPr>
        <w:pStyle w:val="BodyText"/>
      </w:pPr>
      <w:r>
        <w:t>The council’s verdict settled the question decisively. It declared that Christ possesses “two natural wills and two natural energies, without division, alteration, separation or confusion” — language that deliberately echoes Chalcedon’s own four adverbs, now applied specifically to the question of will rather than nature in general</w:t>
      </w:r>
      <w:hyperlink w:anchor="cite_217" w:history="1">
        <w:r>
          <w:rPr>
            <w:color w:val="671C2A"/>
            <w:sz w:val="16"/>
            <w:vertAlign w:val="superscript"/>
          </w:rPr>
          <w:t>217</w:t>
        </w:r>
      </w:hyperlink>
      <w:r>
        <w:t>. Dyothelitism — from δύο (dyo, “two”) and θέλημα (thelēma, “will”), the doctrine of Christ’s two wills held in perfect, undivided harmony — became settled, binding church doctrine. The council also anathematized monothelitism’s principal advocates by name, including, posthumously and not without controversy, Pope Honorius I himself, for the letter he had written to Sergius decades earlier agreeing that Christ had only “one will”</w:t>
      </w:r>
      <w:hyperlink w:anchor="cite_218" w:history="1">
        <w:r>
          <w:rPr>
            <w:color w:val="671C2A"/>
            <w:sz w:val="16"/>
            <w:vertAlign w:val="superscript"/>
          </w:rPr>
          <w:t>218</w:t>
        </w:r>
      </w:hyperlink>
      <w:r>
        <w:t>. Maximus the Confessor did not live to see this outcome, but his theology, defended at the cost of his tongue and his right hand, had been vindicated as the settled mind of the whole church.</w:t>
      </w:r>
    </w:p>
    <w:p w14:paraId="58D7202E" w14:textId="77777777" w:rsidR="009C7F52" w:rsidRDefault="00731002">
      <w:pPr>
        <w:pStyle w:val="BodyText"/>
      </w:pPr>
      <w:r>
        <w:t>Explicit monothelitism as an organized movement largely disappeared after 681. The Maronite Church, in full communion with Rome and firmly accepting Chalcedon, is sometimes still — probably unfairly, given its actual doctrine — associated with the controversy’s geography and origins, but it holds the orthodox, dyothelite position</w:t>
      </w:r>
      <w:hyperlink w:anchor="cite_219" w:history="1">
        <w:r>
          <w:rPr>
            <w:color w:val="671C2A"/>
            <w:sz w:val="16"/>
            <w:vertAlign w:val="superscript"/>
          </w:rPr>
          <w:t>219</w:t>
        </w:r>
      </w:hyperlink>
      <w:r>
        <w:t>. More diffusely, the same flattening instinct behind monothelitism reappears whenever popular devotion pictures Jesus as a purely passive conduit for the Father’s will, with no real internal cost, decision, or struggle of his own — exactly the picture Gethsemane’s anguished prayer refuses to allow.</w:t>
      </w:r>
    </w:p>
    <w:p w14:paraId="4FFA7554" w14:textId="77777777" w:rsidR="009C7F52" w:rsidRDefault="00731002">
      <w:pPr>
        <w:pStyle w:val="Heading3"/>
        <w:pBdr>
          <w:bottom w:val="single" w:sz="4" w:space="5" w:color="C8AE75"/>
        </w:pBdr>
      </w:pPr>
      <w:bookmarkStart w:id="178" w:name="why-gethsemane-requires-two-wills"/>
      <w:bookmarkEnd w:id="177"/>
      <w:r>
        <w:t>Why Gethsemane Requires Two Wills</w:t>
      </w:r>
    </w:p>
    <w:p w14:paraId="5673F194" w14:textId="77777777" w:rsidR="009C7F52" w:rsidRDefault="00731002">
      <w:pPr>
        <w:pStyle w:val="FirstParagraph"/>
      </w:pPr>
      <w:r>
        <w:t>Gethsemane remains the single clearest text against monothelitism, and it is worth returning to it with the full weight of everything this part of the book has established. “Going a little farther he fell on his face and prayed, saying, ‘My Father, if it be possible, let this cup pass from me; nevertheless, not as I will, but as you will’” (Matthew 26:39). The prayer’s very structure — “not as I will, but as you will” — presupposes two distinguishable wills in active relation to each other: a human will that genuinely, spontaneously recoils from suffering, and a movement of submission that brings that human will into willing conformity with the Father’s will. If Christ possessed only a single, divine will, this prayer becomes either meaningless — the divine will cannot coherently ask the divine will to overrule the divine will — or theatrical, a performance of a conflict that does not actually exist. Neither option does justice to the raw, sweat-like-drops-of-blood anguish Luke’s parallel account records (Luke 22:44), an anguish that is real only if there is a real, distinct human will genuinely wrestling with what is about to happen.</w:t>
      </w:r>
    </w:p>
    <w:p w14:paraId="3907A158" w14:textId="77777777" w:rsidR="009C7F52" w:rsidRDefault="00731002">
      <w:pPr>
        <w:pStyle w:val="BodyText"/>
      </w:pPr>
      <w:r>
        <w:t>John’s Gospel supplies Christ’s own explicit testimony to this same distinction of wills held in harmony rather than in conflict: “For I have come down from heaven, not to do my own will but the will of him who sent me” (John 6:38). The grammar of that sentence — “my own will” set against “the will of him who sent me” — requires two distinguishable wills for the sentence to mean anything at all; one cannot meaningfully say one has come “not to do my own will” if there is, in fact, no “own will” distinct from the will one is submitting to. John 5:30 repeats the same pattern: “I can do nothing on my own. As I hear, I judge, and my judgment is just, because I seek not my own will but the will of him who sent me” — positing a genuine human “own will” that Christ, in perfect and unbroken obedience, continually and freely subordinates to the Father’s will. That is a moral achievement of harmony, not evidence that a second will was simply absent to begin with.</w:t>
      </w:r>
    </w:p>
    <w:p w14:paraId="74C579FE" w14:textId="77777777" w:rsidR="009C7F52" w:rsidRDefault="00731002">
      <w:pPr>
        <w:pStyle w:val="Heading3"/>
        <w:pBdr>
          <w:bottom w:val="single" w:sz="4" w:space="5" w:color="C8AE75"/>
        </w:pBdr>
      </w:pPr>
      <w:bookmarkStart w:id="179" w:name="X27905c929708812b6d3e90a52ed3d51a2dac327"/>
      <w:bookmarkEnd w:id="178"/>
      <w:r>
        <w:t>Trinity and Hypostatic Union, Distinguished and Connected</w:t>
      </w:r>
    </w:p>
    <w:p w14:paraId="56E5FAFC" w14:textId="77777777" w:rsidR="009C7F52" w:rsidRDefault="00731002">
      <w:pPr>
        <w:pStyle w:val="FirstParagraph"/>
      </w:pPr>
      <w:r>
        <w:t>This part of the book has now traced four controversies — Apollinarius’s denial of a complete human mind, Nestorius’s division of Christ into two persons, Eutyches’s fusion of Christ’s two natures into one, and the monothelite denial of a genuinely human will — and every one of them was answered by the same governing insight, sharpened a little further each time: Jesus Christ is one person who possesses two complete, unconfused, undivided, and inseparable natures, divine and human, each retaining its own full properties, including — as Constantinople III finally settled — its own natural will, the two wills existing in perfect and unbroken harmony rather than conflict or fusion. That whole doctrine, this book has called by its proper name throughout: the hypostatic union.</w:t>
      </w:r>
    </w:p>
    <w:p w14:paraId="4FDA7D2C" w14:textId="77777777" w:rsidR="009C7F52" w:rsidRDefault="00731002">
      <w:pPr>
        <w:pStyle w:val="BodyText"/>
      </w:pPr>
      <w:r>
        <w:t>It is worth pausing, at the close of this part, to draw a careful and necessary distinction — one this book has been building toward since it first introduced James White’s now-familiar definition of the Trinity: “Within the one Being that is God, there exists eternally three coequal and coeternal persons, namely, the Father, the Son, and the Holy Spirit”</w:t>
      </w:r>
      <w:hyperlink w:anchor="cite_220" w:history="1">
        <w:r>
          <w:rPr>
            <w:color w:val="671C2A"/>
            <w:sz w:val="16"/>
            <w:vertAlign w:val="superscript"/>
          </w:rPr>
          <w:t>220</w:t>
        </w:r>
      </w:hyperlink>
      <w:r>
        <w:t xml:space="preserve">. The Trinity and the hypostatic union are not the same doctrine, and collapsing them together is itself a subtle, if less famous, way of getting Christology wrong. The Trinity describes the eternal, unchanging being of God as three coequal, coeternal, really distinct persons sharing one undivided divine essence — a truth about who God has always been, before creation, before the incarnation, before time itself. The hypostatic union describes something that happened at a particular moment in history: the eternal Son, the second person of that Trinity, taking to himself a complete human nature and joining it, permanently and without confusion, to his own single divine person. The Trinity is about the eternal </w:t>
      </w:r>
      <w:r>
        <w:rPr>
          <w:i/>
          <w:iCs/>
        </w:rPr>
        <w:t>threeness</w:t>
      </w:r>
      <w:r>
        <w:t xml:space="preserve"> of persons within the one God. The hypostatic union is about the </w:t>
      </w:r>
      <w:r>
        <w:rPr>
          <w:i/>
          <w:iCs/>
        </w:rPr>
        <w:t>twoness</w:t>
      </w:r>
      <w:r>
        <w:t xml:space="preserve"> of natures within one of those persons, the Son, following his incarnation.</w:t>
      </w:r>
    </w:p>
    <w:p w14:paraId="0C00E2D8" w14:textId="77777777" w:rsidR="009C7F52" w:rsidRDefault="00731002">
      <w:pPr>
        <w:pStyle w:val="BodyText"/>
      </w:pPr>
      <w:r>
        <w:t>But the two doctrines are connected, and connected necessarily. It is only because the Son who became incarnate already possessed, eternally, the full, undivided divine nature shared by the Father and the Spirit that his taking on a human nature could actually unite God and humanity rather than simply adding a new creature alongside an unchanged, distant deity. And it is only because that same Son remains, after the incarnation, a genuinely distinct person from the Father and the Spirit — not a mode or a mask, as the modalist heresies surveyed earlier in this book claimed, but a real, eternal, relational person — that the Gethsemane prayer makes sense as a Son addressing a Father, rather than God monologuing with himself. Get the Trinity wrong, and you cannot state the hypostatic union correctly, because you will not have a genuinely divine, genuinely distinct person to become incarnate in the first place. Get the hypostatic union wrong, and centuries of confusion about what, exactly, happened in Bethlehem and Gethsemane and on the cross will follow, no matter how carefully the Trinity itself has been defined.</w:t>
      </w:r>
    </w:p>
    <w:p w14:paraId="190B347D" w14:textId="77777777" w:rsidR="009C7F52" w:rsidRDefault="00731002">
      <w:pPr>
        <w:pStyle w:val="Heading3"/>
        <w:pBdr>
          <w:bottom w:val="single" w:sz="4" w:space="5" w:color="C8AE75"/>
        </w:pBdr>
      </w:pPr>
      <w:bookmarkStart w:id="180" w:name="X3b363634dc6451ca6ff99e3513e4fb8de997c9d"/>
      <w:bookmarkEnd w:id="179"/>
      <w:r>
        <w:t>A Doctrine Worth Living By, Not Just Defending</w:t>
      </w:r>
    </w:p>
    <w:p w14:paraId="5DE965D7" w14:textId="77777777" w:rsidR="009C7F52" w:rsidRDefault="00731002">
      <w:pPr>
        <w:pStyle w:val="FirstParagraph"/>
      </w:pPr>
      <w:r>
        <w:t>Someone might reasonably ask, after four chapters of councils, condemnations, and careful Greek vocabulary, whether any of this actually changes how a Christian prays, suffers, or hopes on an ordinary Tuesday. It does, and the change runs deeper than most believers realize until they need it.</w:t>
      </w:r>
    </w:p>
    <w:p w14:paraId="5DF4DF6A" w14:textId="77777777" w:rsidR="009C7F52" w:rsidRDefault="00731002">
      <w:pPr>
        <w:pStyle w:val="BodyText"/>
      </w:pPr>
      <w:r>
        <w:t>Consider what the hypostatic union means for suffering specifically. Because the eternal Son genuinely, personally united a complete human nature to himself — not merely observed human suffering from a safe distance, and not merely wore a human body as a kind of costume, the way Apollinaris’s Christology would ultimately imply — the pain, grief, and death Jesus experienced were not filtered or softened by his deity standing just out of reach behind them. The writer of Hebrews draws exactly this comfort out of the doctrine: because Christ “has been tempted in every way, just as we are” (Hebrews 4:15, drawing on the same verse discussed in the Apollinarius chapter), believers can “approach God’s throne of grace with confidence, so that we may receive mercy and find grace to help us in our time of need” (Hebrews 4:16). A Christ whose humanity was diminished, divided from his deity, blended away into something no longer really human, or robbed of a genuine human will could not anchor that confidence; only the Christ the councils actually defended — one person, two complete natures, two wills in harmony — can.</w:t>
      </w:r>
    </w:p>
    <w:p w14:paraId="162BDE72" w14:textId="77777777" w:rsidR="009C7F52" w:rsidRDefault="00731002">
      <w:pPr>
        <w:pStyle w:val="BodyText"/>
      </w:pPr>
      <w:r>
        <w:t>The doctrine also shapes how Christians understand their own path toward spiritual maturity. Maximus the Confessor’s insight that a human will, freed from the disorder sin introduces, can be in complete, willing agreement with the divine will rather than swallowed up by it offers a pattern, not just a technical clarification. The goal of the Christian life, on this account, is never the erasure of a believer’s own will, mind, or personality into some absorbed, Eutychian-style fusion with God; it is the same kind of harmony Christ himself modeled in Gethsemane, a real human will freely, willingly aligning itself with God’s will without ceasing to be a real, distinct, thinking, choosing human agent. The hypostatic union, in other words, describes not only who Christ is but also, in miniature, what wholehearted devotion to God is meant to look like in every believer who follows him.</w:t>
      </w:r>
    </w:p>
    <w:p w14:paraId="2C017556" w14:textId="77777777" w:rsidR="009C7F52" w:rsidRDefault="00731002">
      <w:pPr>
        <w:pStyle w:val="Heading3"/>
        <w:pBdr>
          <w:bottom w:val="single" w:sz="4" w:space="5" w:color="C8AE75"/>
        </w:pBdr>
      </w:pPr>
      <w:bookmarkStart w:id="181" w:name="why-any-of-this-matters"/>
      <w:bookmarkEnd w:id="180"/>
      <w:r>
        <w:t>Why Any of This Matters</w:t>
      </w:r>
    </w:p>
    <w:p w14:paraId="4EFF2761" w14:textId="77777777" w:rsidR="009C7F52" w:rsidRDefault="00731002">
      <w:pPr>
        <w:pStyle w:val="FirstParagraph"/>
      </w:pPr>
      <w:r>
        <w:t>It would be easy, after four chapters of councils, condemned bishops, and Greek technical vocabulary, to conclude that the hypostatic union is a puzzle for specialists — fascinating, perhaps, but remote from ordinary Christian life. The opposite is true, and each of the four controversies surveyed in this part shows exactly why.</w:t>
      </w:r>
    </w:p>
    <w:p w14:paraId="2D96847D" w14:textId="77777777" w:rsidR="009C7F52" w:rsidRDefault="00731002">
      <w:pPr>
        <w:pStyle w:val="BodyText"/>
      </w:pPr>
      <w:r>
        <w:t>If Apollinarius had been right, and Christ lacked a genuine human mind, then — as Gregory of Nazianzus saw with such clarity — the human mind, the very faculty in which temptation and sin take root, would remain forever outside the reach of what the incarnation actually touches and heals. If Nestorius had been right, and the man Jesus and the divine Son were only loosely conjoined rather than one person, then it would no longer be strictly true that God himself, and not merely a specially indwelt man, bore human sin on the cross — the infinite weight needed to atone for it would be missing. If Eutyches had been right, and Christ’s humanity had been absorbed into his deity, then the one mediator between God and humanity, as Paul calls him in 1 Timothy 2:5, would no longer genuinely belong to the human side of that mediation at all, and could not represent us. And if the monothelites had been right, and Christ possessed no real human will, then his obedience in Gethsemane — the free, willing, costly submission of a genuinely human will to the Father’s — would collapse into empty theater, and the pattern of obedience Christians are called to imitate would have no true model in the Gospels’ own account of their Lord.</w:t>
      </w:r>
    </w:p>
    <w:p w14:paraId="0265777F" w14:textId="77777777" w:rsidR="009C7F52" w:rsidRDefault="00731002">
      <w:pPr>
        <w:pStyle w:val="BodyText"/>
      </w:pPr>
      <w:r>
        <w:t>What the church defended, across three and a half centuries of controversy from Apollinarius to Constantinople III, is a Savior who is, at the same time and without diminishment, fully God and fully human — one person, two complete natures, two wills in perfect harmony, joined without confusion, without change, without division, and without separation. That is not a philosopher’s abstraction. It is the only kind of Christ who can actually do what the New Testament says he did: stand, as one person, on both sides of the gap between God and humanity, and close it.</w:t>
      </w:r>
    </w:p>
    <w:p w14:paraId="09A5EC93" w14:textId="77777777" w:rsidR="009C7F52" w:rsidRDefault="00731002">
      <w:r>
        <w:br w:type="page"/>
      </w:r>
    </w:p>
    <w:p w14:paraId="3D71880A" w14:textId="77777777" w:rsidR="009C7F52" w:rsidRDefault="00731002">
      <w:pPr>
        <w:keepNext/>
        <w:pageBreakBefore/>
        <w:spacing w:before="360" w:after="200"/>
        <w:jc w:val="center"/>
      </w:pPr>
      <w:bookmarkStart w:id="182" w:name="Xe376c898a9bf84d8874da4bfc758a19c2998307"/>
      <w:bookmarkEnd w:id="149"/>
      <w:bookmarkEnd w:id="174"/>
      <w:bookmarkEnd w:id="181"/>
      <w:r>
        <w:rPr>
          <w:noProof/>
        </w:rPr>
        <w:drawing>
          <wp:inline distT="0" distB="0" distL="0" distR="0" wp14:anchorId="20ECC5D2" wp14:editId="366DDF62">
            <wp:extent cx="4160520" cy="7396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477CC0CA" w14:textId="77777777" w:rsidR="009C7F52" w:rsidRDefault="00731002">
      <w:pPr>
        <w:pStyle w:val="Heading1"/>
      </w:pPr>
      <w:r>
        <w:t>Part V: Medieval Development and the Reformation</w:t>
      </w:r>
    </w:p>
    <w:p w14:paraId="17FCD5C9" w14:textId="77777777" w:rsidR="009F2F79" w:rsidRDefault="001A04A2">
      <w:pPr>
        <w:pStyle w:val="Heading3"/>
      </w:pPr>
      <w:r>
        <w:t>The Hypostatic Union and the Son’s Human Obedience</w:t>
      </w:r>
    </w:p>
    <w:p w14:paraId="59A22FAC" w14:textId="77777777" w:rsidR="009F2F79" w:rsidRDefault="001A04A2">
      <w:pPr>
        <w:pStyle w:val="FirstParagraph"/>
      </w:pPr>
      <w:r>
        <w:t>Questions about the Son’s knowledge, submission, and will must be answered through the hypostatic union. The subject acting in the Gospels is always the one eternal person of the Son, but he acts according to two complete natures. Because he is truly divine, he possesses the one infinite divine knowledge, power, and will common to Father, Son, and Spirit. Because he is truly human, he possesses a created human mind and a genuinely human will capable of growth, dependence, temptation, obedience, suffering, and death. The natures are neither confused nor divided, and the person is not split into two acting subjects.</w:t>
      </w:r>
    </w:p>
    <w:p w14:paraId="3E0BC768" w14:textId="77777777" w:rsidR="009F2F79" w:rsidRDefault="001A04A2">
      <w:pPr>
        <w:pStyle w:val="BodyText"/>
      </w:pPr>
      <w:r>
        <w:t>Mark 13:32 therefore cannot be used as a simple denial of Christ’s deity. The incarnate Son speaks within the conditions of his messianic mission and genuine human life. Historic Christology need not pretend that Christ’s humanity was omniscient as humanity, since an omniscient human mind would not be a human mind. Nor does it conclude that the eternal Son ceased to possess divine knowledge. The statement belongs to the economy of the incarnation and must be held together with the texts that attribute to the Son preexistent glory, creation, providence, and knowledge of the human heart.</w:t>
      </w:r>
    </w:p>
    <w:p w14:paraId="64EDA62A" w14:textId="77777777" w:rsidR="009F2F79" w:rsidRDefault="001A04A2">
      <w:pPr>
        <w:pStyle w:val="BodyText"/>
      </w:pPr>
      <w:r>
        <w:t>The prayer “not my will, but yours be done” (Luke 22:42) likewise does not establish rival divine wills. Christ possesses a true human will that naturally recoils from suffering and death, yet freely conforms itself to the Father’s saving purpose. At the level of deity, Father, Son, and Spirit possess the one indivisible divine will because will belongs to the divine nature. At the level of Christ’s assumed humanity, the Son exercises a created human will in perfect obedience. The distinction is between divine and human willing in the one person of Christ, not between three competing gods.</w:t>
      </w:r>
    </w:p>
    <w:p w14:paraId="0C0C7ABE" w14:textId="77777777" w:rsidR="009F2F79" w:rsidRDefault="001A04A2">
      <w:pPr>
        <w:pStyle w:val="BodyText"/>
      </w:pPr>
      <w:r>
        <w:t>This also clarifies Philippians 2:6–11 and John 14:28. The one who exists in the form of God takes the form of a servant; he does not exchange deity for humanity. His humiliation, obedience, and reception of messianic exaltation occur according to the incarnate economy. The Father’s greatness in relation to the humbled, sent Son does not prove a superior divine essence. It identifies the real condition the coequal Son willingly assumed for redemption.</w:t>
      </w:r>
    </w:p>
    <w:p w14:paraId="55CD8A90" w14:textId="77777777" w:rsidR="009F2F79" w:rsidRDefault="001A04A2">
      <w:pPr>
        <w:pStyle w:val="BodyText"/>
      </w:pPr>
      <w:r>
        <w:t>The hypostatic union therefore protects both sides of the confession. Against Arianism, the acting person is the eternal, fully divine Son. Against Docetism and overreaching forms of kenotic theology, his humanity, limitations, obedience, suffering, and death are real. Against Nestorian division, there is one “I” who acts through both natures. Against modalism, the Son’s obedience and prayer are genuinely directed to the Father, not staged conversations within a solitary person.</w:t>
      </w:r>
    </w:p>
    <w:p w14:paraId="4949915A" w14:textId="77777777" w:rsidR="009F2F79" w:rsidRDefault="001A04A2">
      <w:pPr>
        <w:pStyle w:val="Heading3"/>
      </w:pPr>
      <w:r>
        <w:t>Natural Will, Personal Agency, and Gethsemane</w:t>
      </w:r>
    </w:p>
    <w:p w14:paraId="2659F7C6" w14:textId="77777777" w:rsidR="009F2F79" w:rsidRDefault="001A04A2">
      <w:pPr>
        <w:pStyle w:val="FirstParagraph"/>
      </w:pPr>
      <w:r>
        <w:t>The sixth council’s language of two natural wills is exact. Will names a capacity belonging to nature: a divine nature wills divinely, and a human nature wills humanly. Person names the acting subject who exercises that capacity. Because the Son possesses two complete natures, he acts through both the one divine will common to the Trinity and his own created human will. This does not place two persons inside Christ. The single “who” wills according to two distinct “whats.” In Gethsemane, the human inclination to preserve life and recoil from death is not sinful rebellion. It is a blameless movement of a complete human nature, freely brought into obedient agreement with the Father’s saving command.</w:t>
      </w:r>
    </w:p>
    <w:p w14:paraId="648324BE" w14:textId="77777777" w:rsidR="009F2F79" w:rsidRDefault="001A04A2">
      <w:pPr>
        <w:pStyle w:val="BodyText"/>
      </w:pPr>
      <w:r>
        <w:t>Maximus’s distinction between natural will and gnomic willing clarifies the point. Fallen humans often deliberate under ignorance, hesitate between uncertain options, and form a choice through a divided moral process. That mode of willing is not required for humanity as such; it belongs to limited and, often, disordered human agency. Christ possesses a natural human will in its fullness, but not sinful vacillation or ignorance about his moral end. His obedience is genuinely human and freely enacted without implying an inner sinful contest. The absence of rebellion makes his humanity perfect, not incomplete.</w:t>
      </w:r>
    </w:p>
    <w:p w14:paraId="1625879C" w14:textId="77777777" w:rsidR="009F2F79" w:rsidRDefault="001A04A2">
      <w:pPr>
        <w:pStyle w:val="Heading3"/>
      </w:pPr>
      <w:r>
        <w:t>The Incarnation and the Divine Attributes</w:t>
      </w:r>
    </w:p>
    <w:p w14:paraId="38D02571" w14:textId="77777777" w:rsidR="009F2F79" w:rsidRDefault="001A04A2">
      <w:pPr>
        <w:pStyle w:val="FirstParagraph"/>
      </w:pPr>
      <w:r>
        <w:t>The hypostatic union must be coordinated with the attributes of God. According to deity, the Son remains eternal, infinite, omnipresent, omniscient, omnipotent, immutable, and impassible. According to humanity, he begins his human life in Mary, occupies a particular place, grows in wisdom, experiences weakness, suffers, and dies. The incarnation does not convert one list into the other. Nor does the divine nature function as a replacement for ordinary human faculties. The properties of each nature remain proper to it while both belong to the one person. This is why the same Christ can uphold the universe and be carried in his mother’s arms without contradiction: the predicates answer different respects grounded in two natures.</w:t>
      </w:r>
    </w:p>
    <w:p w14:paraId="24393B9D" w14:textId="77777777" w:rsidR="009F2F79" w:rsidRDefault="001A04A2">
      <w:pPr>
        <w:pStyle w:val="BodyText"/>
      </w:pPr>
      <w:r>
        <w:t>Omnipresence offers a particularly useful test. The divine essence is not spatially enclosed, and therefore the Son’s deity is not compressed into the dimensions of his human body. The humanity of Christ is localized and created; the Word remains immense and present to all creation according to deity. Likewise, omniscience does not eliminate a human mind that learns, and omnipotence does not eliminate human weakness. To use the divine attributes to cancel the Gospel’s human predicates produces a refined Docetism. To use the human predicates to deny the divine attributes produces a renewed Arianism or adoptionism. Chalcedonian Christology refuses both reductions.</w:t>
      </w:r>
    </w:p>
    <w:p w14:paraId="42B0CE87" w14:textId="77777777" w:rsidR="009F2F79" w:rsidRDefault="001A04A2">
      <w:pPr>
        <w:pStyle w:val="Heading3"/>
      </w:pPr>
      <w:r>
        <w:t>A Creedal Map of the Hypostatic Union</w:t>
      </w:r>
    </w:p>
    <w:p w14:paraId="13EFD861" w14:textId="77777777" w:rsidR="009F2F79" w:rsidRDefault="001A04A2">
      <w:pPr>
        <w:pStyle w:val="FirstParagraph"/>
      </w:pPr>
      <w:r>
        <w:t>The conciliar sequence can now be read as one developing map. Nicaea identifies the Son as true God of one essence with the Father. Constantinople confesses the full deity and personal distinction of the Spirit. Ephesus insists that the incarnate Christ is one personal subject. Chalcedon confesses that this one Son exists in two complete natures without confusion, change, division, or separation. Constantinople II clarifies that the one who suffers in the flesh is one of the Trinity. Constantinople III confesses two natural wills and energies corresponding to the two natures. Each judgment answers a new evasive reading while preserving everything previously confessed.</w:t>
      </w:r>
    </w:p>
    <w:p w14:paraId="734CB1B7" w14:textId="77777777" w:rsidR="009F2F79" w:rsidRDefault="001A04A2">
      <w:pPr>
        <w:pStyle w:val="BodyText"/>
      </w:pPr>
      <w:r>
        <w:t>The sequence also shows why doctrinal development need not mean doctrinal invention. Scripture supplied the identity and actions that required synthesis; controversy exposed where inherited wording could be misunderstood; councils introduced discriminating terms and exclusions. The mature formula is more verbally elaborate than the apostolic proclamation, but its purpose is conservative: to say all that Scripture requires without allowing one truth to devour another. Full deity, full humanity, one person, two natures, and two natural wills are not rival theories. Together they identify the Jesus whose saving work the New Testament narrates.</w:t>
      </w:r>
    </w:p>
    <w:p w14:paraId="604AA753" w14:textId="77777777" w:rsidR="009C7F52" w:rsidRDefault="00731002">
      <w:pPr>
        <w:pStyle w:val="Heading2"/>
        <w:pBdr>
          <w:bottom w:val="single" w:sz="10" w:space="8" w:color="A68037"/>
        </w:pBdr>
      </w:pPr>
      <w:bookmarkStart w:id="183" w:name="Xe433f7b2acd2ba9b02ca389d4620febf7106550"/>
      <w:r>
        <w:t>Chapter 24: The Doctrine Through the Medieval Church</w:t>
      </w:r>
    </w:p>
    <w:p w14:paraId="2B01FFEF" w14:textId="77777777" w:rsidR="009C7F52" w:rsidRDefault="00731002">
      <w:pPr>
        <w:pStyle w:val="FirstParagraph"/>
      </w:pPr>
      <w:r>
        <w:t>A council can settle a question without settling the minds that have to live with the answer. Chalcedon closed the book on how to speak of Christ’s two natures in 451, but the deeper grammar of Father, Son, and Spirit — how three eternal persons share one undivided being — kept quietly demanding sharper tools, better analogies, and more careful distinctions for another thousand years before the Reformation reopened the doctrine to a new set of readers.</w:t>
      </w:r>
    </w:p>
    <w:p w14:paraId="06C43311" w14:textId="77777777" w:rsidR="009C7F52" w:rsidRDefault="00731002">
      <w:pPr>
        <w:pStyle w:val="BodyText"/>
      </w:pPr>
      <w:r>
        <w:t>The good news for anyone reading straight through this book’s history is that this chapter can be short. Unlike the patristic centuries, when the church had to fight off Arianism, Sabellianism, and half a dozen other errors just to say clearly that God is one being in three coequal, coeternal persons, the Trinity was not seriously contested within the mainstream church between Chalcedon and the Reformation. What happened instead was refinement: careful theologians took the settled grammar of Nicaea and Chalcedon and pressed it for greater precision, working out exactly how the persons relate to one another and to the single divine essence they share. Two large developments deserve attention — one that split the church, and one that deepened it.</w:t>
      </w:r>
    </w:p>
    <w:p w14:paraId="2FE7D257" w14:textId="77777777" w:rsidR="009C7F52" w:rsidRDefault="00731002">
      <w:pPr>
        <w:pStyle w:val="Heading3"/>
        <w:pBdr>
          <w:bottom w:val="single" w:sz="4" w:space="5" w:color="C8AE75"/>
        </w:pBdr>
      </w:pPr>
      <w:bookmarkStart w:id="184" w:name="Xb462e1904c461c4d6c5edabaf0dd94cc3651a7d"/>
      <w:r>
        <w:t>The Filioque and the Fracture of East and West</w:t>
      </w:r>
    </w:p>
    <w:p w14:paraId="6B7D322A" w14:textId="77777777" w:rsidR="009C7F52" w:rsidRDefault="00731002">
      <w:pPr>
        <w:pStyle w:val="FirstParagraph"/>
      </w:pPr>
      <w:r>
        <w:t>The split came from a single Latin word tacked onto the end of a sentence. The Niceno-Constantinopolitan Creed of 381 confessed the Holy Spirit as the one “who proceeds from the Father,” language drawn directly from Jesus’s own words in John 15:26: “But when the Helper comes, whom I will send to you from the Father, the Spirit of truth, who proceeds from the Father, he will bear witness about me.” The Greek verb there, ἐκπορεύεται (ekporeuetai, “proceeds”), describes the Spirit’s eternal relationship of origin to the Father alone</w:t>
      </w:r>
      <w:hyperlink w:anchor="cite_221" w:history="1">
        <w:r>
          <w:rPr>
            <w:color w:val="671C2A"/>
            <w:sz w:val="16"/>
            <w:vertAlign w:val="superscript"/>
          </w:rPr>
          <w:t>221</w:t>
        </w:r>
      </w:hyperlink>
      <w:r>
        <w:t>; the creed’s own wording renders the same verb as a participle, ἐκπορευόμενον (ekporeuomenon, “proceeding”).</w:t>
      </w:r>
    </w:p>
    <w:p w14:paraId="3CFA57F0" w14:textId="77777777" w:rsidR="009C7F52" w:rsidRDefault="00731002">
      <w:pPr>
        <w:pStyle w:val="BodyText"/>
      </w:pPr>
      <w:r>
        <w:t xml:space="preserve">Sometime around the late sixth century, Western churches began adding a single word to that clause: </w:t>
      </w:r>
      <w:r>
        <w:rPr>
          <w:i/>
          <w:iCs/>
        </w:rPr>
        <w:t>filioque</w:t>
      </w:r>
      <w:r>
        <w:t>, Latin for “and the Son.” The addition first appears clearly at the Third Council of Toledo in 589, where the Spanish church, having just renounced Arianism, wanted to underline as forcefully as possible that the Son shares the Father’s full divine authority — since Arians had denied exactly that</w:t>
      </w:r>
      <w:hyperlink w:anchor="cite_222" w:history="1">
        <w:r>
          <w:rPr>
            <w:color w:val="671C2A"/>
            <w:sz w:val="16"/>
            <w:vertAlign w:val="superscript"/>
          </w:rPr>
          <w:t>222</w:t>
        </w:r>
      </w:hyperlink>
      <w:r>
        <w:t>. The logic was pastoral and anti-heretical before it was polemical: if the Spirit’s eternal procession comes from the Son too, then the Son cannot be a lesser, created being, because only true God could be a source from which the Spirit eternally proceeds. The practice spread through Charlemagne’s Frankish empire in the eighth and ninth centuries and was eventually sung into the Roman liturgy itself when Pope Benedict VIII approved it in 1014</w:t>
      </w:r>
      <w:hyperlink w:anchor="cite_223" w:history="1">
        <w:r>
          <w:rPr>
            <w:color w:val="671C2A"/>
            <w:sz w:val="16"/>
            <w:vertAlign w:val="superscript"/>
          </w:rPr>
          <w:t>223</w:t>
        </w:r>
      </w:hyperlink>
      <w:r>
        <w:t>.</w:t>
      </w:r>
    </w:p>
    <w:p w14:paraId="6B0C7491" w14:textId="77777777" w:rsidR="009C7F52" w:rsidRDefault="00731002">
      <w:pPr>
        <w:pStyle w:val="BodyText"/>
      </w:pPr>
      <w:r>
        <w:t>The Eastern churches objected, and their objection was not mere stubbornness. Two concerns stood behind it. The first was procedural: the phrase had been inserted into an ecumenical creed — a document the whole church had received from a whole-church council — by regional decision, without the kind of universal council that had produced the original text. The Council of Ephesus in 431 had explicitly forbidden introducing “a different faith” as a rival to the Nicene standard, and many in the East heard the filioque as exactly that kind of unauthorized rival, however well-intentioned</w:t>
      </w:r>
      <w:hyperlink w:anchor="cite_224" w:history="1">
        <w:r>
          <w:rPr>
            <w:color w:val="671C2A"/>
            <w:sz w:val="16"/>
            <w:vertAlign w:val="superscript"/>
          </w:rPr>
          <w:t>224</w:t>
        </w:r>
      </w:hyperlink>
      <w:r>
        <w:t>. The second concern was theological: if the Spirit proceeds from both the Father and the Son as from a single joint source, does that blur the very distinction between the persons that safeguards them as three real, eternal persons rather than one? Eastern theologians, following the ninth-century Patriarch Photius of Constantinople, argued that the Father alone must be the sole “fount of deity” — the single ultimate source from which both the Son’s generation and the Spirit’s procession flow — and that adding the Son as a second source threatened to collapse that structure</w:t>
      </w:r>
      <w:hyperlink w:anchor="cite_225" w:history="1">
        <w:r>
          <w:rPr>
            <w:color w:val="671C2A"/>
            <w:sz w:val="16"/>
            <w:vertAlign w:val="superscript"/>
          </w:rPr>
          <w:t>225</w:t>
        </w:r>
      </w:hyperlink>
      <w:r>
        <w:t>. Western theologians, for their part, insisted they were not describing two separate sources but one: the Father and Son together as a single principle of the Spirit’s procession, the Son himself having received that capacity from the Father — so that the Father remained, even in Western terms, the ultimate fountainhead</w:t>
      </w:r>
      <w:hyperlink w:anchor="cite_226" w:history="1">
        <w:r>
          <w:rPr>
            <w:color w:val="671C2A"/>
            <w:sz w:val="16"/>
            <w:vertAlign w:val="superscript"/>
          </w:rPr>
          <w:t>226</w:t>
        </w:r>
      </w:hyperlink>
      <w:r>
        <w:t>.</w:t>
      </w:r>
    </w:p>
    <w:p w14:paraId="57E0CB78" w14:textId="77777777" w:rsidR="009C7F52" w:rsidRDefault="00731002">
      <w:pPr>
        <w:pStyle w:val="BodyText"/>
      </w:pPr>
      <w:r>
        <w:t>This slow-burning dispute finally erupted into open rupture on July 16, 1054. Cardinal Humbert, a papal legate from Rome, and Patriarch Michael Cerularius of Constantinople excommunicated one another amid disputes that included the filioque but also ranged across liturgical practices, the use of leavened versus unleavened bread in the Eucharist, and above all the question of papal authority over the Eastern churches</w:t>
      </w:r>
      <w:hyperlink w:anchor="cite_227" w:history="1">
        <w:r>
          <w:rPr>
            <w:color w:val="671C2A"/>
            <w:sz w:val="16"/>
            <w:vertAlign w:val="superscript"/>
          </w:rPr>
          <w:t>227</w:t>
        </w:r>
      </w:hyperlink>
      <w:r>
        <w:t>. Historians are careful to note that 1054 was less a single decisive break than the visible flashpoint of tensions — political, cultural, and linguistic as much as theological — that had been building for centuries; the schism hardened gradually in the decades that followed rather than snapping shut in a single afternoon</w:t>
      </w:r>
      <w:hyperlink w:anchor="cite_228" w:history="1">
        <w:r>
          <w:rPr>
            <w:color w:val="671C2A"/>
            <w:sz w:val="16"/>
            <w:vertAlign w:val="superscript"/>
          </w:rPr>
          <w:t>228</w:t>
        </w:r>
      </w:hyperlink>
      <w:r>
        <w:t>. But the filioque remained, and remains, one of the doctrinal markers Eastern Orthodox and Western Christians point to when explaining why their communions still stand apart.</w:t>
      </w:r>
    </w:p>
    <w:p w14:paraId="65EAB0E7" w14:textId="77777777" w:rsidR="009C7F52" w:rsidRDefault="00731002">
      <w:pPr>
        <w:pStyle w:val="BodyText"/>
      </w:pPr>
      <w:r>
        <w:t>It is worth being precise about what this schism was and was not, because loose language does real damage here. The filioque controversy was not a dispute about whether God is a Trinity of three coequal, coeternal persons in one essence — both East and West affirmed that without qualification. It was a dispute internal to Trinitarian orthodoxy, about the exact relations of origin among persons everyone agreed were fully, equally divine. Treating Eastern and Western Christians before and after 1054 as though they held to different Gods, or different levels of orthodoxy about who God is, misrepresents a family argument as something closer to heresy on one side. This book treats both the Eastern insistence on the Father as sole fount of deity and the Western affirmation of the Son’s role in the Spirit’s procession as claims made by serious Christians defending real convictions about how to guard the very doctrine both sides had inherited from Nicaea and Constantinople — sincere people, on both sides of the aisle, protecting what they believed Scripture and the fathers required.</w:t>
      </w:r>
    </w:p>
    <w:p w14:paraId="779186D9" w14:textId="77777777" w:rsidR="009C7F52" w:rsidRDefault="00731002">
      <w:pPr>
        <w:pStyle w:val="Heading3"/>
        <w:pBdr>
          <w:bottom w:val="single" w:sz="4" w:space="5" w:color="C8AE75"/>
        </w:pBdr>
      </w:pPr>
      <w:bookmarkStart w:id="185" w:name="anselm-and-the-grammar-of-necessity"/>
      <w:bookmarkEnd w:id="184"/>
      <w:r>
        <w:t>Anselm and the Grammar of Necessity</w:t>
      </w:r>
    </w:p>
    <w:p w14:paraId="24EF397B" w14:textId="77777777" w:rsidR="009C7F52" w:rsidRDefault="00731002">
      <w:pPr>
        <w:pStyle w:val="FirstParagraph"/>
      </w:pPr>
      <w:r>
        <w:t xml:space="preserve">If the East-West split shows the doctrine’s power to divide even careful theologians, the work of Anselm of Canterbury (c. 1033–1109) shows its power to reward patient reasoning. Anselm, a Benedictine monk who became Archbishop of Canterbury, is best remembered for his ontological argument for God’s existence in the </w:t>
      </w:r>
      <w:r>
        <w:rPr>
          <w:i/>
          <w:iCs/>
        </w:rPr>
        <w:t>Proslogion</w:t>
      </w:r>
      <w:r>
        <w:t xml:space="preserve">, but that same work, along with its predecessor the </w:t>
      </w:r>
      <w:r>
        <w:rPr>
          <w:i/>
          <w:iCs/>
        </w:rPr>
        <w:t>Monologion</w:t>
      </w:r>
      <w:r>
        <w:t>, wrestles seriously with how to speak of the Trinity using the tools of reason alone, without simply repeating biblical language back to the reader</w:t>
      </w:r>
      <w:hyperlink w:anchor="cite_229" w:history="1">
        <w:r>
          <w:rPr>
            <w:color w:val="671C2A"/>
            <w:sz w:val="16"/>
            <w:vertAlign w:val="superscript"/>
          </w:rPr>
          <w:t>229</w:t>
        </w:r>
      </w:hyperlink>
      <w:r>
        <w:t>.</w:t>
      </w:r>
    </w:p>
    <w:p w14:paraId="087CE6E6" w14:textId="77777777" w:rsidR="009C7F52" w:rsidRDefault="00731002">
      <w:pPr>
        <w:pStyle w:val="BodyText"/>
      </w:pPr>
      <w:r>
        <w:t xml:space="preserve">Anselm’s method, sometimes summarized by his own phrase “faith seeking understanding,” did not treat reason as a rival to revelation but as a servant exploring, from the inside, why revealed truths must be so. In the </w:t>
      </w:r>
      <w:r>
        <w:rPr>
          <w:i/>
          <w:iCs/>
        </w:rPr>
        <w:t>Proslogion</w:t>
      </w:r>
      <w:r>
        <w:t xml:space="preserve"> he writes of the Trinity in terms that anticipate later scholastic precision: “what each is, separately, this is all the Trinity at once, Father, Son, and Holy Spirit; seeing that each separately is none other than the supremely simple unity, and the supremely unitary simplicity which can neither be multiplied nor varied”</w:t>
      </w:r>
      <w:hyperlink w:anchor="cite_230" w:history="1">
        <w:r>
          <w:rPr>
            <w:color w:val="671C2A"/>
            <w:sz w:val="16"/>
            <w:vertAlign w:val="superscript"/>
          </w:rPr>
          <w:t>230</w:t>
        </w:r>
      </w:hyperlink>
      <w:r>
        <w:t xml:space="preserve">. That sentence is doing careful work: it insists that the whole, undivided divine essence belongs equally to Father, Son, and Spirit, so that no person possesses a smaller share of deity than any other, while the persons remain really distinct from one another. Anselm also acknowledged the limits of this project honestly. He wrote that although he could speak of “a Trinity because of Father and Son and the Spirit of both,” he could not, using a single word, fully explain </w:t>
      </w:r>
      <w:r>
        <w:rPr>
          <w:i/>
          <w:iCs/>
        </w:rPr>
        <w:t>why</w:t>
      </w:r>
      <w:r>
        <w:t xml:space="preserve"> they are three in the way that “unity” fully explains why God is one in substance</w:t>
      </w:r>
      <w:hyperlink w:anchor="cite_231" w:history="1">
        <w:r>
          <w:rPr>
            <w:color w:val="671C2A"/>
            <w:sz w:val="16"/>
            <w:vertAlign w:val="superscript"/>
          </w:rPr>
          <w:t>231</w:t>
        </w:r>
      </w:hyperlink>
      <w:r>
        <w:t>. That admission is itself theologically important: Anselm was not claiming to have solved the Trinity by logic, only to have shown that it is not irrational — a mystery beyond reason’s full grasp, but not against reason’s basic laws.</w:t>
      </w:r>
    </w:p>
    <w:p w14:paraId="3AB2B669" w14:textId="77777777" w:rsidR="009C7F52" w:rsidRDefault="00731002">
      <w:pPr>
        <w:pStyle w:val="Heading3"/>
        <w:pBdr>
          <w:bottom w:val="single" w:sz="4" w:space="5" w:color="C8AE75"/>
        </w:pBdr>
      </w:pPr>
      <w:bookmarkStart w:id="186" w:name="Xfde18deb816b08d5fcc15b4d5a2c158b59a556d"/>
      <w:bookmarkEnd w:id="185"/>
      <w:r>
        <w:t>Peter Lombard and the Textbook of the Schools</w:t>
      </w:r>
    </w:p>
    <w:p w14:paraId="750C9E1A" w14:textId="77777777" w:rsidR="009C7F52" w:rsidRDefault="00731002">
      <w:pPr>
        <w:pStyle w:val="FirstParagraph"/>
      </w:pPr>
      <w:r>
        <w:t xml:space="preserve">A generation or two after Anselm, a different kind of contribution shaped how the entire medieval university would learn Trinitarian doctrine for the next four centuries. Peter Lombard (c. 1096–1160), a bishop of Paris, compiled a four-book systematic theology called the </w:t>
      </w:r>
      <w:r>
        <w:rPr>
          <w:i/>
          <w:iCs/>
        </w:rPr>
        <w:t>Sentences</w:t>
      </w:r>
      <w:r>
        <w:t xml:space="preserve"> — literally “opinions” — which gathered and organized quotations from Scripture and the church fathers, especially Augustine, on the major topics of Christian doctrine. Book One of the </w:t>
      </w:r>
      <w:r>
        <w:rPr>
          <w:i/>
          <w:iCs/>
        </w:rPr>
        <w:t>Sentences</w:t>
      </w:r>
      <w:r>
        <w:t xml:space="preserve"> is devoted entirely to what Lombard titled “the mystery of the Trinity,” working through forty-eight distinctions that cover God’s unity and trinity, the relations between the persons, and how Scripture and the fathers speak of the divine names</w:t>
      </w:r>
      <w:hyperlink w:anchor="cite_232" w:history="1">
        <w:r>
          <w:rPr>
            <w:color w:val="671C2A"/>
            <w:sz w:val="16"/>
            <w:vertAlign w:val="superscript"/>
          </w:rPr>
          <w:t>232</w:t>
        </w:r>
      </w:hyperlink>
      <w:r>
        <w:t>.</w:t>
      </w:r>
    </w:p>
    <w:p w14:paraId="001A41FC" w14:textId="77777777" w:rsidR="009C7F52" w:rsidRDefault="00731002">
      <w:pPr>
        <w:pStyle w:val="BodyText"/>
      </w:pPr>
      <w:r>
        <w:t xml:space="preserve">Lombard’s </w:t>
      </w:r>
      <w:r>
        <w:rPr>
          <w:i/>
          <w:iCs/>
        </w:rPr>
        <w:t>Sentences</w:t>
      </w:r>
      <w:r>
        <w:t xml:space="preserve"> became the standard theology textbook of the medieval university, the book every student training for a doctorate in theology was required to comment on, generation after generation, well into the sixteenth century</w:t>
      </w:r>
      <w:hyperlink w:anchor="cite_233" w:history="1">
        <w:r>
          <w:rPr>
            <w:color w:val="671C2A"/>
            <w:sz w:val="16"/>
            <w:vertAlign w:val="superscript"/>
          </w:rPr>
          <w:t>233</w:t>
        </w:r>
      </w:hyperlink>
      <w:r>
        <w:t xml:space="preserve">. This is not a minor bibliographic detail — it means that for roughly four hundred years, nearly every theologian trained in the Western church, including the men who would later become Reformers, first learned to reason carefully about the Trinity by working through Lombard’s arrangement of patristic material on divine unity and personal distinction. Lombard did not invent new doctrine; his genius, and his lasting influence, lay in organizing the church’s inherited answers into a form disciplined enough to teach and interrogate. When later theologians wanted to test a new formulation of Trinitarian doctrine, the first question was often simply: does this square with what Lombard’s </w:t>
      </w:r>
      <w:r>
        <w:rPr>
          <w:i/>
          <w:iCs/>
        </w:rPr>
        <w:t>Sentences</w:t>
      </w:r>
      <w:r>
        <w:t>, book one, already established as the received teaching?</w:t>
      </w:r>
    </w:p>
    <w:p w14:paraId="0A6221AA" w14:textId="77777777" w:rsidR="009C7F52" w:rsidRDefault="00731002">
      <w:pPr>
        <w:pStyle w:val="Heading3"/>
        <w:pBdr>
          <w:bottom w:val="single" w:sz="4" w:space="5" w:color="C8AE75"/>
        </w:pBdr>
      </w:pPr>
      <w:bookmarkStart w:id="187" w:name="X702f50da7151a200c17e5c74c7d1fa05976f273"/>
      <w:bookmarkEnd w:id="186"/>
      <w:r>
        <w:t>Thomas Aquinas and the Architecture of Persons and Relations</w:t>
      </w:r>
    </w:p>
    <w:p w14:paraId="71B22450" w14:textId="77777777" w:rsidR="009C7F52" w:rsidRDefault="00731002">
      <w:pPr>
        <w:pStyle w:val="FirstParagraph"/>
      </w:pPr>
      <w:r>
        <w:t xml:space="preserve">The high point of medieval Trinitarian reflection came in the thirteenth century with Thomas Aquinas (1225–1274), a Dominican friar whose </w:t>
      </w:r>
      <w:r>
        <w:rPr>
          <w:i/>
          <w:iCs/>
        </w:rPr>
        <w:t>Summa Theologica</w:t>
      </w:r>
      <w:r>
        <w:t xml:space="preserve"> devotes an extended treatise — questions 27 through 43 of its First Part — to working out, with remarkable precision, exactly how three persons can share one undivided divine essence without becoming either three separate beings or three temporary masks worn by one.</w:t>
      </w:r>
    </w:p>
    <w:p w14:paraId="5A280A10" w14:textId="77777777" w:rsidR="009C7F52" w:rsidRDefault="00731002">
      <w:pPr>
        <w:pStyle w:val="BodyText"/>
      </w:pPr>
      <w:r>
        <w:t xml:space="preserve">Aquinas built his account around three linked concepts: procession, relation, and person. He begins with </w:t>
      </w:r>
      <w:r>
        <w:rPr>
          <w:i/>
          <w:iCs/>
        </w:rPr>
        <w:t>procession</w:t>
      </w:r>
      <w:r>
        <w:t xml:space="preserve"> — the internal, non-physical “coming forth” by which the Son originates from the Father and the Spirit originates from the Father and the Son. Aquinas is careful to specify that procession in God is nothing like biological generation or any process that produces something external to its source; instead, he compares it to the way a thought proceeds from a mind that is thinking, or a word proceeds from a mind that understands — an act that “remains in the agent himself” rather than producing something separate</w:t>
      </w:r>
      <w:hyperlink w:anchor="cite_234" w:history="1">
        <w:r>
          <w:rPr>
            <w:color w:val="671C2A"/>
            <w:sz w:val="16"/>
            <w:vertAlign w:val="superscript"/>
          </w:rPr>
          <w:t>234</w:t>
        </w:r>
      </w:hyperlink>
      <w:r>
        <w:t>. On this analogy, the Son proceeds from the Father as a perfect, eternal Word proceeds from a perfect, eternal mind — which is why the New Testament calls the Son the Λόγος (Logos, “Word”) (John 1:1) — and the Spirit proceeds from the Father and the Son by way of will and love, as love proceeds from a mind that both understands and loves what it understands</w:t>
      </w:r>
      <w:hyperlink w:anchor="cite_235" w:history="1">
        <w:r>
          <w:rPr>
            <w:color w:val="671C2A"/>
            <w:sz w:val="16"/>
            <w:vertAlign w:val="superscript"/>
          </w:rPr>
          <w:t>235</w:t>
        </w:r>
      </w:hyperlink>
      <w:r>
        <w:t>.</w:t>
      </w:r>
    </w:p>
    <w:p w14:paraId="4D16DFDA" w14:textId="77777777" w:rsidR="009C7F52" w:rsidRDefault="00731002">
      <w:pPr>
        <w:pStyle w:val="BodyText"/>
      </w:pPr>
      <w:r>
        <w:t xml:space="preserve">From these two processions, Aquinas derives four </w:t>
      </w:r>
      <w:r>
        <w:rPr>
          <w:i/>
          <w:iCs/>
        </w:rPr>
        <w:t>relations</w:t>
      </w:r>
      <w:r>
        <w:t>: paternity (the Father’s relation to the Son as begetter), filiation (the Son’s relation to the Father as begotten), active spiration (the Father and Son’s joint relation to the Spirit as its source), and passive spiration, or simply procession (the Spirit’s relation to the Father and Son as the one who proceeds)</w:t>
      </w:r>
      <w:hyperlink w:anchor="cite_236" w:history="1">
        <w:r>
          <w:rPr>
            <w:color w:val="671C2A"/>
            <w:sz w:val="16"/>
            <w:vertAlign w:val="superscript"/>
          </w:rPr>
          <w:t>236</w:t>
        </w:r>
      </w:hyperlink>
      <w:r>
        <w:t>. Aquinas insists these relations are not merely how we happen to talk about God from the outside — logical conveniences with no basis in reality — but are genuinely real, because they arise from real processions within a single divine nature</w:t>
      </w:r>
      <w:hyperlink w:anchor="cite_237" w:history="1">
        <w:r>
          <w:rPr>
            <w:color w:val="671C2A"/>
            <w:sz w:val="16"/>
            <w:vertAlign w:val="superscript"/>
          </w:rPr>
          <w:t>237</w:t>
        </w:r>
      </w:hyperlink>
      <w:r>
        <w:t xml:space="preserve">. And here comes the boldest and most distinctive move in Aquinas’s whole treatment: he argues that these relations do not merely describe the persons, they </w:t>
      </w:r>
      <w:r>
        <w:rPr>
          <w:i/>
          <w:iCs/>
        </w:rPr>
        <w:t>constitute</w:t>
      </w:r>
      <w:r>
        <w:t xml:space="preserve"> the persons. Fatherhood simply </w:t>
      </w:r>
      <w:r>
        <w:rPr>
          <w:i/>
          <w:iCs/>
        </w:rPr>
        <w:t>is</w:t>
      </w:r>
      <w:r>
        <w:t xml:space="preserve"> the person of the Father; sonship simply </w:t>
      </w:r>
      <w:r>
        <w:rPr>
          <w:i/>
          <w:iCs/>
        </w:rPr>
        <w:t>is</w:t>
      </w:r>
      <w:r>
        <w:t xml:space="preserve"> the person of the Son; procession simply </w:t>
      </w:r>
      <w:r>
        <w:rPr>
          <w:i/>
          <w:iCs/>
        </w:rPr>
        <w:t>is</w:t>
      </w:r>
      <w:r>
        <w:t xml:space="preserve"> the person of the Spirit</w:t>
      </w:r>
      <w:hyperlink w:anchor="cite_238" w:history="1">
        <w:r>
          <w:rPr>
            <w:color w:val="671C2A"/>
            <w:sz w:val="16"/>
            <w:vertAlign w:val="superscript"/>
          </w:rPr>
          <w:t>238</w:t>
        </w:r>
      </w:hyperlink>
      <w:r>
        <w:t>. Each divine person, on this account, just is a subsistent relation — a relationship so real and so fundamental that it exists in its own right rather than merely connecting two other things. This is a striking piece of theological engineering: it explains how the persons can be really, eternally distinct from one another (since paternity and filiation are opposite relations that cannot be collapsed into each other) while being identical in every other respect to the one, simple divine essence they share, since in God, unlike in creatures, relation does not add something extra to a subject — it is simply a different way the one undivided divine being subsists.</w:t>
      </w:r>
    </w:p>
    <w:p w14:paraId="01969873" w14:textId="77777777" w:rsidR="009C7F52" w:rsidRDefault="00731002">
      <w:pPr>
        <w:pStyle w:val="BodyText"/>
      </w:pPr>
      <w:r>
        <w:t xml:space="preserve">Aquinas also gave the tradition a helpful piece of vocabulary for a problem every careful reader of Scripture eventually meets: the Bible sometimes attributes to one particular person of the Trinity an action or quality that, strictly speaking, belongs equally to all three, since the whole undivided divine essence — including power, wisdom, and goodness — is common to Father, Son, and Spirit alike. The Apostles’ Creed, for example, calls the Father specifically “Creator of heaven and earth,” even though creation is a work of the entire Godhead, undivided. Aquinas calls this pattern </w:t>
      </w:r>
      <w:r>
        <w:rPr>
          <w:i/>
          <w:iCs/>
        </w:rPr>
        <w:t>appropriation</w:t>
      </w:r>
      <w:r>
        <w:t>: the practice of attaching an essential, shared divine attribute to one particular person because that attribute bears some fitting resemblance to what is personally distinctive about that person, making the otherwise hard-to-grasp personal properties easier for the human mind to approach</w:t>
      </w:r>
      <w:hyperlink w:anchor="cite_239" w:history="1">
        <w:r>
          <w:rPr>
            <w:color w:val="671C2A"/>
            <w:sz w:val="16"/>
            <w:vertAlign w:val="superscript"/>
          </w:rPr>
          <w:t>239</w:t>
        </w:r>
      </w:hyperlink>
      <w:r>
        <w:t>. So power is appropriated to the Father (fittingly, since a father is a source and origin), wisdom to the Son (fittingly, since he is the eternal Word, or Λόγος (Logos, “Word”), of the Father’s understanding), and goodness or love to the Spirit (fittingly, since love is the fruit of the will)</w:t>
      </w:r>
      <w:hyperlink w:anchor="cite_240" w:history="1">
        <w:r>
          <w:rPr>
            <w:color w:val="671C2A"/>
            <w:sz w:val="16"/>
            <w:vertAlign w:val="superscript"/>
          </w:rPr>
          <w:t>240</w:t>
        </w:r>
      </w:hyperlink>
      <w:r>
        <w:t xml:space="preserve">. Aquinas is emphatic that this is a manner of speaking that aids understanding, not a claim that power belongs </w:t>
      </w:r>
      <w:r>
        <w:rPr>
          <w:i/>
          <w:iCs/>
        </w:rPr>
        <w:t>only</w:t>
      </w:r>
      <w:r>
        <w:t xml:space="preserve"> to the Father, or wisdom </w:t>
      </w:r>
      <w:r>
        <w:rPr>
          <w:i/>
          <w:iCs/>
        </w:rPr>
        <w:t>only</w:t>
      </w:r>
      <w:r>
        <w:t xml:space="preserve"> to the Son; all three possess the whole of every divine attribute equally, since they are one being. Appropriation is a teaching tool, a way of using what is easier for finite minds to see — creation’s effects — to point toward what is harder for finite minds to see directly — the eternal, internal life of God.</w:t>
      </w:r>
    </w:p>
    <w:p w14:paraId="0963169F" w14:textId="77777777" w:rsidR="009C7F52" w:rsidRDefault="00731002">
      <w:pPr>
        <w:pStyle w:val="BodyText"/>
      </w:pPr>
      <w:r>
        <w:t>By the time Aquinas finished this treatise in the 1260s, the doctrine had received about as much philosophical refinement as the medieval mind would bring to it. The processions explained how the persons originate from one another without division of the essence; the relations explained how the persons remain eternally, really distinct; and appropriations explained how Scripture’s language about the persons connects back to the one shared divine nature they all fully possess. None of this altered what Nicaea and Chalcedon had already settled — Aquinas would have been alarmed at the suggestion that he was inventing new doctrine rather than clarifying old — but it gave the church a far more exact vocabulary for saying what it had always believed. When the Reformers picked up their pens three centuries later, this was the inherited grammar they had learned in the schools, and, as the next chapter shows, it is exactly the grammar they kept.</w:t>
      </w:r>
    </w:p>
    <w:p w14:paraId="396796FF" w14:textId="77777777" w:rsidR="009C7F52" w:rsidRDefault="00731002">
      <w:pPr>
        <w:pStyle w:val="Heading2"/>
        <w:pBdr>
          <w:bottom w:val="single" w:sz="10" w:space="8" w:color="A68037"/>
        </w:pBdr>
      </w:pPr>
      <w:bookmarkStart w:id="188" w:name="chapter-25-the-reformers-and-the-trinity"/>
      <w:bookmarkEnd w:id="183"/>
      <w:bookmarkEnd w:id="187"/>
      <w:r>
        <w:t>Chapter 25: The Reformers and the Trinity</w:t>
      </w:r>
    </w:p>
    <w:p w14:paraId="561893AF" w14:textId="77777777" w:rsidR="009C7F52" w:rsidRDefault="00731002">
      <w:pPr>
        <w:pStyle w:val="FirstParagraph"/>
      </w:pPr>
      <w:r>
        <w:t>It would be easy to assume that a movement which shook every other inherited doctrine of the Western church — purgatory, the papacy, the nature of the sacraments, how a sinner is made right with God — must have shaken the doctrine of the Trinity too. It did not. And understanding why the Reformation left this one doctrine essentially untouched, while still producing the most searing controversy over it in centuries, is the subject of this chapter.</w:t>
      </w:r>
    </w:p>
    <w:p w14:paraId="07E6770C" w14:textId="77777777" w:rsidR="009C7F52" w:rsidRDefault="00731002">
      <w:pPr>
        <w:pStyle w:val="Heading3"/>
        <w:pBdr>
          <w:bottom w:val="single" w:sz="4" w:space="5" w:color="C8AE75"/>
        </w:pBdr>
      </w:pPr>
      <w:bookmarkStart w:id="189" w:name="Xf96315a80c4353d72e3069fd285ac69b54bcc11"/>
      <w:r>
        <w:t>A Revolution That Left One Doctrine Alone</w:t>
      </w:r>
    </w:p>
    <w:p w14:paraId="2F71AC00" w14:textId="77777777" w:rsidR="009C7F52" w:rsidRDefault="00731002">
      <w:pPr>
        <w:pStyle w:val="FirstParagraph"/>
      </w:pPr>
      <w:r>
        <w:t>Martin Luther, John Calvin, Huldrych Zwingli, and the other leaders of what historians call the “magisterial” Reformation — the reform movements that worked with, rather than against, the civil authorities and existing church structures of their territories — never doubted or debated the Nicene and Chalcedonian settlement. They accepted, without argument, that God is one being who eternally exists as three coequal, coeternal persons, and that the Son who became incarnate is fully God and fully man in one person. Their quarrel with Rome was about how a sinner is justified, what the sacraments accomplish, where final authority resides, and how the church should be governed — not about who God is.</w:t>
      </w:r>
    </w:p>
    <w:p w14:paraId="36E04F05" w14:textId="77777777" w:rsidR="009C7F52" w:rsidRDefault="00731002">
      <w:pPr>
        <w:pStyle w:val="BodyText"/>
      </w:pPr>
      <w:r>
        <w:t xml:space="preserve">This might look surprising given the Reformers’ signature commitment to </w:t>
      </w:r>
      <w:r>
        <w:rPr>
          <w:i/>
          <w:iCs/>
        </w:rPr>
        <w:t>sola Scriptura</w:t>
      </w:r>
      <w:r>
        <w:t xml:space="preserve">, the conviction that Scripture alone, not church tradition, is the final authority for Christian belief. If the word “Trinity” and technical terms like “person” and “essence” never appear in the Bible, why did the Reformers not simply discard them along with indulgences and the veneration of relics? The answer lies in how the Reformers distinguished between traditions that added something </w:t>
      </w:r>
      <w:r>
        <w:rPr>
          <w:i/>
          <w:iCs/>
        </w:rPr>
        <w:t>to</w:t>
      </w:r>
      <w:r>
        <w:t xml:space="preserve"> Scripture’s authority and traditions that faithfully </w:t>
      </w:r>
      <w:r>
        <w:rPr>
          <w:i/>
          <w:iCs/>
        </w:rPr>
        <w:t>summarized</w:t>
      </w:r>
      <w:r>
        <w:t xml:space="preserve"> what Scripture already taught. Luther and Calvin treated the ancient creeds not as a second, independent source of revelation standing beside the Bible, but as trustworthy, Spirit-guided distillations of what the biblical text itself says when read as a whole — councils that got the exegesis right, not councils that added new truth. This is why the era’s theologians, across traditions, when anti-Trinitarian arguments arose in their own century, responded not simply by citing Nicaea’s authority but by showing point by point how the patristic Trinitarian formulas, though not phrased in the Bible’s own words, are nonetheless “consistent with the literal sense of both the Old and New Testaments”</w:t>
      </w:r>
      <w:hyperlink w:anchor="cite_241" w:history="1">
        <w:r>
          <w:rPr>
            <w:color w:val="671C2A"/>
            <w:sz w:val="16"/>
            <w:vertAlign w:val="superscript"/>
          </w:rPr>
          <w:t>241</w:t>
        </w:r>
      </w:hyperlink>
      <w:r>
        <w:t>.</w:t>
      </w:r>
    </w:p>
    <w:p w14:paraId="5644568C" w14:textId="77777777" w:rsidR="009C7F52" w:rsidRDefault="00731002">
      <w:pPr>
        <w:pStyle w:val="Heading3"/>
        <w:pBdr>
          <w:bottom w:val="single" w:sz="4" w:space="5" w:color="C8AE75"/>
        </w:pBdr>
      </w:pPr>
      <w:bookmarkStart w:id="190" w:name="X882c9ebb647a1645c3abc7ebb008ba3aad7e8a2"/>
      <w:bookmarkEnd w:id="189"/>
      <w:r>
        <w:t>Calvin’s Institutes: The Reformation’s Fullest Trinitarian Statement</w:t>
      </w:r>
    </w:p>
    <w:p w14:paraId="16B909A3" w14:textId="77777777" w:rsidR="009C7F52" w:rsidRDefault="00731002">
      <w:pPr>
        <w:pStyle w:val="FirstParagraph"/>
      </w:pPr>
      <w:r>
        <w:t xml:space="preserve">The single most developed Protestant treatment of the Trinity to come out of the sixteenth century is found in Book One, Chapter Thirteen of John Calvin’s </w:t>
      </w:r>
      <w:r>
        <w:rPr>
          <w:i/>
          <w:iCs/>
        </w:rPr>
        <w:t>Institutes of the Christian Religion</w:t>
      </w:r>
      <w:r>
        <w:t>, a chapter whose full title announces its argument: “In Scripture, from the Creation Onward, We Are Taught One Essence of God, Which Contains Three Persons”</w:t>
      </w:r>
      <w:hyperlink w:anchor="cite_242" w:history="1">
        <w:r>
          <w:rPr>
            <w:color w:val="671C2A"/>
            <w:sz w:val="16"/>
            <w:vertAlign w:val="superscript"/>
          </w:rPr>
          <w:t>242</w:t>
        </w:r>
      </w:hyperlink>
      <w:r>
        <w:t>.</w:t>
      </w:r>
    </w:p>
    <w:p w14:paraId="53B35E59" w14:textId="77777777" w:rsidR="009C7F52" w:rsidRDefault="00731002">
      <w:pPr>
        <w:pStyle w:val="BodyText"/>
      </w:pPr>
      <w:r>
        <w:t>Calvin’s first task in the chapter is definitional, and he does careful, patient work with vocabulary that had accumulated ambiguity over a thousand years of use in Greek, Latin, and now the European vernaculars. “By person, then,” Calvin writes, “I mean a subsistence in the Divine essence — a subsistence which, while related to the other two, is distinguished from them by incommunicable properties”</w:t>
      </w:r>
      <w:hyperlink w:anchor="cite_243" w:history="1">
        <w:r>
          <w:rPr>
            <w:color w:val="671C2A"/>
            <w:sz w:val="16"/>
            <w:vertAlign w:val="superscript"/>
          </w:rPr>
          <w:t>243</w:t>
        </w:r>
      </w:hyperlink>
      <w:r>
        <w:t>. Unpacked, that sentence is doing exactly the work Anselm and Aquinas had done before him: each person is not a separate being, not a mere role or appearance, but a real and permanent way in which the one divine essence subsists — really distinct from the other two persons by properties that cannot be transferred or shared (the Father’s fatherhood is not something the Son could also possess, for instance), yet identical to them in every other respect, since all three fully share the one undivided divine being.</w:t>
      </w:r>
    </w:p>
    <w:p w14:paraId="233755A6" w14:textId="77777777" w:rsidR="009C7F52" w:rsidRDefault="00731002">
      <w:pPr>
        <w:pStyle w:val="BodyText"/>
      </w:pPr>
      <w:r>
        <w:t xml:space="preserve">Calvin was notably unwilling to let squabbles over which language to use become occasions for doctrinal drift. He acknowledges that Latin theologians used </w:t>
      </w:r>
      <w:r>
        <w:rPr>
          <w:i/>
          <w:iCs/>
        </w:rPr>
        <w:t>persona</w:t>
      </w:r>
      <w:r>
        <w:t>, Greek theologians sometimes preferred ὑπόστασις (hypostasis, “individual reality” or “person”) and sometimes πρόσωπον (prosopon, “face” or “aspect”), and defends the propriety of technical, non-biblical vocabulary against those who would object to any word not found verbatim in Scripture: “All these, however, whether Greeks or Latins, though differing as to the word, are perfectly agreed in substance”</w:t>
      </w:r>
      <w:hyperlink w:anchor="cite_244" w:history="1">
        <w:r>
          <w:rPr>
            <w:color w:val="671C2A"/>
            <w:sz w:val="16"/>
            <w:vertAlign w:val="superscript"/>
          </w:rPr>
          <w:t>244</w:t>
        </w:r>
      </w:hyperlink>
      <w:r>
        <w:t>. Calvin even approvingly cites the early African theologian Tertullian’s formula — “that there is in God a certain arrangement or economy, which makes no change on the unity of essence” — showing his conscious continuity with the patristic tradition rather than any attempt to start Trinitarian theology over from scratch</w:t>
      </w:r>
      <w:hyperlink w:anchor="cite_245" w:history="1">
        <w:r>
          <w:rPr>
            <w:color w:val="671C2A"/>
            <w:sz w:val="16"/>
            <w:vertAlign w:val="superscript"/>
          </w:rPr>
          <w:t>245</w:t>
        </w:r>
      </w:hyperlink>
      <w:r>
        <w:t>.</w:t>
      </w:r>
    </w:p>
    <w:p w14:paraId="1CDD8890" w14:textId="77777777" w:rsidR="009C7F52" w:rsidRDefault="00731002">
      <w:pPr>
        <w:pStyle w:val="BodyText"/>
      </w:pPr>
      <w:r>
        <w:t>The chapter’s most quoted line captures Calvin’s larger pastoral aim, borrowed from the fourth-century bishop Gregory of Nazianzus: “I cannot think of the unity without being irradiated by the Trinity: I cannot distinguish between the Trinity without being carried up to the unity”</w:t>
      </w:r>
      <w:hyperlink w:anchor="cite_246" w:history="1">
        <w:r>
          <w:rPr>
            <w:color w:val="671C2A"/>
            <w:sz w:val="16"/>
            <w:vertAlign w:val="superscript"/>
          </w:rPr>
          <w:t>246</w:t>
        </w:r>
      </w:hyperlink>
      <w:r>
        <w:t>. For Calvin, as for the fathers he was drawing on, the doctrine of the Trinity was never meant to be an abstract puzzle to be solved and set aside; it was meant to shape worship, so that thinking rightly about God’s oneness immediately turns the mind toward his threeness, and thinking rightly about the three persons immediately turns the mind back to their one shared being. Historians of Reformation theology note that while the first portion of Calvin’s chapter lays out this careful, constructive definition, the chapter’s second half turns sharply polemical, engaging directly with the specific anti-Trinitarian arguments circulating in his own era</w:t>
      </w:r>
      <w:hyperlink w:anchor="cite_247" w:history="1">
        <w:r>
          <w:rPr>
            <w:color w:val="671C2A"/>
            <w:sz w:val="16"/>
            <w:vertAlign w:val="superscript"/>
          </w:rPr>
          <w:t>247</w:t>
        </w:r>
      </w:hyperlink>
      <w:r>
        <w:t>. That polemical turn was not academic. It was written against a live and, in Calvin’s own city, lethal controversy.</w:t>
      </w:r>
    </w:p>
    <w:p w14:paraId="79CCCC2F" w14:textId="77777777" w:rsidR="009C7F52" w:rsidRDefault="00731002">
      <w:pPr>
        <w:pStyle w:val="Heading3"/>
        <w:pBdr>
          <w:bottom w:val="single" w:sz="4" w:space="5" w:color="C8AE75"/>
        </w:pBdr>
      </w:pPr>
      <w:bookmarkStart w:id="191" w:name="X1635fd7ed22808fb78306eb667fe0ef06e5aa90"/>
      <w:bookmarkEnd w:id="190"/>
      <w:r>
        <w:t>Michael Servetus and the Limits of Toleration</w:t>
      </w:r>
    </w:p>
    <w:p w14:paraId="40C2190A" w14:textId="77777777" w:rsidR="009C7F52" w:rsidRDefault="00731002">
      <w:pPr>
        <w:pStyle w:val="FirstParagraph"/>
      </w:pPr>
      <w:r>
        <w:t>Michael Servetus was a Spanish physician, cartographer, and theologian — a genuine polymath who made real contributions to the study of human anatomy, including an early description of pulmonary blood circulation — and also a committed, outspoken opponent of the doctrine of the Trinity</w:t>
      </w:r>
      <w:hyperlink w:anchor="cite_248" w:history="1">
        <w:r>
          <w:rPr>
            <w:color w:val="671C2A"/>
            <w:sz w:val="16"/>
            <w:vertAlign w:val="superscript"/>
          </w:rPr>
          <w:t>248</w:t>
        </w:r>
      </w:hyperlink>
      <w:r>
        <w:t xml:space="preserve">. In 1531, while still in his twenties, he published </w:t>
      </w:r>
      <w:r>
        <w:rPr>
          <w:i/>
          <w:iCs/>
        </w:rPr>
        <w:t>On the Errors of the Trinity</w:t>
      </w:r>
      <w:r>
        <w:t>, a work arguing that the classical doctrine had no basis in the Bible and had instead grown out of Greek philosophical speculation layered onto the New Testament centuries after the fact</w:t>
      </w:r>
      <w:hyperlink w:anchor="cite_249" w:history="1">
        <w:r>
          <w:rPr>
            <w:color w:val="671C2A"/>
            <w:sz w:val="16"/>
            <w:vertAlign w:val="superscript"/>
          </w:rPr>
          <w:t>249</w:t>
        </w:r>
      </w:hyperlink>
      <w:r>
        <w:t>. Servetus argued that terms like Trinity, ὑπόστασις (hypostasis, “individual reality” or “person”), and person were themselves the problem — human inventions that obscured, rather than clarified, the living God of the New Testament</w:t>
      </w:r>
      <w:hyperlink w:anchor="cite_250" w:history="1">
        <w:r>
          <w:rPr>
            <w:color w:val="671C2A"/>
            <w:sz w:val="16"/>
            <w:vertAlign w:val="superscript"/>
          </w:rPr>
          <w:t>250</w:t>
        </w:r>
      </w:hyperlink>
      <w:r>
        <w:t xml:space="preserve">. Twenty-two years later, in 1553, he published a fuller statement of his views, </w:t>
      </w:r>
      <w:r>
        <w:rPr>
          <w:i/>
          <w:iCs/>
        </w:rPr>
        <w:t>Christianismi Restitutio</w:t>
      </w:r>
      <w:r>
        <w:t xml:space="preserve"> — “The Restoration of Christianity” — which he circulated in part through a long private correspondence with John Calvin himself</w:t>
      </w:r>
      <w:hyperlink w:anchor="cite_251" w:history="1">
        <w:r>
          <w:rPr>
            <w:color w:val="671C2A"/>
            <w:sz w:val="16"/>
            <w:vertAlign w:val="superscript"/>
          </w:rPr>
          <w:t>251</w:t>
        </w:r>
      </w:hyperlink>
      <w:r>
        <w:t>.</w:t>
      </w:r>
    </w:p>
    <w:p w14:paraId="7147791C" w14:textId="77777777" w:rsidR="009C7F52" w:rsidRDefault="00731002">
      <w:pPr>
        <w:pStyle w:val="BodyText"/>
      </w:pPr>
      <w:r>
        <w:t>That correspondence had already curdled into open hostility. In February 1546, seven years before Servetus’s death, Calvin wrote to his fellow reformer William Farel a sentence that historians now read as chillingly prophetic: “Servetus has just sent me a long volume of his ravings. If I consent he will come here, but I will not give my word; for if he comes here, if my authority is worth anything, I will never permit him to depart alive”</w:t>
      </w:r>
      <w:hyperlink w:anchor="cite_252" w:history="1">
        <w:r>
          <w:rPr>
            <w:color w:val="671C2A"/>
            <w:sz w:val="16"/>
            <w:vertAlign w:val="superscript"/>
          </w:rPr>
          <w:t>252</w:t>
        </w:r>
      </w:hyperlink>
      <w:r>
        <w:t>. This book has no interest in softening that sentence or explaining it away. Calvin wrote it, meant it, and it describes exactly what later happened.</w:t>
      </w:r>
    </w:p>
    <w:p w14:paraId="5DFE1743" w14:textId="77777777" w:rsidR="009C7F52" w:rsidRDefault="00731002">
      <w:pPr>
        <w:pStyle w:val="BodyText"/>
      </w:pPr>
      <w:r>
        <w:t>Servetus was first arrested by Roman Catholic authorities in Vienne, France, in April 1553, convicted of heresy, and sentenced to be burned along with his books — a sentence from which he escaped and fled</w:t>
      </w:r>
      <w:hyperlink w:anchor="cite_253" w:history="1">
        <w:r>
          <w:rPr>
            <w:color w:val="671C2A"/>
            <w:sz w:val="16"/>
            <w:vertAlign w:val="superscript"/>
          </w:rPr>
          <w:t>253</w:t>
        </w:r>
      </w:hyperlink>
      <w:r>
        <w:t>. Inexplicably, rather than continuing on toward safety in Italy, he passed through Geneva, where he was recognized, arrested at Calvin’s instigation, and put on trial before the city’s governing council on capital charges of heresy and blasphemy</w:t>
      </w:r>
      <w:hyperlink w:anchor="cite_254" w:history="1">
        <w:r>
          <w:rPr>
            <w:color w:val="671C2A"/>
            <w:sz w:val="16"/>
            <w:vertAlign w:val="superscript"/>
          </w:rPr>
          <w:t>254</w:t>
        </w:r>
      </w:hyperlink>
      <w:r>
        <w:t>. Calvin, writing to Farel shortly after the arrest, described the confrontation in the courtroom and did not hide his hope for the outcome: “I hope that sentence of death will at least be passed on him; but I desired that the severity of the punishment be mitigated”</w:t>
      </w:r>
      <w:hyperlink w:anchor="cite_255" w:history="1">
        <w:r>
          <w:rPr>
            <w:color w:val="671C2A"/>
            <w:sz w:val="16"/>
            <w:vertAlign w:val="superscript"/>
          </w:rPr>
          <w:t>255</w:t>
        </w:r>
      </w:hyperlink>
      <w:r>
        <w:t>. That last clause is worth sitting with. Calvin pressed for Servetus’s execution but asked the council to use a swifter method than burning; the council refused the substitution, and on October 27, 1553, Michael Servetus was burned at the stake outside Geneva, with a copy of his own book chained to his leg</w:t>
      </w:r>
      <w:hyperlink w:anchor="cite_256" w:history="1">
        <w:r>
          <w:rPr>
            <w:color w:val="671C2A"/>
            <w:sz w:val="16"/>
            <w:vertAlign w:val="superscript"/>
          </w:rPr>
          <w:t>256</w:t>
        </w:r>
      </w:hyperlink>
      <w:r>
        <w:t>.</w:t>
      </w:r>
    </w:p>
    <w:p w14:paraId="77CF5B59" w14:textId="77777777" w:rsidR="009C7F52" w:rsidRDefault="00731002">
      <w:pPr>
        <w:pStyle w:val="BodyText"/>
      </w:pPr>
      <w:r>
        <w:t>Honest history requires several things held together here, without letting any of them cancel out the others. First, Calvin did not act alone or extralegally; the Geneva city council, not Calvin personally, tried and sentenced Servetus, under laws against heresy that were common across both Catholic and Protestant Europe at the time and that Servetus himself had already faced in Catholic France</w:t>
      </w:r>
      <w:hyperlink w:anchor="cite_257" w:history="1">
        <w:r>
          <w:rPr>
            <w:color w:val="671C2A"/>
            <w:sz w:val="16"/>
            <w:vertAlign w:val="superscript"/>
          </w:rPr>
          <w:t>257</w:t>
        </w:r>
      </w:hyperlink>
      <w:r>
        <w:t xml:space="preserve">. Second, that historical context explains the episode without excusing it: the willingness of both Catholic and Protestant governments to execute people for denying the Trinity was a shared and, by any Christian standard available today, indefensible feature of sixteenth-century Europe, not a peculiarity of Calvin’s Geneva. Third, and most importantly for this book’s purposes, none of this history bears on whether the doctrine Servetus denied is true. The truth of the Trinity rests on what Scripture teaches, not on how any particular Christian community, in any particular century, treated those who denied it. A reader can — and should — recognize Servetus’s execution as a moral catastrophe carried out by people, including Calvin, who share full responsibility for it, while still recognizing that the theology Calvin defended in that same period, worked out carefully in the </w:t>
      </w:r>
      <w:r>
        <w:rPr>
          <w:i/>
          <w:iCs/>
        </w:rPr>
        <w:t>Institutes</w:t>
      </w:r>
      <w:r>
        <w:t>, was a faithful summary of what the New Testament teaches about who God is.</w:t>
      </w:r>
    </w:p>
    <w:p w14:paraId="68F068C1" w14:textId="77777777" w:rsidR="009C7F52" w:rsidRDefault="00731002">
      <w:pPr>
        <w:pStyle w:val="Heading3"/>
        <w:pBdr>
          <w:bottom w:val="single" w:sz="4" w:space="5" w:color="C8AE75"/>
        </w:pBdr>
      </w:pPr>
      <w:bookmarkStart w:id="192" w:name="X2caf9b73bd21de439387cec7c69d975a2a6e958"/>
      <w:bookmarkEnd w:id="191"/>
      <w:r>
        <w:t>Socinianism and the Radical Reformation’s Anti-Trinitarian Wing</w:t>
      </w:r>
    </w:p>
    <w:p w14:paraId="69EFA4E1" w14:textId="77777777" w:rsidR="009C7F52" w:rsidRDefault="00731002">
      <w:pPr>
        <w:pStyle w:val="FirstParagraph"/>
      </w:pPr>
      <w:r>
        <w:t>Servetus was not an isolated case; he was the most famous early figure in a broader current running through what historians call the Radical Reformation — the constellation of Anabaptist, spiritualist, and rationalist movements that judged Luther’s and Zwingli’s reforms too timid and set out to rebuild the church from the ground up on what they took to be purely biblical foundations, without regard for the authority of any inherited creed or council</w:t>
      </w:r>
      <w:hyperlink w:anchor="cite_258" w:history="1">
        <w:r>
          <w:rPr>
            <w:color w:val="671C2A"/>
            <w:sz w:val="16"/>
            <w:vertAlign w:val="superscript"/>
          </w:rPr>
          <w:t>258</w:t>
        </w:r>
      </w:hyperlink>
      <w:r>
        <w:t>. Most participants in this wider radical movement — the Anabaptists proper, who insisted on believer’s baptism and the separation of church from civil government — held to orthodox Trinitarian belief; historians studying the movement in detail have pushed back against attempts to paint anti-Trinitarianism as somehow native to Anabaptism as such, noting that the anti-Trinitarian current, while real and historically significant, “had very little overlap with the Anabaptist movement” properly speaking</w:t>
      </w:r>
      <w:hyperlink w:anchor="cite_259" w:history="1">
        <w:r>
          <w:rPr>
            <w:color w:val="671C2A"/>
            <w:sz w:val="16"/>
            <w:vertAlign w:val="superscript"/>
          </w:rPr>
          <w:t>259</w:t>
        </w:r>
      </w:hyperlink>
      <w:r>
        <w:t>. The historian George Huntston Williams, who did more than anyone to map this whole territory, identified a distinct third stream within the Radical Reformation alongside the Anabaptists and the spiritualists: the “Evangelical Rationalists,” concentrated especially among Italian and Spanish humanists, for whom rejecting the Trinity became a defining commitment</w:t>
      </w:r>
      <w:hyperlink w:anchor="cite_260" w:history="1">
        <w:r>
          <w:rPr>
            <w:color w:val="671C2A"/>
            <w:sz w:val="16"/>
            <w:vertAlign w:val="superscript"/>
          </w:rPr>
          <w:t>260</w:t>
        </w:r>
      </w:hyperlink>
      <w:r>
        <w:t>.</w:t>
      </w:r>
    </w:p>
    <w:p w14:paraId="299533BE" w14:textId="77777777" w:rsidR="009C7F52" w:rsidRDefault="00731002">
      <w:pPr>
        <w:pStyle w:val="BodyText"/>
      </w:pPr>
      <w:r>
        <w:t>The most influential and lasting form this rejection took is called Socinianism, after the Italian uncle-and-nephew pair who gave it systematic shape. Lelio Sozzini, writing from exile in the 1560s, argued that Christ had no personal existence before his conception in Mary’s womb — a position that went further than the ancient Arian heresy, which had at least granted Christ some kind of pre-existence, however diminished</w:t>
      </w:r>
      <w:hyperlink w:anchor="cite_261" w:history="1">
        <w:r>
          <w:rPr>
            <w:color w:val="671C2A"/>
            <w:sz w:val="16"/>
            <w:vertAlign w:val="superscript"/>
          </w:rPr>
          <w:t>261</w:t>
        </w:r>
      </w:hyperlink>
      <w:r>
        <w:t>. His nephew Fausto Sozzini developed these ideas at length after resettling in Poland in 1579, where he took over leadership of a splinter group called the Polish Brethren, or Minor Church, which had broken from Poland’s mainstream Reformation church in 1565</w:t>
      </w:r>
      <w:hyperlink w:anchor="cite_262" w:history="1">
        <w:r>
          <w:rPr>
            <w:color w:val="671C2A"/>
            <w:sz w:val="16"/>
            <w:vertAlign w:val="superscript"/>
          </w:rPr>
          <w:t>262</w:t>
        </w:r>
      </w:hyperlink>
      <w:r>
        <w:t>. The movement’s doctrine was formally codified after Fausto’s death in the Racovian Catechism of 1605. Socinian theology denied Christ’s personal pre-existence, treated the Holy Spirit as an impersonal divine power rather than a distinct person, and rejected the penal substitutionary understanding of Christ’s death, arguing that his suffering was chiefly a moral example rather than a payment for sin.</w:t>
      </w:r>
    </w:p>
    <w:p w14:paraId="5BEEB7FE" w14:textId="77777777" w:rsidR="009C7F52" w:rsidRDefault="00731002">
      <w:pPr>
        <w:pStyle w:val="BodyText"/>
      </w:pPr>
      <w:r>
        <w:t xml:space="preserve">Socinianism presented itself, with real rhetorical force, as the most rational and least philosophically encumbered form of Christianity on offer: no need to reconcile three persons with one essence, no reliance on Greek philosophical terms absent from the biblical text, simply the claim that God is one and Jesus is God’s specially exalted man. That framing, part of why the movement proved durable, drew explicitly on the same instinct that animated the Reformation’s own turn to </w:t>
      </w:r>
      <w:r>
        <w:rPr>
          <w:i/>
          <w:iCs/>
        </w:rPr>
        <w:t>sola Scriptura</w:t>
      </w:r>
      <w:r>
        <w:t xml:space="preserve"> — but pressed the logic further than the magisterial Reformers were willing to go, treating the mere absence of the word “Trinity” from the biblical text as sufficient proof that the underlying concept must be an unwarranted addition. Every major magisterial-Reformation theologian who engaged Socinian writings in the following century made the same reply: Scripture likewise never uses the words “Bible,” “monotheism,” or “incarnation,” and no one doubts those concepts are taught; the real question is not whether a word appears, but whether the concept it names is what the text, read as a whole, actually requires.</w:t>
      </w:r>
    </w:p>
    <w:p w14:paraId="70157F69" w14:textId="77777777" w:rsidR="009C7F52" w:rsidRDefault="00731002">
      <w:pPr>
        <w:pStyle w:val="BodyText"/>
      </w:pPr>
      <w:r>
        <w:t>Civil and ecclesiastical authorities across Reformation Europe, Protestant and Catholic alike, treated this denial of the Trinity as placing Socinianism outside the boundaries of acceptable Christian confession altogether, not as a permissible variation within it. England’s Act of Toleration of 1689, which extended real religious liberty to dissenting Protestant groups for the first time, explicitly and by name excluded Socinians from its protection, decades after Servetus’s death and in a country that had never executed Servetus or been implicated in that particular controversy — evidence that the rejection of Socinian Christology was not a peculiarity of Calvin’s Geneva but a broad, cross-confessional consensus of the age</w:t>
      </w:r>
      <w:hyperlink w:anchor="cite_263" w:history="1">
        <w:r>
          <w:rPr>
            <w:color w:val="671C2A"/>
            <w:sz w:val="16"/>
            <w:vertAlign w:val="superscript"/>
          </w:rPr>
          <w:t>263</w:t>
        </w:r>
      </w:hyperlink>
      <w:r>
        <w:t>. Socinian theology would go on to become the direct historical ancestor of the modern Unitarian tradition, carrying its central claim — a fully human Jesus, elevated but not eternally and personally divine — into later centuries under new names.</w:t>
      </w:r>
    </w:p>
    <w:p w14:paraId="03C5CDD1" w14:textId="77777777" w:rsidR="009C7F52" w:rsidRDefault="00731002">
      <w:pPr>
        <w:pStyle w:val="Heading3"/>
        <w:pBdr>
          <w:bottom w:val="single" w:sz="4" w:space="5" w:color="C8AE75"/>
        </w:pBdr>
      </w:pPr>
      <w:bookmarkStart w:id="193" w:name="what-the-controversy-shows"/>
      <w:bookmarkEnd w:id="192"/>
      <w:r>
        <w:t>What the Controversy Shows</w:t>
      </w:r>
    </w:p>
    <w:p w14:paraId="56758957" w14:textId="77777777" w:rsidR="009C7F52" w:rsidRDefault="00731002">
      <w:pPr>
        <w:pStyle w:val="FirstParagraph"/>
      </w:pPr>
      <w:r>
        <w:t xml:space="preserve">Read together, Servetus’s execution and the rise of Socinianism tell a more complicated and more honest story than either a simple celebration of Reformation orthodoxy or a simple indictment of Reformation intolerance could capture on its own. The Reformation was not a controversy about whether the Trinity is true; on that question Luther, Calvin, Zwingli, and every other magisterial Reformer stood exactly where Nicaea and Chalcedon had stood, and Calvin’s </w:t>
      </w:r>
      <w:r>
        <w:rPr>
          <w:i/>
          <w:iCs/>
        </w:rPr>
        <w:t>Institutes</w:t>
      </w:r>
      <w:r>
        <w:t xml:space="preserve"> gave that inherited consensus its most careful Protestant restatement. But the same century’s radical and rationalist fringes did revive, independently and in new philosophical dress, arguments the ancient church had already met and answered in the third and fourth centuries — and the mainstream Reformers’ response to those arguments included, at least once, an act of violence that this book will not defend, however typical it was of its age. Both halves of that sentence are part of the truth, and a book that dropped either one would not be telling it honestly.</w:t>
      </w:r>
    </w:p>
    <w:p w14:paraId="7622B435" w14:textId="77777777" w:rsidR="009C7F52" w:rsidRDefault="00731002">
      <w:pPr>
        <w:pStyle w:val="Heading2"/>
        <w:pBdr>
          <w:bottom w:val="single" w:sz="10" w:space="8" w:color="A68037"/>
        </w:pBdr>
      </w:pPr>
      <w:bookmarkStart w:id="194" w:name="Xb604c3fb2a636bce246c25c28c25ccf44846884"/>
      <w:bookmarkEnd w:id="188"/>
      <w:bookmarkEnd w:id="193"/>
      <w:r>
        <w:t>Chapter 26: Confessions, Catechisms, and the Consolidation of the Doctrine</w:t>
      </w:r>
    </w:p>
    <w:p w14:paraId="2C683AC9" w14:textId="77777777" w:rsidR="009C7F52" w:rsidRDefault="00731002">
      <w:pPr>
        <w:pStyle w:val="FirstParagraph"/>
      </w:pPr>
      <w:r>
        <w:t>A doctrine survives across centuries not merely because brilliant individuals like Calvin or Aquinas defended it well, but because ordinary congregations were taught to confess it, generation after generation, in words fixed carefully enough that drift became difficult. The final harvest of the Reformation era’s Trinitarian labor is not found only in academic treatises; it is found in the confessions and catechisms that different Reformation traditions wrote to teach their own members, publicly and precisely, what the church believed about God. What makes these documents remarkable, read side by side, is not their diversity but their agreement. Confessions from across the Reformation’s different branches, composed independently across more than a century and in three different languages, converge on the same doctrine in strikingly similar words — evidence that this was never one tradition’s private theological project, but the settled, shared inheritance of the whole Reformation.</w:t>
      </w:r>
    </w:p>
    <w:p w14:paraId="35A3E94B" w14:textId="77777777" w:rsidR="009C7F52" w:rsidRDefault="00731002">
      <w:pPr>
        <w:pStyle w:val="Heading3"/>
        <w:pBdr>
          <w:bottom w:val="single" w:sz="4" w:space="5" w:color="C8AE75"/>
        </w:pBdr>
      </w:pPr>
      <w:bookmarkStart w:id="195" w:name="Xe46f48b4bf919bd79a46f5c879132f2d23d13a2"/>
      <w:r>
        <w:t>The Belgic Confession: One Essence, Three Really Distinct Persons</w:t>
      </w:r>
    </w:p>
    <w:p w14:paraId="6C39A588" w14:textId="77777777" w:rsidR="009C7F52" w:rsidRDefault="00731002">
      <w:pPr>
        <w:pStyle w:val="FirstParagraph"/>
      </w:pPr>
      <w:r>
        <w:t>Among the earliest of these documents is the Belgic Confession, written in 1561 by Guido de Brès, a preacher working among persecuted Protestant congregations in the Low Countries under Spanish Catholic rule. Article 8, titled “God Is One in Essence, Yet Distinguished in Three Persons,” states the doctrine with a precision clearly indebted to the medieval refinements traced in this Part’s first chapter: “we believe in one only God, who is one single essence, in which are three persons, really, truly, and eternally distinct, according to their incommunicable properties; namely, the Father, and the Son, and the Holy Ghost”</w:t>
      </w:r>
      <w:hyperlink w:anchor="cite_264" w:history="1">
        <w:r>
          <w:rPr>
            <w:color w:val="671C2A"/>
            <w:sz w:val="16"/>
            <w:vertAlign w:val="superscript"/>
          </w:rPr>
          <w:t>264</w:t>
        </w:r>
      </w:hyperlink>
      <w:r>
        <w:t>. The article goes on to specify each person’s distinctive place within that one essence: “The Father is the cause, origin, and beginning of all things, visible and invisible; the Son is the word, wisdom, and image of the Father; the Holy Ghost is the eternal power and might, proceeding from the Father and the Son”</w:t>
      </w:r>
      <w:hyperlink w:anchor="cite_265" w:history="1">
        <w:r>
          <w:rPr>
            <w:color w:val="671C2A"/>
            <w:sz w:val="16"/>
            <w:vertAlign w:val="superscript"/>
          </w:rPr>
          <w:t>265</w:t>
        </w:r>
      </w:hyperlink>
      <w:r>
        <w:t xml:space="preserve"> — language that echoes almost exactly the Western filioque tradition and Aquinas’s doctrine of appropriations discussed earlier in this Part. The article closes by insisting the three persons are “coeternal and coessential,” with “neither first nor last,” since “they are all three one, in truth, in power, in goodness, and in mercy”</w:t>
      </w:r>
      <w:hyperlink w:anchor="cite_266" w:history="1">
        <w:r>
          <w:rPr>
            <w:color w:val="671C2A"/>
            <w:sz w:val="16"/>
            <w:vertAlign w:val="superscript"/>
          </w:rPr>
          <w:t>266</w:t>
        </w:r>
      </w:hyperlink>
      <w:r>
        <w:t>.</w:t>
      </w:r>
    </w:p>
    <w:p w14:paraId="7A903096" w14:textId="77777777" w:rsidR="009C7F52" w:rsidRDefault="00731002">
      <w:pPr>
        <w:pStyle w:val="BodyText"/>
      </w:pPr>
      <w:r>
        <w:t>Article 9 then does something distinctive: rather than simply asserting the doctrine, it walks through the specific biblical texts the confession takes to teach it, moving from the plural language of Genesis 1:26 and 3:22 in the Old Testament to the full Trinitarian appearance at Jesus’s baptism in Matthew 3 and the baptismal formula of Matthew 28:19 in the New — the same OT-to-NT arc this book has traced from its opening chapters, now folded into a confessional document written for ordinary church members rather than scholars</w:t>
      </w:r>
      <w:hyperlink w:anchor="cite_267" w:history="1">
        <w:r>
          <w:rPr>
            <w:color w:val="671C2A"/>
            <w:sz w:val="16"/>
            <w:vertAlign w:val="superscript"/>
          </w:rPr>
          <w:t>267</w:t>
        </w:r>
      </w:hyperlink>
      <w:r>
        <w:t>. Articles 10 and 11 complete the structure by confessing, in turn, the full and eternal deity of the Son — “begotten from eternity, not made nor created… coessential and coeternal with the Father” — and of the Holy Spirit, who “from eternity proceeds from the Father and Son” and is “of one and the same essence, majesty, and glory with the Father and the Son”</w:t>
      </w:r>
      <w:hyperlink w:anchor="cite_268" w:history="1">
        <w:r>
          <w:rPr>
            <w:color w:val="671C2A"/>
            <w:sz w:val="16"/>
            <w:vertAlign w:val="superscript"/>
          </w:rPr>
          <w:t>268</w:t>
        </w:r>
      </w:hyperlink>
      <w:r>
        <w:t>. Article 9 closes by explicitly receiving “the three creeds, of the Apostles, of Nicea, and of Athanasius” as faithful summaries of this same biblical teaching</w:t>
      </w:r>
      <w:hyperlink w:anchor="cite_269" w:history="1">
        <w:r>
          <w:rPr>
            <w:color w:val="671C2A"/>
            <w:sz w:val="16"/>
            <w:vertAlign w:val="superscript"/>
          </w:rPr>
          <w:t>269</w:t>
        </w:r>
      </w:hyperlink>
      <w:r>
        <w:t xml:space="preserve"> — a direct, self-conscious statement of the very principle this book has argued throughout: that the ancient creeds are received as trustworthy articulations of Scripture’s own teaching, not an independent source of authority alongside it.</w:t>
      </w:r>
    </w:p>
    <w:p w14:paraId="08A4F723" w14:textId="77777777" w:rsidR="009C7F52" w:rsidRDefault="00731002">
      <w:pPr>
        <w:pStyle w:val="Heading3"/>
        <w:pBdr>
          <w:bottom w:val="single" w:sz="4" w:space="5" w:color="C8AE75"/>
        </w:pBdr>
      </w:pPr>
      <w:bookmarkStart w:id="196" w:name="Xa77326d7783c1c664ced763ddf5ebfda07a862c"/>
      <w:bookmarkEnd w:id="195"/>
      <w:r>
        <w:t>The Heidelberg Catechism: Brief, Pastoral, and Complete</w:t>
      </w:r>
    </w:p>
    <w:p w14:paraId="3BA9AAF1" w14:textId="77777777" w:rsidR="009C7F52" w:rsidRDefault="00731002">
      <w:pPr>
        <w:pStyle w:val="FirstParagraph"/>
      </w:pPr>
      <w:r>
        <w:t>Where the Belgic Confession argues the doctrine at length, the Heidelberg Catechism of 1563 — commissioned by the Elector Palatine Frederick III and drafted chiefly by the theologians Zacharias Ursinus and Caspar Olevianus for the churches and schools of the Palatinate — compresses the entire doctrine into a single question and answer of striking economy</w:t>
      </w:r>
      <w:hyperlink w:anchor="cite_270" w:history="1">
        <w:r>
          <w:rPr>
            <w:color w:val="671C2A"/>
            <w:sz w:val="16"/>
            <w:vertAlign w:val="superscript"/>
          </w:rPr>
          <w:t>270</w:t>
        </w:r>
      </w:hyperlink>
      <w:r>
        <w:t>. Structured as a question-and-answer manual for teaching the faith to ordinary believers, including children, the catechism organizes itself around fifty-two weekly “Lord’s Days,” and reserves its Trinitarian confession for the eighth of these. Question 25 asks: “Since there is only one God, why do you speak of three persons, Father, Son, and Holy Spirit?” The answer: “Because God has so revealed himself in his Word that these three distinct persons are the one, true, eternal God”</w:t>
      </w:r>
      <w:hyperlink w:anchor="cite_271" w:history="1">
        <w:r>
          <w:rPr>
            <w:color w:val="671C2A"/>
            <w:sz w:val="16"/>
            <w:vertAlign w:val="superscript"/>
          </w:rPr>
          <w:t>271</w:t>
        </w:r>
      </w:hyperlink>
      <w:r>
        <w:t>. Short as it is, that answer contains the doctrine’s full shape: divine self-revelation as the only ground for the claim (not philosophical speculation), three really distinct persons, and one true, eternal God — unity and plurality held together in a single sentence simple enough for a child to memorize and precise enough not to mislead. The catechism’s brevity here is itself a kind of theological statement: its authors, writing a full generation after Calvin and in a territory already shaped by the medieval scholastic tradition traced earlier in this Part, evidently judged that a doctrine this settled — worked out at Nicaea and Constantinople, refined by Anselm, Lombard, and Aquinas, and defended again by Calvin against Servetus in their own century — no longer required extensive argument in a document meant chiefly for pastoral instruction rather than academic dispute. The catechism simply states the doctrine as the common possession of the whole church and moves on to build the rest of its teaching about salvation on that foundation.</w:t>
      </w:r>
    </w:p>
    <w:p w14:paraId="770FC659" w14:textId="77777777" w:rsidR="009C7F52" w:rsidRDefault="00731002">
      <w:pPr>
        <w:pStyle w:val="Heading3"/>
        <w:pBdr>
          <w:bottom w:val="single" w:sz="4" w:space="5" w:color="C8AE75"/>
        </w:pBdr>
      </w:pPr>
      <w:bookmarkStart w:id="197" w:name="X9ba03d5ff72b33d46b2dfef608e930343333cc1"/>
      <w:bookmarkEnd w:id="196"/>
      <w:r>
        <w:t>The Second Helvetic Confession: A Bridge Between Traditions</w:t>
      </w:r>
    </w:p>
    <w:p w14:paraId="33394CA1" w14:textId="77777777" w:rsidR="009C7F52" w:rsidRDefault="00731002">
      <w:pPr>
        <w:pStyle w:val="FirstParagraph"/>
      </w:pPr>
      <w:r>
        <w:t>The Second Helvetic Confession, drafted by the Zurich reformer Heinrich Bullinger and adopted across Swiss and other Reformation-era churches in the 1560s, devotes its third chapter to “the Unity and Trinity of God.” It opens by grounding God’s oneness in the Old Testament’s own strict monotheism, quoting Deuteronomy 6:4 and Isaiah 45:5 directly, before turning to the doctrine of the three persons: “we believe and teach that the same immense, one and indivisible God is in person inseparably and without confusion distinguished as Father, Son and Holy Spirit… Thus there are not three gods, but three persons, cosubstantial, coeternal, and coequal; distinct with respect to ὑποστάσεις (hypostaseis,”individual realities” or “persons” — the plural of ὑπόστασις, hypostasis), and with respect to order, the one preceding the other yet without any inequality”</w:t>
      </w:r>
      <w:hyperlink w:anchor="cite_272" w:history="1">
        <w:r>
          <w:rPr>
            <w:color w:val="671C2A"/>
            <w:sz w:val="16"/>
            <w:vertAlign w:val="superscript"/>
          </w:rPr>
          <w:t>272</w:t>
        </w:r>
      </w:hyperlink>
      <w:r>
        <w:t>. That last clause — order without inequality — carries forward, in confessional form, exactly the distinction later theological debates would need to keep clear: the persons relate to one another in a fixed order of origin (the Father unbegotten, the Son eternally begotten, the Spirit eternally proceeding), but that order implies no difference in status, power, or glory among them. The confession then explicitly names and rejects the ancient errors this book’s earlier Parts examined at length, condemning “all heresies and heretics who teach that the Son and Holy Spirit are God in name only” and any suggestion “that there is something created and subservient, or subordinate to another in the Trinity”</w:t>
      </w:r>
      <w:hyperlink w:anchor="cite_273" w:history="1">
        <w:r>
          <w:rPr>
            <w:color w:val="671C2A"/>
            <w:sz w:val="16"/>
            <w:vertAlign w:val="superscript"/>
          </w:rPr>
          <w:t>273</w:t>
        </w:r>
      </w:hyperlink>
      <w:r>
        <w:t xml:space="preserve"> — a direct, still-live rejection of Arian-style subordinationism, written a full millennium after Arius but in terms he would have immediately recognized as aimed at him.</w:t>
      </w:r>
    </w:p>
    <w:p w14:paraId="383D7F8D" w14:textId="77777777" w:rsidR="009C7F52" w:rsidRDefault="00731002">
      <w:pPr>
        <w:pStyle w:val="Heading3"/>
        <w:pBdr>
          <w:bottom w:val="single" w:sz="4" w:space="5" w:color="C8AE75"/>
        </w:pBdr>
      </w:pPr>
      <w:bookmarkStart w:id="198" w:name="X79735818b3f0cb354c09b88bb7abb04e188855a"/>
      <w:bookmarkEnd w:id="197"/>
      <w:r>
        <w:t>The Thirty-Nine Articles: Anglican Agreement</w:t>
      </w:r>
    </w:p>
    <w:p w14:paraId="2A530D81" w14:textId="77777777" w:rsidR="009C7F52" w:rsidRDefault="00731002">
      <w:pPr>
        <w:pStyle w:val="FirstParagraph"/>
      </w:pPr>
      <w:r>
        <w:t>The Church of England’s Thirty-Nine Articles, finalized in their settled form in 1571, open with an article devoted entirely to this doctrine, titled simply “Of Faith in the Holy Trinity”: “There is but one living and true God, everlasting, without body, parts, or passions; of infinite power, wisdom, and goodness; the Maker and Preserver of all things, both visible and invisible. And in the unity of this Godhead there be three Persons, of one substance, power, and eternity: the Father, the Son, and the Holy Ghost”</w:t>
      </w:r>
      <w:hyperlink w:anchor="cite_274" w:history="1">
        <w:r>
          <w:rPr>
            <w:color w:val="671C2A"/>
            <w:sz w:val="16"/>
            <w:vertAlign w:val="superscript"/>
          </w:rPr>
          <w:t>274</w:t>
        </w:r>
      </w:hyperlink>
      <w:r>
        <w:t>. The placement is itself telling: of all the doctrines the English Reformers might have chosen to state first, before justification, before the sacraments, before questions of church government that occupied enormous energy in Reformation-era England, they chose to open with the Trinity — treating it as the foundation beneath every other article that follows, not a debated point among them.</w:t>
      </w:r>
    </w:p>
    <w:p w14:paraId="4F39DA11" w14:textId="77777777" w:rsidR="009C7F52" w:rsidRDefault="00731002">
      <w:pPr>
        <w:pStyle w:val="Heading3"/>
        <w:pBdr>
          <w:bottom w:val="single" w:sz="4" w:space="5" w:color="C8AE75"/>
        </w:pBdr>
      </w:pPr>
      <w:bookmarkStart w:id="199" w:name="X77540acd53fab98b2e21b9d3f0a885a8ae13917"/>
      <w:bookmarkEnd w:id="198"/>
      <w:r>
        <w:t>Westminster and the Baptist Confession: A Shared Consensus</w:t>
      </w:r>
    </w:p>
    <w:p w14:paraId="796F8D99" w14:textId="77777777" w:rsidR="009C7F52" w:rsidRDefault="00731002">
      <w:pPr>
        <w:pStyle w:val="FirstParagraph"/>
      </w:pPr>
      <w:r>
        <w:t>The Westminster Confession of Faith, produced by an assembly of English and Scottish divines in the 1640s, devotes its second chapter to “God, and of the Holy Trinity.” After an extended first section cataloguing God’s attributes — infinite in being and perfection, “without body, parts, or passions,” immutable, eternal, incomprehensible, “most holy,” “most free,” “most absolute”</w:t>
      </w:r>
      <w:hyperlink w:anchor="cite_275" w:history="1">
        <w:r>
          <w:rPr>
            <w:color w:val="671C2A"/>
            <w:sz w:val="16"/>
            <w:vertAlign w:val="superscript"/>
          </w:rPr>
          <w:t>275</w:t>
        </w:r>
      </w:hyperlink>
      <w:r>
        <w:t xml:space="preserve"> — the confession states the Trinitarian doctrine in its third paragraph with careful, almost mathematical economy: “In the unity of the Godhead there be three persons, of one substance, power, and eternity; God the Father, God the Son, and God the Holy Ghost. The Father is of none, neither begotten, nor proceeding: the Son is eternally begotten of the Father: the Holy Ghost eternally proceeding from the Father and the Son”</w:t>
      </w:r>
      <w:hyperlink w:anchor="cite_276" w:history="1">
        <w:r>
          <w:rPr>
            <w:color w:val="671C2A"/>
            <w:sz w:val="16"/>
            <w:vertAlign w:val="superscript"/>
          </w:rPr>
          <w:t>276</w:t>
        </w:r>
      </w:hyperlink>
      <w:r>
        <w:t>. Notice how tightly this compresses the entire medieval and Reformation inheritance traced across this Part: one substance shared fully by three persons; the Father as the person who is neither begotten nor proceeding, the ungenerated source; the Son eternally begotten, echoing Nicaea’s own language against Arius; and the Spirit proceeding from both Father and Son, carrying forward the Western filioque tradition first formalized at Toledo in 589.</w:t>
      </w:r>
    </w:p>
    <w:p w14:paraId="4798151A" w14:textId="77777777" w:rsidR="009C7F52" w:rsidRDefault="00731002">
      <w:pPr>
        <w:pStyle w:val="BodyText"/>
      </w:pPr>
      <w:r>
        <w:t>Nearly half a century later, a gathering of Baptist churches in England produced their own confession, modeling its overall structure closely on Westminster’s while adapting it for congregations that practiced believer’s baptism rather than infant baptism. Its second chapter, likewise titled “Of God and of the Holy Trinity,” restates the doctrine in language so close to Westminster’s that the continuity is unmistakable, while adding its own theologically rich turn of phrase: “In this divine and infinite Being there are three subsistences, the Father, the Word or Son, and Holy Spirit, of one substance, power, and eternity, each having the whole divine essence, yet the essence undivided: the Father is of none, neither begotten nor proceeding; the Son is eternally begotten of the Father; the Holy Spirit proceeding from the Father and the Son”</w:t>
      </w:r>
      <w:hyperlink w:anchor="cite_277" w:history="1">
        <w:r>
          <w:rPr>
            <w:color w:val="671C2A"/>
            <w:sz w:val="16"/>
            <w:vertAlign w:val="superscript"/>
          </w:rPr>
          <w:t>277</w:t>
        </w:r>
      </w:hyperlink>
      <w:r>
        <w:t>. The phrase “each having the whole divine essence, yet the essence undivided” states with unusual clarity a point implicit in every confession surveyed in this chapter: this is not a doctrine of three portions of one divine substance distributed among three persons, as though each held a third share, but three persons who each possess the entire, undivided essence at once — the very point Anselm had strained to articulate five centuries earlier when he wrote that the whole Trinity is “at once” what each person is separately. The confession closes its Trinitarian paragraph with a pastoral flourish rare among such formal documents, calling this doctrine “the foundation of all our communion with God, and comfortable dependence on Him”</w:t>
      </w:r>
      <w:hyperlink w:anchor="cite_278" w:history="1">
        <w:r>
          <w:rPr>
            <w:color w:val="671C2A"/>
            <w:sz w:val="16"/>
            <w:vertAlign w:val="superscript"/>
          </w:rPr>
          <w:t>278</w:t>
        </w:r>
      </w:hyperlink>
      <w:r>
        <w:t xml:space="preserve"> — a reminder that for the church that wrote it, as for Calvin a century before and Gregory of Nazianzus a millennium before that, the doctrine was never meant to remain a technical puzzle. It was meant to be lived with, prayed to, and trusted.</w:t>
      </w:r>
    </w:p>
    <w:p w14:paraId="306E5D4A" w14:textId="77777777" w:rsidR="009C7F52" w:rsidRDefault="00731002">
      <w:pPr>
        <w:pStyle w:val="Heading3"/>
        <w:pBdr>
          <w:bottom w:val="single" w:sz="4" w:space="5" w:color="C8AE75"/>
        </w:pBdr>
      </w:pPr>
      <w:bookmarkStart w:id="200" w:name="one-doctrine-many-voices"/>
      <w:bookmarkEnd w:id="199"/>
      <w:r>
        <w:t>One Doctrine, Many Voices</w:t>
      </w:r>
    </w:p>
    <w:p w14:paraId="14FDA75E" w14:textId="77777777" w:rsidR="009C7F52" w:rsidRDefault="00731002">
      <w:pPr>
        <w:pStyle w:val="FirstParagraph"/>
      </w:pPr>
      <w:r>
        <w:t>It is worth pausing on just how much these traditions disagreed about everything else. The churches that produced Westminster and the churches that produced the Baptist confession discussed above could not agree on who was a proper subject for baptism, or on how a local congregation related to a wider church government, and both disagreed sharply with the Church of England’s episcopal structure behind the Thirty-Nine Articles and with the Lutheran sacramental theology presupposed at Heidelberg. The sixteenth and seventeenth centuries produced bitter, sometimes violent division over these very questions. And yet on the doctrine of who God is, the documents these same quarreling traditions produced are close enough in wording that a reader unfamiliar with their history might guess one committee wrote them all. That Baptist confession borrows Westminster’s structure and much of its exact phrasing, including the memorable formula that the Father “is of none, neither begotten, nor proceeding,” while quietly dropping Westminster’s implied national-church assumptions elsewhere in the document</w:t>
      </w:r>
      <w:hyperlink w:anchor="cite_279" w:history="1">
        <w:r>
          <w:rPr>
            <w:color w:val="671C2A"/>
            <w:sz w:val="16"/>
            <w:vertAlign w:val="superscript"/>
          </w:rPr>
          <w:t>279</w:t>
        </w:r>
      </w:hyperlink>
      <w:r>
        <w:t>. The Belgic Confession’s insistence that the three persons are “coeternal and coessential” with “neither first nor last” reappears, in substance, in the Second Helvetic Confession’s language of persons “distinct… with respect to order, the one preceding the other yet without any inequality,” and again in the Thirty-Nine Articles’ spare formula of three Persons “of one substance, power, and eternity.” Different centuries, different countries, different ecclesiastical politics — the same doctrine, stated with the same careful balance between unity and distinction every time.</w:t>
      </w:r>
    </w:p>
    <w:p w14:paraId="620A7F90" w14:textId="77777777" w:rsidR="009C7F52" w:rsidRDefault="00731002">
      <w:pPr>
        <w:pStyle w:val="BodyText"/>
      </w:pPr>
      <w:r>
        <w:t>Set side by side, then, these documents — composed across more than a hundred years, in the Netherlands, Germany, Switzerland, England, and Scotland, by theologians who disagreed sharply with one another over baptism, church government, and the finer points of predestination — describe the same God in strikingly convergent terms: one simple, undivided essence; three really distinct, coequal, coeternal persons; a fixed order of relations among the persons (Father unbegotten, Son begotten, Spirit proceeding) that implies no inequality of being; and a doctrine received not as a philosophical import but as the necessary summary of what Scripture itself, read as a unified whole, requires believers to confess. That convergence is itself a kind of evidence. When traditions that argued fiercely over nearly everything else could produce, independently, confessions of the Trinity this closely aligned — often in nearly identical wording, drawing on the same handful of biblical texts, and self-consciously receiving the same ancient creeds — the most natural explanation is not coincidence or mutual copying alone, but that all of them were reading the same Scripture carefully and arriving, as the fourth-century councils had arrived before them, at the doctrine those texts actually teach. The Reformation did not invent the Trinity, refine it into something new, or even seriously dispute it. It received the doctrine the patristic church had hammered out and the medieval schools had sharpened, tested it once more against Scripture under real pressure from serious dissent, and handed it forward, confession after confession, essentially unchanged.</w:t>
      </w:r>
    </w:p>
    <w:p w14:paraId="47CC9CEA" w14:textId="77777777" w:rsidR="009C7F52" w:rsidRDefault="00731002">
      <w:r>
        <w:br w:type="page"/>
      </w:r>
    </w:p>
    <w:p w14:paraId="0FACA28A" w14:textId="77777777" w:rsidR="009C7F52" w:rsidRDefault="00731002">
      <w:pPr>
        <w:keepNext/>
        <w:pageBreakBefore/>
        <w:spacing w:before="360" w:after="200"/>
        <w:jc w:val="center"/>
      </w:pPr>
      <w:bookmarkStart w:id="201" w:name="Xcea7b4244a66359f9367f1cdaa48546db5319ac"/>
      <w:bookmarkEnd w:id="182"/>
      <w:bookmarkEnd w:id="194"/>
      <w:bookmarkEnd w:id="200"/>
      <w:r>
        <w:rPr>
          <w:noProof/>
        </w:rPr>
        <w:drawing>
          <wp:inline distT="0" distB="0" distL="0" distR="0" wp14:anchorId="301F8121" wp14:editId="43A99040">
            <wp:extent cx="4160520" cy="7396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6CE44054" w14:textId="77777777" w:rsidR="009C7F52" w:rsidRDefault="00731002">
      <w:pPr>
        <w:pStyle w:val="Heading1"/>
      </w:pPr>
      <w:r>
        <w:t>Part VI: Challenges to the Doctrine, Ancient and Modern</w:t>
      </w:r>
    </w:p>
    <w:p w14:paraId="0B84B933" w14:textId="77777777" w:rsidR="009F2F79" w:rsidRDefault="001A04A2">
      <w:pPr>
        <w:pStyle w:val="Heading3"/>
      </w:pPr>
      <w:r>
        <w:t>The Confessions Join Attributes, Trinity, and Christology</w:t>
      </w:r>
    </w:p>
    <w:p w14:paraId="7DC1958B" w14:textId="77777777" w:rsidR="009F2F79" w:rsidRDefault="001A04A2">
      <w:pPr>
        <w:pStyle w:val="FirstParagraph"/>
      </w:pPr>
      <w:r>
        <w:t>The Westminster Confession and the Second London Baptist Confession place God’s attributes immediately beside the Trinity because the doctrines interpret one another. The one living and true God is infinite in being and perfection, pure spirit, invisible, without parts, immutable, immense, eternal, incomprehensible, almighty, most wise, most holy, most free, and most absolute. Within this divine and infinite Being are Father, Son, and Spirit, each possessing the whole divine essence while the essence remains undivided. The sequence prevents readers from imagining three finite centers who cooperate. The persons are the subsistences of the one simple, infinite, and indivisible God just described.</w:t>
      </w:r>
    </w:p>
    <w:p w14:paraId="0692E24C" w14:textId="77777777" w:rsidR="009F2F79" w:rsidRDefault="001A04A2">
      <w:pPr>
        <w:pStyle w:val="BodyText"/>
      </w:pPr>
      <w:r>
        <w:t>The same confessional tradition treats Christology with Chalcedonian precision. The eternal Son takes a true human nature with all its essential properties and common infirmities, yet without sin. Two whole, perfect, and distinct natures are inseparably joined in one person, without conversion, composition, or confusion. The mediator acts according to both natures, and each nature does what is proper to itself; because the person is one, Scripture may attribute what belongs to either nature to the person named by the other. This is the Reformation’s reception, not rejection, of the patristic settlement.</w:t>
      </w:r>
    </w:p>
    <w:p w14:paraId="4C002732" w14:textId="77777777" w:rsidR="009F2F79" w:rsidRDefault="001A04A2">
      <w:pPr>
        <w:pStyle w:val="Heading3"/>
      </w:pPr>
      <w:r>
        <w:t>Creeds as Compressed Exegesis</w:t>
      </w:r>
    </w:p>
    <w:p w14:paraId="3CEC7BBC" w14:textId="77777777" w:rsidR="009F2F79" w:rsidRDefault="001A04A2">
      <w:pPr>
        <w:pStyle w:val="FirstParagraph"/>
      </w:pPr>
      <w:r>
        <w:t>A creed or confession serves the church best when it compresses exegesis without replacing it. Its terms preserve judgments reached by reading the whole canon: one essence excludes polytheism; three persons exclude modalism; coequal and coeternal exclude Arianism; eternal generation and procession identify personal relations without temporal beginnings; one person excludes Nestorian division; two natures exclude both reduction and mixture; two natural wills protect complete humanity. The formulas become dangerous only when detached from the biblical texts that give them content. Read as doctrinal maps, they help later Christians avoid reopening settled category errors under new names.</w:t>
      </w:r>
    </w:p>
    <w:p w14:paraId="5753BB94" w14:textId="77777777" w:rsidR="009C7F52" w:rsidRDefault="00731002">
      <w:pPr>
        <w:pStyle w:val="Heading2"/>
        <w:pBdr>
          <w:bottom w:val="single" w:sz="10" w:space="8" w:color="A68037"/>
        </w:pBdr>
      </w:pPr>
      <w:bookmarkStart w:id="202" w:name="Xbb3082add7f829367f87b594dd4d761b319dfd6"/>
      <w:r>
        <w:t>Chapter 27: Modalism Revisited: Oneness Pentecostalism</w:t>
      </w:r>
    </w:p>
    <w:p w14:paraId="42500644" w14:textId="77777777" w:rsidR="009C7F52" w:rsidRDefault="00731002">
      <w:pPr>
        <w:pStyle w:val="FirstParagraph"/>
      </w:pPr>
      <w:r>
        <w:t>Turn on a religious radio station on a Sunday night in almost any American city and, sooner or later, you will hear a preacher say something like this: “There is one God, and his name is Jesus. Father, Son, and Holy Ghost are not three persons — they are three titles for the one person who saves you.” The preacher is not being cynical. He is not making it up to sound clever. He is reproducing, almost word for word, an argument that a Roman theologian named Sabellius made in the city of Rome around the year AD 220, and that his church already had a name for and a settled answer to eighteen centuries ago. That preacher believes he is defending God’s oneness against a Catholic invention. In fact, he is standing exactly where a bishop named Callixtus once stood across from Sabellius and had to draw a line.</w:t>
      </w:r>
    </w:p>
    <w:p w14:paraId="130D2EF4" w14:textId="77777777" w:rsidR="009C7F52" w:rsidRDefault="00731002">
      <w:pPr>
        <w:pStyle w:val="Heading3"/>
        <w:pBdr>
          <w:bottom w:val="single" w:sz="4" w:space="5" w:color="C8AE75"/>
        </w:pBdr>
      </w:pPr>
      <w:bookmarkStart w:id="203" w:name="X1d17dfc1ee184e39b9f288e441381aa35241423"/>
      <w:r>
        <w:t>The Ancient Root: From Sabellius to Oneness Pentecostalism</w:t>
      </w:r>
    </w:p>
    <w:p w14:paraId="7BCF0EB8" w14:textId="77777777" w:rsidR="009C7F52" w:rsidRDefault="00731002">
      <w:pPr>
        <w:pStyle w:val="FirstParagraph"/>
      </w:pPr>
      <w:r>
        <w:t>Earlier chapters of this book traced the ancient heresy of modalism — also called Sabellianism, after its clearest early teacher, and Patripassianism (“the Father suffers”), for what it implies about the cross. The claim, in every century it appears, is the same: God is a single divine person who has revealed himself under different names and relations at different times — as “Father” in creation and in the giving of the Law, as “Son” in the incarnation, and as “Holy Spirit” in the church’s ongoing experience. There is no eternal, real distinction between Father, Son, and Spirit; there is one “I,” wearing three masks or playing three roles across the story of redemption.</w:t>
      </w:r>
    </w:p>
    <w:p w14:paraId="51749F01" w14:textId="77777777" w:rsidR="009C7F52" w:rsidRDefault="00731002">
      <w:pPr>
        <w:pStyle w:val="BodyText"/>
      </w:pPr>
      <w:r>
        <w:t>The name most associated with this view is Sabellius, who taught in Rome around AD 220 and was excommunicated for it by Bishop Callixtus I</w:t>
      </w:r>
      <w:hyperlink w:anchor="cite_280" w:history="1">
        <w:r>
          <w:rPr>
            <w:color w:val="671C2A"/>
            <w:sz w:val="16"/>
            <w:vertAlign w:val="superscript"/>
          </w:rPr>
          <w:t>280</w:t>
        </w:r>
      </w:hyperlink>
      <w:r>
        <w:t xml:space="preserve">. But Sabellius did not invent the position; he sharpened one that a teacher named Praxeas had already brought to Rome roughly two decades earlier, around AD 190–200, and it was Praxeas whom the North African theologian Tertullian answered directly in his treatise </w:t>
      </w:r>
      <w:r>
        <w:rPr>
          <w:i/>
          <w:iCs/>
        </w:rPr>
        <w:t>Against Praxeas</w:t>
      </w:r>
      <w:r>
        <w:t xml:space="preserve"> (Latin: </w:t>
      </w:r>
      <w:r>
        <w:rPr>
          <w:i/>
          <w:iCs/>
        </w:rPr>
        <w:t>Adversus Praxean</w:t>
      </w:r>
      <w:r>
        <w:t>), written around AD 213. Tertullian’s own paraphrase of Praxeas’s teaching is blunt: Praxeas held “that the Father Himself came down into the Virgin, was Himself born of her, Himself suffered, indeed was Himself Jesus Christ” (</w:t>
      </w:r>
      <w:r>
        <w:rPr>
          <w:i/>
          <w:iCs/>
        </w:rPr>
        <w:t>Against Praxeas</w:t>
      </w:r>
      <w:r>
        <w:t xml:space="preserve"> 1). Tertullian coined the Latin words that later theology would build on — </w:t>
      </w:r>
      <w:r>
        <w:rPr>
          <w:i/>
          <w:iCs/>
        </w:rPr>
        <w:t>trinitas</w:t>
      </w:r>
      <w:r>
        <w:t xml:space="preserve"> (“trinity”), </w:t>
      </w:r>
      <w:r>
        <w:rPr>
          <w:i/>
          <w:iCs/>
        </w:rPr>
        <w:t>persona</w:t>
      </w:r>
      <w:r>
        <w:t xml:space="preserve"> (“person”), and </w:t>
      </w:r>
      <w:r>
        <w:rPr>
          <w:i/>
          <w:iCs/>
        </w:rPr>
        <w:t>substantia</w:t>
      </w:r>
      <w:r>
        <w:t xml:space="preserve"> (“substance”) — not to invent a new doctrine but to give precise names to a real distinction the church had already been living out in its baptismal practice for a century. The church manual known as the </w:t>
      </w:r>
      <w:r>
        <w:rPr>
          <w:i/>
          <w:iCs/>
        </w:rPr>
        <w:t>Didache</w:t>
      </w:r>
      <w:r>
        <w:t>, likely written between AD 70 and 110 — a full century before Tertullian and more than two centuries before the Council of Nicaea — already instructs believers to baptize “in the name of the Father and of the Son and of the Holy Spirit,” quoting the Great Commission of Matthew 28:19 almost word for word</w:t>
      </w:r>
      <w:hyperlink w:anchor="cite_281" w:history="1">
        <w:r>
          <w:rPr>
            <w:color w:val="671C2A"/>
            <w:sz w:val="16"/>
            <w:vertAlign w:val="superscript"/>
          </w:rPr>
          <w:t>281</w:t>
        </w:r>
      </w:hyperlink>
      <w:r>
        <w:t>. Modalism, in other words, is not the primitive Christian position that a later church corrupted. It is a third-century simplification that the church tested against its own century-old baptismal confession and rejected.</w:t>
      </w:r>
    </w:p>
    <w:p w14:paraId="0204D471" w14:textId="77777777" w:rsidR="009C7F52" w:rsidRDefault="00731002">
      <w:pPr>
        <w:pStyle w:val="BodyText"/>
      </w:pPr>
      <w:r>
        <w:t>Oneness Pentecostalism is this same argument, revived independently and without most of its adherents knowing its ancestry, in twentieth-century American Pentecostalism. The movement traces to a specific moment: at the Arroyo Seco camp meeting near Los Angeles in April 1913, a preacher named R. E. McAlister preached that Christian baptism should be performed “in the name of Jesus” alone, rather than using the words of Matthew 28:19. A private revelation to a man named John G. Schaepe shortly afterward reinforced the same conclusion, and on April 15, 1914, two preachers, Frank Ewart and Glenn Cook, publicly rebaptized one another “in the name of the Lord Jesus Christ” in a tent revival — the event historians generally mark as the decisive emergence of Oneness Pentecostalism as a distinct movement</w:t>
      </w:r>
      <w:hyperlink w:anchor="cite_282" w:history="1">
        <w:r>
          <w:rPr>
            <w:color w:val="671C2A"/>
            <w:sz w:val="16"/>
            <w:vertAlign w:val="superscript"/>
          </w:rPr>
          <w:t>282</w:t>
        </w:r>
      </w:hyperlink>
      <w:r>
        <w:t>. The controversy immediately split the young Assemblies of God denomination: at its General Council in October 1916, the mostly Trinitarian leadership adopted a formal statement affirming the Trinity, and roughly one-third of the denomination’s ministers left to form explicitly Oneness congregations</w:t>
      </w:r>
      <w:hyperlink w:anchor="cite_283" w:history="1">
        <w:r>
          <w:rPr>
            <w:color w:val="671C2A"/>
            <w:sz w:val="16"/>
            <w:vertAlign w:val="superscript"/>
          </w:rPr>
          <w:t>283</w:t>
        </w:r>
      </w:hyperlink>
      <w:r>
        <w:t>. Garfield Thomas Haywood became the first presiding bishop of the interracial Pentecostal Assemblies of the World in 1925, and a 1945 merger of two smaller bodies formed the United Pentecostal Church International, which today is the movement’s largest single denomination, reporting more than 5.75 million members worldwide as of 2024</w:t>
      </w:r>
      <w:hyperlink w:anchor="cite_284" w:history="1">
        <w:r>
          <w:rPr>
            <w:color w:val="671C2A"/>
            <w:sz w:val="16"/>
            <w:vertAlign w:val="superscript"/>
          </w:rPr>
          <w:t>284</w:t>
        </w:r>
      </w:hyperlink>
      <w:r>
        <w:t>.</w:t>
      </w:r>
    </w:p>
    <w:p w14:paraId="0E5695D2" w14:textId="77777777" w:rsidR="009C7F52" w:rsidRDefault="00731002">
      <w:pPr>
        <w:pStyle w:val="Heading3"/>
        <w:pBdr>
          <w:bottom w:val="single" w:sz="4" w:space="5" w:color="C8AE75"/>
        </w:pBdr>
      </w:pPr>
      <w:bookmarkStart w:id="204" w:name="what-oneness-theology-actually-teaches"/>
      <w:bookmarkEnd w:id="203"/>
      <w:r>
        <w:t>What Oneness Theology Actually Teaches</w:t>
      </w:r>
    </w:p>
    <w:p w14:paraId="2ABE578F" w14:textId="77777777" w:rsidR="009C7F52" w:rsidRDefault="00731002">
      <w:pPr>
        <w:pStyle w:val="FirstParagraph"/>
      </w:pPr>
      <w:r>
        <w:t>It is worth stating the Oneness position in its own strongest terms before answering it, because caricaturing it does no one any good. Oneness theology holds that God is a single divine person, not three eternally distinct persons sharing one essence. That single person has revealed himself under different titles and relations at different points in the story of redemption: as “Father” in creation and the Old Testament, as “Son” in the incarnation — meaning the one person of the Father himself took on human flesh and was born as Jesus — and as “Holy Spirit” in the church’s ongoing life. On this view, “Jesus” functions as the one saving name in which Father, Son, and Spirit are ultimately united; the man Jesus is not a second divine person distinct from the Father, but the Father himself, veiled in human flesh.</w:t>
      </w:r>
    </w:p>
    <w:p w14:paraId="6331D141" w14:textId="77777777" w:rsidR="009C7F52" w:rsidRDefault="00731002">
      <w:pPr>
        <w:pStyle w:val="BodyText"/>
      </w:pPr>
      <w:r>
        <w:t>This grounds the movement’s most visible practical distinctive: baptism performed only “in the name of Jesus,” following the wording found in Acts 2:38, 8:16, 10:48, and 19:5, rather than the traditional formula of Matthew 28:19 (“in the name of the Father and of the Son and of the Holy Spirit”). Oneness teachers often frame their position as the most rigorous possible monotheism — “God is one,” stated with maximal simplicity — recovered from what they describe as a later, Catholic-invented “three gods” doctrine imposed on the church by the theologian Tertullian and formalized at the Council of Nicaea. This claim about the doctrine’s origin is central to how Oneness preaching presents itself, and it deserves careful, historical attention rather than dismissal, because getting the history right is part of taking the position seriously.</w:t>
      </w:r>
    </w:p>
    <w:p w14:paraId="09358F52" w14:textId="77777777" w:rsidR="009C7F52" w:rsidRDefault="00731002">
      <w:pPr>
        <w:pStyle w:val="BodyText"/>
      </w:pPr>
      <w:r>
        <w:t xml:space="preserve">The appeal of Oneness theology is genuine and should not be minimized. Like ancient Sabellianism, it offers what feels like the cleanest possible monotheism — zero risk of sounding like it worships three gods — while still fully honoring the New Testament’s exaltation of Jesus, since on this view Jesus simply </w:t>
      </w:r>
      <w:r>
        <w:rPr>
          <w:i/>
          <w:iCs/>
        </w:rPr>
        <w:t>is</w:t>
      </w:r>
      <w:r>
        <w:t xml:space="preserve"> God himself in the flesh, nothing divided or held back. It typically arrives packaged with real linguistic and historical argument: word studies of the Greek terms θεός (theos, “God”), κύριος (kyrios, “Lord”), λόγος (logos, “word”), and μονογενής (monogenes, “only-begotten” or “unique”); Hebrew word studies of </w:t>
      </w:r>
      <w:r>
        <w:rPr>
          <w:i/>
          <w:iCs/>
        </w:rPr>
        <w:t>echad</w:t>
      </w:r>
      <w:r>
        <w:t xml:space="preserve"> (“one”) and the divine name; and specific historical claims about Tertullian, Nicaea, and Constantinople. This apparatus gives Oneness preaching a scholarly feel that can be genuinely persuasive to a listener unfamiliar with the primary sources actually being cited.</w:t>
      </w:r>
    </w:p>
    <w:p w14:paraId="66C7F50F" w14:textId="77777777" w:rsidR="009C7F52" w:rsidRDefault="00731002">
      <w:pPr>
        <w:pStyle w:val="Heading3"/>
        <w:pBdr>
          <w:bottom w:val="single" w:sz="4" w:space="5" w:color="C8AE75"/>
        </w:pBdr>
      </w:pPr>
      <w:bookmarkStart w:id="205" w:name="the-category-error-at-the-center"/>
      <w:bookmarkEnd w:id="204"/>
      <w:r>
        <w:t>The Category Error at the Center</w:t>
      </w:r>
    </w:p>
    <w:p w14:paraId="20112A1A" w14:textId="77777777" w:rsidR="009C7F52" w:rsidRDefault="00731002">
      <w:pPr>
        <w:pStyle w:val="FirstParagraph"/>
      </w:pPr>
      <w:r>
        <w:t xml:space="preserve">The historic Trinitarian response begins by naming a single confusion that runs underneath almost every Oneness argument: the collapsing of </w:t>
      </w:r>
      <w:r>
        <w:rPr>
          <w:i/>
          <w:iCs/>
        </w:rPr>
        <w:t>person</w:t>
      </w:r>
      <w:r>
        <w:t xml:space="preserve"> into </w:t>
      </w:r>
      <w:r>
        <w:rPr>
          <w:i/>
          <w:iCs/>
        </w:rPr>
        <w:t>being</w:t>
      </w:r>
      <w:r>
        <w:t>. The reasoning usually goes something like this: you are one person, and you are also one human being; therefore, if God the Father, the Son, and the Holy Spirit are three persons, they must also be three separate beings — three gods. This sounds airtight until you notice the hidden assumption it depends on: that “person” and “being” always map onto each other one-to-one, the way they do in human experience.</w:t>
      </w:r>
    </w:p>
    <w:p w14:paraId="4D88DF44" w14:textId="77777777" w:rsidR="009C7F52" w:rsidRDefault="00731002">
      <w:pPr>
        <w:pStyle w:val="BodyText"/>
      </w:pPr>
      <w:r>
        <w:t xml:space="preserve">But that assumption is only true of human nature, and it is true of human nature for a specific reason: human nature is finite, and finite natures come in individual, separable portions. There are more than eight billion human beings alive today because human nature can be divided into eight billion individual instances, each one a separate person and a separate being. The historic doctrine of the Trinity makes a very different claim about the divine nature: it is not finite, and it is not divisible into portions at all. The apostle Paul makes exactly this point about Christ in Colossians 2:9: “For in him the whole fullness of deity dwells bodily” — not a third, not a delegated share, but the </w:t>
      </w:r>
      <w:r>
        <w:rPr>
          <w:i/>
          <w:iCs/>
        </w:rPr>
        <w:t>whole</w:t>
      </w:r>
      <w:r>
        <w:t xml:space="preserve"> fullness. Each divine person possesses the entire, undivided divine essence, without division and without remainder. Because the divine essence cannot be parceled out the way human nature can, three persons sharing that one essence does not produce three gods, any more than three human persons sharing one human nature (which they don’t — that is exactly the point) would produce one being. οὐσία (ousia, “essence,” what God is — one, undivided) and ὑπόστασις (hypostasis, “person,” who God is — three, really distinct) are two different categories, not two labels for the same thing, and the entire Oneness argument depends on quietly treating them as the same.</w:t>
      </w:r>
    </w:p>
    <w:p w14:paraId="16EA19E8" w14:textId="77777777" w:rsidR="009C7F52" w:rsidRDefault="00731002">
      <w:pPr>
        <w:pStyle w:val="Heading3"/>
        <w:pBdr>
          <w:bottom w:val="single" w:sz="4" w:space="5" w:color="C8AE75"/>
        </w:pBdr>
      </w:pPr>
      <w:bookmarkStart w:id="206" w:name="X53b73391f5c94c1776bcd6e0a6dd5471721ff93"/>
      <w:bookmarkEnd w:id="205"/>
      <w:r>
        <w:t>Reading the Text Fairly: John 1:1, John 10:30, and John 14:9</w:t>
      </w:r>
    </w:p>
    <w:p w14:paraId="2DF0A9D5" w14:textId="77777777" w:rsidR="009C7F52" w:rsidRDefault="00731002">
      <w:pPr>
        <w:pStyle w:val="FirstParagraph"/>
      </w:pPr>
      <w:r>
        <w:t>Oneness preaching frequently handles John 1:1 — Ἐν ἀρχῇ ἦν ὁ λόγος, καὶ ὁ λόγος ἦν πρὸς τὸν θεόν, καὶ θεὸς ἦν ὁ λόγος (</w:t>
      </w:r>
      <w:r>
        <w:rPr>
          <w:i/>
          <w:iCs/>
        </w:rPr>
        <w:t>En archē ēn ho logos, kai ho logos ēn pros ton theon, kai theos ēn ho logos</w:t>
      </w:r>
      <w:r>
        <w:t>, “In the beginning was the Word, and the Word was with God, and the Word was God”)</w:t>
      </w:r>
      <w:hyperlink w:anchor="cite_285" w:history="1">
        <w:r>
          <w:rPr>
            <w:color w:val="671C2A"/>
            <w:sz w:val="16"/>
            <w:vertAlign w:val="superscript"/>
          </w:rPr>
          <w:t>285</w:t>
        </w:r>
      </w:hyperlink>
      <w:r>
        <w:t xml:space="preserve"> — by arguing that “the Word” (λόγος, logos, “word”) refers not to a personal, distinct being but to God’s plan or thought, later given a body in the man Jesus. This reading cannot survive the rest of the same paragraph. John 1:3 says “all things were made through him,” and a thought does not create; John 1:14 says “the Word became flesh,” and a thought does not become anything, let alone assume a human nature. More importantly, the verse’s own grammar resists a modalist reading directly: the clause “the Word was </w:t>
      </w:r>
      <w:r>
        <w:rPr>
          <w:i/>
          <w:iCs/>
        </w:rPr>
        <w:t>with</w:t>
      </w:r>
      <w:r>
        <w:t xml:space="preserve"> God,” πρὸς τὸν θεόν (pros ton theon, “with/toward God”), uses a preposition that denotes active, face-to-face relation — one person turned toward another — and a person cannot be face-to-face with himself. John 1:1 asserts both of the Trinity’s two pillars in a single breath: the Word is distinct from “God” (here, the Father) and yet the Word fully shares the nature named by the word “God.”</w:t>
      </w:r>
    </w:p>
    <w:p w14:paraId="04B00DF9" w14:textId="77777777" w:rsidR="009C7F52" w:rsidRDefault="00731002">
      <w:pPr>
        <w:pStyle w:val="BodyText"/>
      </w:pPr>
      <w:r>
        <w:t>John 10:30, ἐγὼ καὶ ὁ Πατὴρ ἕν ἐσμεν (</w:t>
      </w:r>
      <w:r>
        <w:rPr>
          <w:i/>
          <w:iCs/>
        </w:rPr>
        <w:t>egō kai ho Patēr hen esmen</w:t>
      </w:r>
      <w:r>
        <w:t>, “I and the Father are one”)</w:t>
      </w:r>
      <w:hyperlink w:anchor="cite_286" w:history="1">
        <w:r>
          <w:rPr>
            <w:color w:val="671C2A"/>
            <w:sz w:val="16"/>
            <w:vertAlign w:val="superscript"/>
          </w:rPr>
          <w:t>286</w:t>
        </w:r>
      </w:hyperlink>
      <w:r>
        <w:t>, is probably the single most common Oneness proof text, and it deserves careful attention precisely because the Greek word matters here in a way that is easy to miss in English translation. The word for “one” in this verse is ἕν (hen), a neuter form meaning “one thing” — unity of nature or essence — not εἷς (heis), the masculine form that would mean “one person.” If Jesus had said the equivalent of “the Father and I are numerically the same person,” the text would use different vocabulary. As it stands, the crowd’s own reaction two verses later confirms the reading a real personal distinction requires, not a modalist one: “the Jews picked up stones again to stone him,” accusing him of “blasphemy, because you, being a man, make yourself God” (John 10:31, 33). They heard a claim to shared deity between two distinguishable persons — a Son claiming equality with a Father he is not identical to — which is exactly why they considered it blasphemous rather than merely strange.</w:t>
      </w:r>
    </w:p>
    <w:p w14:paraId="7114C8C5" w14:textId="77777777" w:rsidR="009C7F52" w:rsidRDefault="00731002">
      <w:pPr>
        <w:pStyle w:val="BodyText"/>
      </w:pPr>
      <w:r>
        <w:t>John 14:9, “he who has seen me has seen the Father,” raises the same question from another angle, and its own chapter answers it. If this verse asserted flat identity between Jesus and the Father, the rest of John 14 would collapse into nonsense: seven verses later, Jesus says, “I will ask the Father, and he will give you another Helper” (John 14:16) — he does not ask himself for a helper who is also himself — and in verse 28 he says plainly, “the Father is greater than I,” a statement that becomes self-contradictory (“I am greater than myself”) if Father and Son are strictly one and the same person. What John 14:9 actually teaches is that the Son perfectly reveals the Father’s character because he shares the Father’s nature, exactly as Hebrews 1:3 puts it: the Son is “the exact imprint of his nature.” An imprint is a perfect likeness of the seal that made it, but it is not identical to that seal.</w:t>
      </w:r>
    </w:p>
    <w:p w14:paraId="45671A10" w14:textId="77777777" w:rsidR="009C7F52" w:rsidRDefault="00731002">
      <w:pPr>
        <w:pStyle w:val="Heading3"/>
        <w:pBdr>
          <w:bottom w:val="single" w:sz="4" w:space="5" w:color="C8AE75"/>
        </w:pBdr>
      </w:pPr>
      <w:bookmarkStart w:id="207" w:name="X113b917e7af957eb622c4eb74bf87dca52d80f1"/>
      <w:bookmarkEnd w:id="206"/>
      <w:r>
        <w:t>The Baptismal Formula and the Weight of History</w:t>
      </w:r>
    </w:p>
    <w:p w14:paraId="1F5FB241" w14:textId="77777777" w:rsidR="009C7F52" w:rsidRDefault="00731002">
      <w:pPr>
        <w:pStyle w:val="FirstParagraph"/>
      </w:pPr>
      <w:r>
        <w:t>The Oneness movement’s most visible practice, “Jesus name” baptism, does not in fact require modalism at all, and the historic response separates the practice from the theology cleanly. Matthew 28:19 commands baptism “in the name” — singular — “of the Father and of the Son and of the Holy Spirit,” which is not evidence for one person but for one shared divine name, character, and authority held jointly by three. If anything, it is one of the most densely Trinitarian single sentences in the New Testament: one name, three persons named within it. The Acts formula, “in the name of Jesus” (Acts 2:38; 8:16; 10:48; 19:5), is best read as christological shorthand — emphasizing that Christian baptism incorporates the believer into Christ’s death and resurrection specifically (Romans 6:3-4), and distinguishing it from John the Baptist’s earlier baptism, which is precisely the issue Paul untangles in Acts 19:1-5. Nowhere does any New Testament author treat these two formulas as competing or contradictory.</w:t>
      </w:r>
    </w:p>
    <w:p w14:paraId="3546244E" w14:textId="77777777" w:rsidR="009C7F52" w:rsidRDefault="00731002">
      <w:pPr>
        <w:pStyle w:val="BodyText"/>
      </w:pPr>
      <w:r>
        <w:t xml:space="preserve">The historical record settles the deeper claim that “the Trinity” was invented centuries after the apostles and imposed by Tertullian and the Council of Nicaea. As already noted, the </w:t>
      </w:r>
      <w:r>
        <w:rPr>
          <w:i/>
          <w:iCs/>
        </w:rPr>
        <w:t>Didache</w:t>
      </w:r>
      <w:r>
        <w:t xml:space="preserve"> — older than any council, older than Tertullian by roughly a century — already quotes the Trinitarian formula of Matthew 28:19 nearly verbatim as standard, ordinary church practice. Ignatius of Antioch, a bishop martyred around AD 107 who had been discipled by the apostle John himself, writes of “Jesus Christ our God” in his letters, decades before Praxeas or Sabellius ever taught in Rome</w:t>
      </w:r>
      <w:hyperlink w:anchor="cite_287" w:history="1">
        <w:r>
          <w:rPr>
            <w:color w:val="671C2A"/>
            <w:sz w:val="16"/>
            <w:vertAlign w:val="superscript"/>
          </w:rPr>
          <w:t>287</w:t>
        </w:r>
      </w:hyperlink>
      <w:r>
        <w:t>. Tertullian did not invent Trinitarian language to suppress a purer, older “Jesus-only” Christianity; he coined precise vocabulary to defend a distinction the church had already been confessing in its baptisms for a hundred years before he wrote a word.</w:t>
      </w:r>
    </w:p>
    <w:p w14:paraId="5EEBA31E" w14:textId="77777777" w:rsidR="009C7F52" w:rsidRDefault="00731002">
      <w:pPr>
        <w:pStyle w:val="Heading3"/>
        <w:pBdr>
          <w:bottom w:val="single" w:sz="4" w:space="5" w:color="C8AE75"/>
        </w:pBdr>
      </w:pPr>
      <w:bookmarkStart w:id="208" w:name="what-is-actually-at-stake"/>
      <w:bookmarkEnd w:id="207"/>
      <w:r>
        <w:t>What Is Actually at Stake</w:t>
      </w:r>
    </w:p>
    <w:p w14:paraId="10DDAD7D" w14:textId="77777777" w:rsidR="009C7F52" w:rsidRDefault="00731002">
      <w:pPr>
        <w:pStyle w:val="FirstParagraph"/>
      </w:pPr>
      <w:r>
        <w:t>The pastoral cost of modalism is not abstract. If there is really only one divine person changing masks across the biblical story, then when Jesus cries from the cross, “My God, my God, why have you forsaken me?” (Matthew 27:46), one of two things must be true, and neither is acceptable. Either the cross is theater — one person performing an act of self-abandonment for an audience, with no real anguish and no real “other” involved — or the Father himself is the one who died on the cross, an idea the ancient church specifically named and rejected as Patripassianism, “the Father suffers.” But no New Testament writer ever says the Father was crucified; every crucifixion text names the Son (Galatians 2:20; 1 Corinthians 2:8). If the Son who died and the Father to whom he prayed and by whom he was ultimately vindicated are strictly one person with no real distinction, the cross stops being a real relationship of trust and vindication between two who love each other and becomes a monologue. It also leaves believers with no one left in heaven, genuinely distinct from the dying Son, to raise him and to hear their prayers through him as a real, ongoing mediator (1 Timothy 2:5; Hebrews 7:25). Oneness Pentecostalism is not a fringe curiosity; it represents millions of sincere worshipers around the world today, and its central claim — one divine person, three successive roles — is worth taking seriously enough to answer with the same Scripture both sides claim to honor, not merely to dismiss.</w:t>
      </w:r>
    </w:p>
    <w:p w14:paraId="235543FE" w14:textId="77777777" w:rsidR="009C7F52" w:rsidRDefault="007D6CCB">
      <w:r>
        <w:rPr>
          <w:noProof/>
        </w:rPr>
      </w:r>
      <w:r w:rsidR="007D6CCB">
        <w:rPr>
          <w:noProof/>
        </w:rPr>
        <w:pict w14:anchorId="5B0FC91B">
          <v:rect id="_x0000_i1037" style="width:0;height:1.5pt" o:hralign="center" o:hrstd="t" o:hr="t"/>
        </w:pict>
      </w:r>
    </w:p>
    <w:p w14:paraId="191E27DD" w14:textId="77777777" w:rsidR="009F2F79" w:rsidRDefault="001A04A2">
      <w:pPr>
        <w:pStyle w:val="Heading3"/>
      </w:pPr>
      <w:r>
        <w:t>Answering the Main Modalist Proof Texts</w:t>
      </w:r>
    </w:p>
    <w:p w14:paraId="34EC12CA" w14:textId="77777777" w:rsidR="009F2F79" w:rsidRDefault="001A04A2">
      <w:pPr>
        <w:pStyle w:val="FirstParagraph"/>
      </w:pPr>
      <w:r>
        <w:t>White’s method answers modalism by keeping context and category together. Isaiah 9:6 calls the promised Son “Everlasting Father,” but the title does not identify the Son as the person of the Father. In its royal and covenantal setting it describes the Messiah as the fatherly, everlasting protector of his people. The same prophecy calls him “Mighty God,” while the New Testament consistently distinguishes the Son who is given from the Father who gives and sends him.</w:t>
      </w:r>
    </w:p>
    <w:p w14:paraId="5F99B07D" w14:textId="77777777" w:rsidR="009F2F79" w:rsidRDefault="001A04A2">
      <w:pPr>
        <w:pStyle w:val="BodyText"/>
      </w:pPr>
      <w:r>
        <w:t>John 14:9 must be read with the dialogue that surrounds it. Jesus does not say, “I am the Father.” He says that whoever has seen him has seen the Father because the Son perfectly reveals the Father. In the same discourse Jesus speaks of going to the Father, asking the Father to send another Helper, loving the Father, and returning to the Father. Revelation of the Father through the Son requires unity of divine nature and perfect representation, not identity of person.</w:t>
      </w:r>
    </w:p>
    <w:p w14:paraId="261494D6" w14:textId="77777777" w:rsidR="009F2F79" w:rsidRDefault="001A04A2">
      <w:pPr>
        <w:pStyle w:val="BodyText"/>
      </w:pPr>
      <w:r>
        <w:t>The same distinction governs John 10:30: “I and the Father are one.” The plural subject—“I and the Father”—rules out one person, while the neuter form of “one” points to unity rather than one masculine person. The hostile response shows that Jesus’ claim reaches far beyond moral agreement, but the grammar does not collapse Jesus into the Father. The verse joins distinction and unity in one sentence.</w:t>
      </w:r>
    </w:p>
    <w:p w14:paraId="7E9E9F05" w14:textId="77777777" w:rsidR="009F2F79" w:rsidRDefault="001A04A2">
      <w:pPr>
        <w:pStyle w:val="BodyText"/>
      </w:pPr>
      <w:r>
        <w:t>Jesus’ prayers cannot be explained as one person speaking internally to himself without doing violence to the text. John 17 presents the Son addressing the Father concerning the glory they shared before the world existed, the mission the Father gave him, and the people the Father entrusted to him. At the cross, the Son offers himself to the Father through the eternal Spirit (Hebrews 9:14). The relations are not temporary dramatic devices created by the incarnation; the incarnation reveals relations that precede creation.</w:t>
      </w:r>
    </w:p>
    <w:p w14:paraId="26477562" w14:textId="77777777" w:rsidR="009F2F79" w:rsidRDefault="001A04A2">
      <w:pPr>
        <w:pStyle w:val="BodyText"/>
      </w:pPr>
      <w:r>
        <w:t>The baptism of Jesus makes the same point visibly. The Son stands in the Jordan, the Spirit descends upon him, and the Father speaks from heaven (Matthew 3:16–17). Omnipresence explains how God can act in more than one place, but it does not explain why Scripture identifies three simultaneous personal agents relating to one another. Matthew 28:19 then joins these same three within one divine name, exactly the pattern Trinitarian doctrine confesses.</w:t>
      </w:r>
    </w:p>
    <w:p w14:paraId="1E6F001A" w14:textId="77777777" w:rsidR="009F2F79" w:rsidRDefault="001A04A2">
      <w:pPr>
        <w:pStyle w:val="BodyText"/>
      </w:pPr>
      <w:r>
        <w:t>Philippians 2:5–11 is equally resistant to modalism. Christ exists in the form of God, humbles himself by taking servant form, becomes obedient, and is exalted by the Father. Obedience does not occur within a solitary person playing two roles; it is the personal act of the incarnate Son toward the Father. Nor does exaltation create the Son’s deity, since the passage begins with his divine status and describes the public vindication of the crucified Messiah.</w:t>
      </w:r>
    </w:p>
    <w:p w14:paraId="2363B492" w14:textId="77777777" w:rsidR="009F2F79" w:rsidRDefault="001A04A2">
      <w:pPr>
        <w:pStyle w:val="BodyText"/>
      </w:pPr>
      <w:r>
        <w:t>Acts 2:38 and baptism in Jesus’ name do not overturn Matthew 28:19. In Acts, “in the name of Jesus Christ” identifies allegiance to Jesus and distinguishes Christian baptism from prior washings or merely receiving John’s baptism. The phrase reports apostolic proclamation and authority; it is not presented as a replacement formula designed to deny the Father and the Spirit. Narrative descriptions in Acts must be interpreted with, not against, Christ’s explicit triune command.</w:t>
      </w:r>
    </w:p>
    <w:p w14:paraId="431317AF" w14:textId="77777777" w:rsidR="009F2F79" w:rsidRDefault="001A04A2">
      <w:pPr>
        <w:pStyle w:val="BodyText"/>
      </w:pPr>
      <w:r>
        <w:t>Modalism therefore preserves a verbal oneness only by losing the Bible’s personal relations. It turns the Father’s love for the Son before the foundation of the world (John 17:24), the Son’s willing obedience, and the Spirit’s testimony into self-reference. The historic doctrine preserves divine unity without treating the biblical drama of revelation and redemption as a sequence of masks.</w:t>
      </w:r>
    </w:p>
    <w:p w14:paraId="4E807BD3" w14:textId="77777777" w:rsidR="009C7F52" w:rsidRDefault="00731002">
      <w:pPr>
        <w:pStyle w:val="Heading2"/>
        <w:pBdr>
          <w:bottom w:val="single" w:sz="10" w:space="8" w:color="A68037"/>
        </w:pBdr>
      </w:pPr>
      <w:bookmarkStart w:id="209" w:name="X8eb020c8b45a4c4c78baf679f4bb0fb02852836"/>
      <w:bookmarkEnd w:id="202"/>
      <w:bookmarkEnd w:id="208"/>
      <w:r>
        <w:t>Chapter 28: Arianism Revisited: Jehovah’s Witnesses</w:t>
      </w:r>
    </w:p>
    <w:p w14:paraId="321B3308" w14:textId="77777777" w:rsidR="009C7F52" w:rsidRDefault="00731002">
      <w:pPr>
        <w:pStyle w:val="FirstParagraph"/>
      </w:pPr>
      <w:r>
        <w:t>Knock on enough doors on a Saturday morning in any American suburb and, sooner or later, two visitors in modest dress will hand you a magazine and ask what you think happens when we die. If the conversation goes on long enough, it will likely turn to a single question: is Jesus Christ God himself, or God’s first and greatest creation? The organization behind those visitors, the Jehovah’s Witnesses, has built one of the most disciplined and numerically significant religious movements in the modern world on the second answer — and on an argument that a fourth-century presbyter named Arius made, and lost, in the city of Alexandria seventeen centuries earlier.</w:t>
      </w:r>
    </w:p>
    <w:p w14:paraId="58818A87" w14:textId="77777777" w:rsidR="009C7F52" w:rsidRDefault="00731002">
      <w:pPr>
        <w:pStyle w:val="Heading3"/>
        <w:pBdr>
          <w:bottom w:val="single" w:sz="4" w:space="5" w:color="C8AE75"/>
        </w:pBdr>
      </w:pPr>
      <w:bookmarkStart w:id="210" w:name="the-ancient-root-arius-and-nicaea"/>
      <w:r>
        <w:t>The Ancient Root: Arius and Nicaea</w:t>
      </w:r>
    </w:p>
    <w:p w14:paraId="7CAC47F6" w14:textId="77777777" w:rsidR="009C7F52" w:rsidRDefault="00731002">
      <w:pPr>
        <w:pStyle w:val="FirstParagraph"/>
      </w:pPr>
      <w:r>
        <w:t>Earlier chapters of this book traced the controversy that Arius ignited in Alexandria around AD 318. His central claim was that the Son, however exalted, is not eternal and not of the same, identical divine substance as the Father; the Son had a beginning — Arius’s own slogan was “there was when he was not” — and was the first and greatest of the Father’s creative works, through whom everything else was subsequently made. The Council of Nicaea in 325 was convened to answer this claim, and it did so by adopting the Greek word ὁμοούσιος (homoousios, “of the same substance/essence”) specifically because every biblical term Arius had used to describe the Son — “only-begotten,” “firstborn,” “image of God” — had proven exploitable toward a lesser, created reading. Nicaea was not inventing a new doctrine under imperial pressure to suppress an older, simpler Christianity; Arius’s own bishop, Alexander of Alexandria, had already examined and condemned the teaching locally before the wider council was even convened.</w:t>
      </w:r>
    </w:p>
    <w:p w14:paraId="7851B049" w14:textId="77777777" w:rsidR="009C7F52" w:rsidRDefault="00731002">
      <w:pPr>
        <w:pStyle w:val="BodyText"/>
      </w:pPr>
      <w:r>
        <w:t xml:space="preserve">The Jehovah’s Witness movement is, structurally, this same Christology, with new institutional machinery and a modern claim to unique prophetic and translational authority. Charles Taze Russell founded the movement that became the Watch Tower Bible and Tract Society, beginning to publish his views in </w:t>
      </w:r>
      <w:r>
        <w:rPr>
          <w:i/>
          <w:iCs/>
        </w:rPr>
        <w:t>Zion’s Watch Tower</w:t>
      </w:r>
      <w:r>
        <w:t xml:space="preserve"> in July 1879. As early as 1881, Russell explicitly rejected the Trinity, asserting it had “not a word of Scripture” behind it, and described the Holy Spirit not as a distinct person but as “the divine mind or influence… exercised everywhere”</w:t>
      </w:r>
      <w:hyperlink w:anchor="cite_288" w:history="1">
        <w:r>
          <w:rPr>
            <w:color w:val="671C2A"/>
            <w:sz w:val="16"/>
            <w:vertAlign w:val="superscript"/>
          </w:rPr>
          <w:t>288</w:t>
        </w:r>
      </w:hyperlink>
      <w:r>
        <w:t xml:space="preserve">. It is worth noting, in fairness, that the organization’s anti-trinitarianism hardened only gradually: some of Russell’s own early associates, including J. H. Paton, affirmed the Spirit’s personhood, and early issues of </w:t>
      </w:r>
      <w:r>
        <w:rPr>
          <w:i/>
          <w:iCs/>
        </w:rPr>
        <w:t>Zion’s Watch Tower</w:t>
      </w:r>
      <w:r>
        <w:t xml:space="preserve"> itself referred to the Spirit as “he” and spoke of “the Divine Three,” showing that the fully systematized doctrine familiar today did not arrive all at once</w:t>
      </w:r>
      <w:hyperlink w:anchor="cite_289" w:history="1">
        <w:r>
          <w:rPr>
            <w:color w:val="671C2A"/>
            <w:sz w:val="16"/>
            <w:vertAlign w:val="superscript"/>
          </w:rPr>
          <w:t>289</w:t>
        </w:r>
      </w:hyperlink>
      <w:r>
        <w:t>. After Russell’s death, Joseph Rutherford consolidated authority over the organization beginning in 1917, the name “Jehovah’s witnesses” was formally adopted for the movement in 1931, and it was under the later leadership of Nathan Knorr and the Governing Body, formally established October 1, 1971, that the doctrine reached its present, fully systematized form</w:t>
      </w:r>
      <w:hyperlink w:anchor="cite_290" w:history="1">
        <w:r>
          <w:rPr>
            <w:color w:val="671C2A"/>
            <w:sz w:val="16"/>
            <w:vertAlign w:val="superscript"/>
          </w:rPr>
          <w:t>290</w:t>
        </w:r>
      </w:hyperlink>
      <w:r>
        <w:t>.</w:t>
      </w:r>
    </w:p>
    <w:p w14:paraId="70E4CD63" w14:textId="77777777" w:rsidR="009C7F52" w:rsidRDefault="00731002">
      <w:pPr>
        <w:pStyle w:val="Heading3"/>
        <w:pBdr>
          <w:bottom w:val="single" w:sz="4" w:space="5" w:color="C8AE75"/>
        </w:pBdr>
      </w:pPr>
      <w:bookmarkStart w:id="211" w:name="X840634034b64c96fe189fd8963f34de0f6607e7"/>
      <w:bookmarkEnd w:id="210"/>
      <w:r>
        <w:t>The Watchtower’s Christology, Stated Fairly</w:t>
      </w:r>
    </w:p>
    <w:p w14:paraId="14A84C53" w14:textId="77777777" w:rsidR="009C7F52" w:rsidRDefault="00731002">
      <w:pPr>
        <w:pStyle w:val="FirstParagraph"/>
      </w:pPr>
      <w:r>
        <w:t>The Jehovah’s Witness position, in its own terms, holds that there is only one true God, Jehovah, who exists as a single divine person. Jesus Christ is Jehovah’s first and greatest creation — identified specifically, in his pre-human existence, with the archangel Michael — and it was through this first-created Son that Jehovah subsequently made everything else. Jesus is called “a god” in a real but subordinate and derivative sense: a “mighty god,” but never “the Almighty God.” After his death, resurrection, and ascension, this teaching holds that Jesus resumed his original angelic identity as Michael. The Holy Spirit, in this system, is not a person at all but Jehovah’s impersonal “active force,” which Witness literature has compared to electricity — a power exercised to accomplish God’s will, not a someone who can be addressed, grieved, or prayed to</w:t>
      </w:r>
      <w:hyperlink w:anchor="cite_291" w:history="1">
        <w:r>
          <w:rPr>
            <w:color w:val="671C2A"/>
            <w:sz w:val="16"/>
            <w:vertAlign w:val="superscript"/>
          </w:rPr>
          <w:t>291</w:t>
        </w:r>
      </w:hyperlink>
      <w:r>
        <w:t>.</w:t>
      </w:r>
    </w:p>
    <w:p w14:paraId="1784BB49" w14:textId="77777777" w:rsidR="009C7F52" w:rsidRDefault="00731002">
      <w:pPr>
        <w:pStyle w:val="BodyText"/>
      </w:pPr>
      <w:r>
        <w:t xml:space="preserve">This system has real appeal, and it is worth understanding why rather than assuming its adherents are simply careless readers of Scripture. It offers a strikingly tidy, hierarchical picture of the universe — one supreme, unrivaled God at the very top, a uniquely exalted first-created Son beneath him, and a graded order of created beings beneath that — which resolves, in a single stroke, the hardest conceptual difficulty in Trinitarian theology: how can three be genuinely, fully God, and yet God be genuinely one? The Witness answer is simple: deny that more than one person is fully, necessarily, eternally God. The movement also arrives with an energetic and organized apologetic built on specific translation choices, most famously the New World Translation’s rendering of John 1:1 as “the Word was </w:t>
      </w:r>
      <w:r>
        <w:rPr>
          <w:i/>
          <w:iCs/>
        </w:rPr>
        <w:t>a</w:t>
      </w:r>
      <w:r>
        <w:t xml:space="preserve"> god,” which gives committed adherents a real sense of scholarly seriousness and textual fidelity, even though that specific translation choice is disputed by the overwhelming majority of professional Greek scholarship outside the organization itself.</w:t>
      </w:r>
    </w:p>
    <w:p w14:paraId="5A119CA9" w14:textId="77777777" w:rsidR="009C7F52" w:rsidRDefault="00731002">
      <w:pPr>
        <w:pStyle w:val="Heading3"/>
        <w:pBdr>
          <w:bottom w:val="single" w:sz="4" w:space="5" w:color="C8AE75"/>
        </w:pBdr>
      </w:pPr>
      <w:bookmarkStart w:id="212" w:name="X34a2c1fc2e4e04645209c432a59eeda11f04a48"/>
      <w:bookmarkEnd w:id="211"/>
      <w:r>
        <w:t>The Textual Argument: John 1:1 and the New World Translation</w:t>
      </w:r>
    </w:p>
    <w:p w14:paraId="70B3E19F" w14:textId="77777777" w:rsidR="009C7F52" w:rsidRDefault="00731002">
      <w:pPr>
        <w:pStyle w:val="FirstParagraph"/>
      </w:pPr>
      <w:r>
        <w:t>The Greek clause in question is καὶ θεὸς ἦν ὁ λόγος (kai theos ēn ho logos, “and the Word was God,” or more literally, “and God was the Word”)</w:t>
      </w:r>
      <w:hyperlink w:anchor="cite_292" w:history="1">
        <w:r>
          <w:rPr>
            <w:color w:val="671C2A"/>
            <w:sz w:val="16"/>
            <w:vertAlign w:val="superscript"/>
          </w:rPr>
          <w:t>292</w:t>
        </w:r>
      </w:hyperlink>
      <w:r>
        <w:t>. The word order is significant: ὁ λόγος (ho logos, “the Word”), carrying the definite article ὁ (ho, “the”), is the grammatical subject, and θεός (theos, “God”), without the article, functions as the predicate noun placed before the verb ἦν (ēn, “was”). The New World Translation argues that the missing article makes θεός (theos) indefinite — “a god” — a distinct, lesser category from ὁ θεός (ho theos, “the God”), the one true God named earlier in the same verse.</w:t>
      </w:r>
    </w:p>
    <w:p w14:paraId="3FE395FC" w14:textId="77777777" w:rsidR="009C7F52" w:rsidRDefault="00731002">
      <w:pPr>
        <w:pStyle w:val="BodyText"/>
      </w:pPr>
      <w:r>
        <w:t xml:space="preserve">This argument runs into a well-documented feature of Greek grammar that the field calls Colwell’s Rule, after the scholar E. C. Colwell, who demonstrated in a landmark 1933 study that predicate nouns placed </w:t>
      </w:r>
      <w:r>
        <w:rPr>
          <w:i/>
          <w:iCs/>
        </w:rPr>
        <w:t>before</w:t>
      </w:r>
      <w:r>
        <w:t xml:space="preserve"> the verb in Greek very commonly drop the definite article for purely grammatical reasons that have nothing to do with indefiniteness. Colwell’s own conclusion, still cited in the standard grammatical literature, was direct: “predicate nouns preceding the verb cannot be regarded as indefinite or qualitative simply because they lack the article; it could be regarded as indefinite or qualitative only if this is demanded by the context and in the case of John 1:1c this is not so”</w:t>
      </w:r>
      <w:hyperlink w:anchor="cite_293" w:history="1">
        <w:r>
          <w:rPr>
            <w:color w:val="671C2A"/>
            <w:sz w:val="16"/>
            <w:vertAlign w:val="superscript"/>
          </w:rPr>
          <w:t>293</w:t>
        </w:r>
      </w:hyperlink>
      <w:r>
        <w:t>. A substantial roster of Greek scholars, writing across confessional lines and without any stake in the Trinitarian controversy, agree that the traditional reading — “the Word was God” — is correct. The Greek grammarian A. T. Robertson stated flatly that “the meaning has to be the Logos was God, not God was the Logos,” and the New Testament scholar C. K. Barrett explained the anarthrous construction’s actual function: “The absence of the article indicates that the Word is God, but is not the only being of whom this is true; if ὁ θεός (ho theos) had been written it would have implied that no divine being existed outside the second person of the Trinity”</w:t>
      </w:r>
      <w:hyperlink w:anchor="cite_294" w:history="1">
        <w:r>
          <w:rPr>
            <w:color w:val="671C2A"/>
            <w:sz w:val="16"/>
            <w:vertAlign w:val="superscript"/>
          </w:rPr>
          <w:t>294</w:t>
        </w:r>
      </w:hyperlink>
      <w:r>
        <w:t xml:space="preserve">. In other words, the grammar of John 1:1 is doing exactly the work the doctrine of the Trinity requires: distinguishing the Word from the Father (“the Word was </w:t>
      </w:r>
      <w:r>
        <w:rPr>
          <w:i/>
          <w:iCs/>
        </w:rPr>
        <w:t>with</w:t>
      </w:r>
      <w:r>
        <w:t xml:space="preserve"> God,” πρὸς τὸν θεόν, pros ton theon, “with/toward God”) while affirming that the Word fully possesses the nature named “God” (θεὸς ἦν ὁ λόγος, theos ēn ho logos, “the Word was God”) — without collapsing the two into strict identity, which would be modalism, and without demoting the Word to a lesser category of deity, which is what the New World Translation’s rendering does.</w:t>
      </w:r>
    </w:p>
    <w:p w14:paraId="18FDBCBD" w14:textId="77777777" w:rsidR="009C7F52" w:rsidRDefault="00731002">
      <w:pPr>
        <w:pStyle w:val="BodyText"/>
      </w:pPr>
      <w:r>
        <w:t>The wider context settles the question independently of the grammar. John 1:3 says “all things were made through him, and without him was not any thing made that was made.” A created being cannot be the agent through whom all created things, without a single exception, come into existence; the sentence becomes self-contradictory the instant the Word is placed among the things that were made. Colossians 1:16-17 makes the identical point from a different apostolic pen, and does so with a phrase that directly targets the “first creation” claim: “For by him all things were created… he is before all things, and in him all things hold together.” If Christ himself were the first thing Jehovah created, Paul’s own sentence would have to include Christ among the “all things” that Christ creates — which cannot be true of the one doing the creating.</w:t>
      </w:r>
    </w:p>
    <w:p w14:paraId="593E707B" w14:textId="77777777" w:rsidR="009C7F52" w:rsidRDefault="00731002">
      <w:pPr>
        <w:pStyle w:val="Heading3"/>
        <w:pBdr>
          <w:bottom w:val="single" w:sz="4" w:space="5" w:color="C8AE75"/>
        </w:pBdr>
      </w:pPr>
      <w:bookmarkStart w:id="213" w:name="Xd26679c36ae948ee8ac6049a060794af138e60e"/>
      <w:bookmarkEnd w:id="212"/>
      <w:r>
        <w:t>A Pattern, Not an Isolated Choice: Colossians 1:16-17</w:t>
      </w:r>
    </w:p>
    <w:p w14:paraId="4B6E0602" w14:textId="77777777" w:rsidR="009C7F52" w:rsidRDefault="00731002">
      <w:pPr>
        <w:pStyle w:val="FirstParagraph"/>
      </w:pPr>
      <w:r>
        <w:t>The John 1:1 rendering is not an isolated translation puzzle; it is one instance of a consistent pattern in the New World Translation, and the pattern becomes visible the moment two or three examples are set side by side. Colossians 1:16-17 in most standard translations reads, “For by him all things were created… and in him all things hold together” (English Standard Version) — a sweeping, unqualified claim that Christ stands outside the category of created things altogether, since the text names him as the one through whom the whole category exists. The New World Translation renders the same two verses: “by means of him all [other] things were created,” and, “he is before all [other] things,” inserting the bracketed word “other” four times across the passage where the underlying Greek text contains no corresponding word at all</w:t>
      </w:r>
      <w:hyperlink w:anchor="cite_295" w:history="1">
        <w:r>
          <w:rPr>
            <w:color w:val="671C2A"/>
            <w:sz w:val="16"/>
            <w:vertAlign w:val="superscript"/>
          </w:rPr>
          <w:t>295</w:t>
        </w:r>
      </w:hyperlink>
      <w:r>
        <w:t>. The Greek word in question is πάντα (panta, “all things”), an unqualified plural that Paul uses four times in these two verses without ever attaching a Greek word meaning “other” (ἄλλος, allos) to any of them; the brackets in the New World Translation’s own printed text are, in effect, an admission that the word is supplied by the translators rather than found in Paul’s Greek</w:t>
      </w:r>
      <w:hyperlink w:anchor="cite_296" w:history="1">
        <w:r>
          <w:rPr>
            <w:color w:val="671C2A"/>
            <w:sz w:val="16"/>
            <w:vertAlign w:val="superscript"/>
          </w:rPr>
          <w:t>296</w:t>
        </w:r>
      </w:hyperlink>
      <w:r>
        <w:t>. The motive for the insertion is transparent once the wider Watchtower Christology is in view: if Colossians 1:16 is allowed to stand exactly as Paul wrote it, with no qualifying word, then Christ has created every single created thing without exception, which would make him a member of no created category at all, and there would be nothing left of the “first and greatest creation” reading of Christ to protect. Adding “other” four times quietly moves Christ back into the class of created things, exactly opposite to what Paul’s actual sentence, left alone, requires.</w:t>
      </w:r>
    </w:p>
    <w:p w14:paraId="56E96712" w14:textId="77777777" w:rsidR="009C7F52" w:rsidRDefault="00731002">
      <w:pPr>
        <w:pStyle w:val="Heading3"/>
        <w:pBdr>
          <w:bottom w:val="single" w:sz="4" w:space="5" w:color="C8AE75"/>
        </w:pBdr>
      </w:pPr>
      <w:bookmarkStart w:id="214" w:name="Xc99515a82d856a6ab2461996722f7c08633b642"/>
      <w:bookmarkEnd w:id="213"/>
      <w:r>
        <w:t>Michael the Archangel and the Witness of Hebrews</w:t>
      </w:r>
    </w:p>
    <w:p w14:paraId="53241067" w14:textId="77777777" w:rsidR="009C7F52" w:rsidRDefault="00731002">
      <w:pPr>
        <w:pStyle w:val="FirstParagraph"/>
      </w:pPr>
      <w:r>
        <w:t>The identification of Christ with the archangel Michael fares no better under scrutiny, and the biblical data actively resists the equation rather than merely failing to support it. The opening chapter of Hebrews stages an extended, deliberate contrast between the Son and the angels as two categorically different kinds of being: “For to which of the angels did God ever say, ‘You are my Son, today I have begotten you’?” (Hebrews 1:5), and then, decisively, “Let all God’s angels worship him” (Hebrews 1:6) — a command that would be either blasphemous or simply nonsensical if the Son himself were merely the chief angel receiving the worship of his own subordinates as some kind of self-address among equals. First Thessalonians 4:16, a text Witness literature has sometimes cited in its own favor, in fact distinguishes Christ from the archangel rather than identifying the two: “the Lord himself will descend from heaven with a cry of command, with the voice of an archangel, and with the sound of the trumpet of God.” The Lord’s own arrival is likened to, and thereby distinguished from, the herald’s voice of an archangel who announces him — exactly as a king’s arrival is announced by a herald who is not himself the king</w:t>
      </w:r>
      <w:hyperlink w:anchor="cite_297" w:history="1">
        <w:r>
          <w:rPr>
            <w:color w:val="671C2A"/>
            <w:sz w:val="16"/>
            <w:vertAlign w:val="superscript"/>
          </w:rPr>
          <w:t>297</w:t>
        </w:r>
      </w:hyperlink>
      <w:r>
        <w:t>.</w:t>
      </w:r>
    </w:p>
    <w:p w14:paraId="29962AB8" w14:textId="77777777" w:rsidR="009C7F52" w:rsidRDefault="00731002">
      <w:pPr>
        <w:pStyle w:val="BodyText"/>
      </w:pPr>
      <w:r>
        <w:t>Hebrews 1:8 closes this line of argument decisively, because it records not a human writer’s inference but the Father’s own recorded speech. Quoting Psalm 45:6, the author of Hebrews has God the Father directly address the Son: ὁ θρόνος σου ὁ θεός εἰς τὸν αἰῶνα τοῦ αἰῶνος (ho thronos sou ho theos eis ton aiōna tou aiōnos, “your throne, O God, is forever and ever”)</w:t>
      </w:r>
      <w:hyperlink w:anchor="cite_298" w:history="1">
        <w:r>
          <w:rPr>
            <w:color w:val="671C2A"/>
            <w:sz w:val="16"/>
            <w:vertAlign w:val="superscript"/>
          </w:rPr>
          <w:t>298</w:t>
        </w:r>
      </w:hyperlink>
      <w:r>
        <w:t>. This is precisely the verse the Arian and Jehovah’s Witness systems most need to neutralize, and the New World Translation neutralizes it by a different method than it uses at John 1:1: rather than adjusting the article, it shifts the grammar of address, rendering the line “God is your throne forever and ever,” so that ὁ θεός (ho theos) becomes the subject of a new sentence describing God as the Son’s throne, rather than a vocative title the Father applies directly to the Son</w:t>
      </w:r>
      <w:hyperlink w:anchor="cite_299" w:history="1">
        <w:r>
          <w:rPr>
            <w:color w:val="671C2A"/>
            <w:sz w:val="16"/>
            <w:vertAlign w:val="superscript"/>
          </w:rPr>
          <w:t>299</w:t>
        </w:r>
      </w:hyperlink>
      <w:r>
        <w:t>. The Watchtower’s own study notes concede that “the Greek text allows for the rendering found in many translations: ‘Your throne, O God, is forever’” before explaining why the organization prefers the alternative</w:t>
      </w:r>
      <w:hyperlink w:anchor="cite_300" w:history="1">
        <w:r>
          <w:rPr>
            <w:color w:val="671C2A"/>
            <w:sz w:val="16"/>
            <w:vertAlign w:val="superscript"/>
          </w:rPr>
          <w:t>300</w:t>
        </w:r>
      </w:hyperlink>
      <w:r>
        <w:t xml:space="preserve"> — an admission that the ordinary, most natural reading of the Greek is the one nearly every other translation retains, and that the Watchtower’s rendering is a theologically motivated departure from it rather than a plain requirement of the grammar. Taken on its own natural terms, the verse has the Father himself calling the Son “God,” without qualification, in eternal and enthroned terms, in the very letter most concerned with establishing the Son’s superiority to angels. Finally, Thomas’s confession at the empty tomb closes the case as it closed the case against ancient adoptionism and Arianism alike: “My Lord and my God!” (John 20:28) is met, not with correction, but with commendation from Jesus in the very next verse. The same Gospel that opens by declaring “the Word was God” ends with a disciple’s worship of the risen Christ as God — worship Jesus does not refuse.</w:t>
      </w:r>
    </w:p>
    <w:p w14:paraId="00F18C85" w14:textId="77777777" w:rsidR="009C7F52" w:rsidRDefault="00731002">
      <w:pPr>
        <w:pStyle w:val="Heading3"/>
        <w:pBdr>
          <w:bottom w:val="single" w:sz="4" w:space="5" w:color="C8AE75"/>
        </w:pBdr>
      </w:pPr>
      <w:bookmarkStart w:id="215" w:name="X94e5f782c8d63353d1c11db5fbb3af0490e5f85"/>
      <w:bookmarkEnd w:id="214"/>
      <w:r>
        <w:t>How the Church Has Answered, and Why It Matters</w:t>
      </w:r>
    </w:p>
    <w:p w14:paraId="4DA87C38" w14:textId="77777777" w:rsidR="009C7F52" w:rsidRDefault="00731002">
      <w:pPr>
        <w:pStyle w:val="FirstParagraph"/>
      </w:pPr>
      <w:r>
        <w:t xml:space="preserve">Because the Jehovah’s Witness movement arose entirely outside historic denominational and conciliar structures, there was no ecumenical council available to name and answer it the way Nicaea named and answered Arius. The church’s answer has instead come through the twentieth-century evangelical apologetics movement. Walter Martin’s 1965 book </w:t>
      </w:r>
      <w:r>
        <w:rPr>
          <w:i/>
          <w:iCs/>
        </w:rPr>
        <w:t>The Kingdom of the Cults</w:t>
      </w:r>
      <w:r>
        <w:t xml:space="preserve"> became the standard reference identifying Watchtower theology as a modern revival of ancient Arianism, and organizations such as the Christian Research Institute and the Institute for Religious Research have since produced detailed, verse-by-verse responses to the Watchtower Society’s specific proof texts and translation choices</w:t>
      </w:r>
      <w:hyperlink w:anchor="cite_301" w:history="1">
        <w:r>
          <w:rPr>
            <w:color w:val="671C2A"/>
            <w:sz w:val="16"/>
            <w:vertAlign w:val="superscript"/>
          </w:rPr>
          <w:t>301</w:t>
        </w:r>
      </w:hyperlink>
      <w:r>
        <w:t>.</w:t>
      </w:r>
    </w:p>
    <w:p w14:paraId="53B24922" w14:textId="77777777" w:rsidR="009C7F52" w:rsidRDefault="00731002">
      <w:pPr>
        <w:pStyle w:val="BodyText"/>
      </w:pPr>
      <w:r>
        <w:t>The stakes here are not merely academic. If Jesus is “a god” in a secondary, created sense — however mighty, however first among all created things — then the one who died for human sin is, in the final analysis, a creature, and no creature’s suffering, however great that creature may be, can bear an infinite weight of guilt or satisfy the justice of an infinite God. Isaiah’s repeated, exclusive divine self-description — “I am the LORD, and there is no other; besides me there is no God… Before me no god was formed, nor shall there be any after me” (Isaiah 45:5; 43:10) — leaves no room for the graded category of “a god” that the whole Watchtower system depends on. Whether the one who died for you is God himself, taking on human nature to bear the debt personally, or merely God’s first and best creation, bearing it on humanity’s behalf, is not a peripheral detail. It changes whether the debt could actually be paid.</w:t>
      </w:r>
    </w:p>
    <w:p w14:paraId="79AC8C04" w14:textId="77777777" w:rsidR="009C7F52" w:rsidRDefault="007D6CCB">
      <w:r>
        <w:rPr>
          <w:noProof/>
        </w:rPr>
      </w:r>
      <w:r w:rsidR="007D6CCB">
        <w:rPr>
          <w:noProof/>
        </w:rPr>
        <w:pict w14:anchorId="07A2F331">
          <v:rect id="_x0000_i1038" style="width:0;height:1.5pt" o:hralign="center" o:hrstd="t" o:hr="t"/>
        </w:pict>
      </w:r>
    </w:p>
    <w:p w14:paraId="6B848085" w14:textId="77777777" w:rsidR="009F2F79" w:rsidRDefault="001A04A2">
      <w:pPr>
        <w:pStyle w:val="Heading3"/>
      </w:pPr>
      <w:r>
        <w:t>Answering Arian and Unitarian Objections</w:t>
      </w:r>
    </w:p>
    <w:p w14:paraId="55434CF3" w14:textId="77777777" w:rsidR="009F2F79" w:rsidRDefault="001A04A2">
      <w:pPr>
        <w:pStyle w:val="FirstParagraph"/>
      </w:pPr>
      <w:r>
        <w:t>John 17:3 calls the Father “the only true God,” but the statement does not exclude the Son from the divine identity. In the same prayer Jesus claims preexistent glory with the Father (John 17:5), speaks as the one sent from heaven, and places eternal life in knowing both the Father and Jesus Christ. John’s Gospel has already called the Word God (John 1:1), presented him as creator (John 1:3), and will climax with Thomas’s confession (John 20:28). “Only true God” excludes idols and false gods; it does not cancel John’s sustained identification of the Son as divine.</w:t>
      </w:r>
    </w:p>
    <w:p w14:paraId="11EBF001" w14:textId="77777777" w:rsidR="009F2F79" w:rsidRDefault="001A04A2">
      <w:pPr>
        <w:pStyle w:val="BodyText"/>
      </w:pPr>
      <w:r>
        <w:t>John 14:28—“the Father is greater than I”—concerns the Son’s incarnate mission and humbled condition, not a lesser divine nature. The Son has taken servant form, lives in obedience, and is returning to the Father’s unveiled glory. The same Gospel records the Son’s equality with God as the reason his opponents seek his death (John 5:18) and the shared glory he possessed before creation (John 17:5). Functional submission in redemption does not establish ontological inferiority.</w:t>
      </w:r>
    </w:p>
    <w:p w14:paraId="23631528" w14:textId="77777777" w:rsidR="009F2F79" w:rsidRDefault="001A04A2">
      <w:pPr>
        <w:pStyle w:val="BodyText"/>
      </w:pPr>
      <w:r>
        <w:t>The Son’s statement that he does not know the day or hour (Mark 13:32) must likewise be read within the incarnation. Historic Christology does not deny Christ a true human mind or a genuine human mode of knowing. The eternal Son assumed complete humanity and lived within the servant’s vocation, speaking from that humbled messianic office. One difficult statement about the incarnate economy cannot erase the texts that attribute creation, providence, divine glory, and worship to him.</w:t>
      </w:r>
    </w:p>
    <w:p w14:paraId="2B2F5B40" w14:textId="77777777" w:rsidR="009F2F79" w:rsidRDefault="001A04A2">
      <w:pPr>
        <w:pStyle w:val="BodyText"/>
      </w:pPr>
      <w:r>
        <w:t>“Firstborn of all creation” in Colossians 1:15 does not mean “first created.” In biblical usage firstborn can denote rank, inheritance, and supremacy, as when Psalm 89:27 calls David the firstborn and highest of the kings of the earth despite his not being Jesse’s first son. Paul explains his meaning in the next breath: Christ is firstborn because all things were created in him, through him, and for him; he is before all things; and all things hold together in him. The Creator and sovereign heir of the entire created order is not one member of that order.</w:t>
      </w:r>
    </w:p>
    <w:p w14:paraId="52CC772C" w14:textId="77777777" w:rsidR="009F2F79" w:rsidRDefault="001A04A2">
      <w:pPr>
        <w:pStyle w:val="BodyText"/>
      </w:pPr>
      <w:r>
        <w:t>Hebrews 1 excludes identification of the Son with Michael or any angel. God never said to an angel, “You are my Son” in the unique sense applied here, commands all the angels to worship the Son, addresses the Son as God, and applies to him the Psalm 102 description of Yahweh as unchanging Creator. The chapter’s argument depends on a categorical distinction between the Son and the angels, not merely a difference of rank within the angelic order.</w:t>
      </w:r>
    </w:p>
    <w:p w14:paraId="0904B36C" w14:textId="77777777" w:rsidR="009F2F79" w:rsidRDefault="001A04A2">
      <w:pPr>
        <w:pStyle w:val="BodyText"/>
      </w:pPr>
      <w:r>
        <w:t>The New Testament’s use of Yahweh texts also answers the claim that Jesus is merely an exalted agent. An authorized messenger may speak for a king, but the apostles do more than assign Jesus a delegated task. They apply to him worship and confession reserved for Yahweh (Philippians 2:10–11; Isaiah 45:23), identify him with the Lord seen in Isaiah’s glory (John 12:41; Isaiah 6), command believers to sanctify Christ as the Lord whom Isaiah says must be feared (1 Peter 3:15; Isaiah 8:12–13), and describe him with the Creator’s eternal attributes (Hebrews 1:10–12; Psalm 102:25–27). Agency alone cannot absorb that cumulative identification.</w:t>
      </w:r>
    </w:p>
    <w:p w14:paraId="1463E0F2" w14:textId="77777777" w:rsidR="009F2F79" w:rsidRDefault="001A04A2">
      <w:pPr>
        <w:pStyle w:val="BodyText"/>
      </w:pPr>
      <w:r>
        <w:t>Finally, the direct confessions remain. Thomas calls Jesus “my Lord and my God” (John 20:28); Paul calls him “our great God and Savior” (Titus 2:13) and speaks of the Messiah as God over all (Romans 9:5); Peter writes of “our God and Savior Jesus Christ” (2 Peter 1:1). Individual grammatical questions should be discussed honestly, but an interpretation that must weaken every text separately has failed to explain the pattern they form together.</w:t>
      </w:r>
    </w:p>
    <w:p w14:paraId="56B96BEB" w14:textId="77777777" w:rsidR="009C7F52" w:rsidRDefault="00731002">
      <w:pPr>
        <w:pStyle w:val="Heading2"/>
        <w:pBdr>
          <w:bottom w:val="single" w:sz="10" w:space="8" w:color="A68037"/>
        </w:pBdr>
      </w:pPr>
      <w:bookmarkStart w:id="216" w:name="X497794677a0ca05ec3ea8d57a6ddf89eb807903"/>
      <w:bookmarkEnd w:id="209"/>
      <w:bookmarkEnd w:id="215"/>
      <w:r>
        <w:t>Chapter 29: Tritheism Revisited: Mormonism and the LDS Godhead</w:t>
      </w:r>
    </w:p>
    <w:p w14:paraId="226E0591" w14:textId="77777777" w:rsidR="009C7F52" w:rsidRDefault="00731002">
      <w:pPr>
        <w:pStyle w:val="FirstParagraph"/>
      </w:pPr>
      <w:r>
        <w:t xml:space="preserve">A young man in a white shirt and tie knocks on your door and, within a few minutes of conversation, says something that sounds, on first hearing, remarkably close to historic Christian language: “We believe in God the Father, his Son Jesus Christ, and the Holy Ghost.” It is easy to assume the conversation has confirmed common ground. It has not — not yet — because the missionary’s next sentence will reveal a difference that runs to the very foundation of what “one God” means, and it is a difference the ancient church already had a name for: not Arianism, and not modalism, but </w:t>
      </w:r>
      <w:r>
        <w:rPr>
          <w:i/>
          <w:iCs/>
        </w:rPr>
        <w:t>tritheism</w:t>
      </w:r>
      <w:r>
        <w:t xml:space="preserve"> — belief in several genuinely separate gods, however unified in purpose they may be.</w:t>
      </w:r>
    </w:p>
    <w:p w14:paraId="71D8546E" w14:textId="77777777" w:rsidR="009C7F52" w:rsidRDefault="00731002">
      <w:pPr>
        <w:pStyle w:val="Heading3"/>
        <w:pBdr>
          <w:bottom w:val="single" w:sz="4" w:space="5" w:color="C8AE75"/>
        </w:pBdr>
      </w:pPr>
      <w:bookmarkStart w:id="217" w:name="X76c18e3d4395b3af37fb9534a2cc7ebb4525cb8"/>
      <w:r>
        <w:t>The Ancient Root: Tritheism and John Philoponus</w:t>
      </w:r>
    </w:p>
    <w:p w14:paraId="132BE81D" w14:textId="77777777" w:rsidR="009C7F52" w:rsidRDefault="00731002">
      <w:pPr>
        <w:pStyle w:val="FirstParagraph"/>
      </w:pPr>
      <w:r>
        <w:t>Earlier chapters of this book traced tritheism as one of the ancient church’s recurring errors — the tendency, in trying to honor the full and equal deity of Father, Son, and Spirit, to end up describing three separate divine beings rather than one undivided divine essence shared by three persons. The clearest ancient case study is a sixth-century Alexandrian philosopher named John Philoponus, who, working through a different Christological controversy using Aristotelian logic, argued that calling Father, Son, and Spirit one “nature” must mean three individual instances of that nature loosely resembling one another — the way three individual men each possess their own separate instance of a shared human nature. This reasoning was condemned at a Synod of Alexandria in 616, and the same underlying concern recurred at the Third Council of Constantinople and was addressed again as late as the Fourth Lateran Council in 1215 — evidence that the church regarded this as a live, recurring, and serious error, not a strawman invented to have something to argue against.</w:t>
      </w:r>
    </w:p>
    <w:p w14:paraId="16746672" w14:textId="77777777" w:rsidR="009C7F52" w:rsidRDefault="00731002">
      <w:pPr>
        <w:pStyle w:val="BodyText"/>
      </w:pPr>
      <w:r>
        <w:t>Mormonism, formally the Church of Jesus Christ of Latter-day Saints, arrived at a structurally similar position roughly fourteen centuries later, by an entirely different historical route, and built it into a global religious tradition with tens of millions of adherents.</w:t>
      </w:r>
    </w:p>
    <w:p w14:paraId="0A8AE8F3" w14:textId="77777777" w:rsidR="009C7F52" w:rsidRDefault="00731002">
      <w:pPr>
        <w:pStyle w:val="Heading3"/>
        <w:pBdr>
          <w:bottom w:val="single" w:sz="4" w:space="5" w:color="C8AE75"/>
        </w:pBdr>
      </w:pPr>
      <w:bookmarkStart w:id="218" w:name="the-lds-godhead-stated-in-its-own-terms"/>
      <w:bookmarkEnd w:id="217"/>
      <w:r>
        <w:t>The LDS Godhead, Stated in Its Own Terms</w:t>
      </w:r>
    </w:p>
    <w:p w14:paraId="0E177B56" w14:textId="77777777" w:rsidR="009C7F52" w:rsidRDefault="00731002">
      <w:pPr>
        <w:pStyle w:val="FirstParagraph"/>
      </w:pPr>
      <w:r>
        <w:t>Latter-day Saint theology teaches that the Godhead consists of three wholly distinct, separate beings: God the Father (called Elohim, or “Heavenly Father”), Jesus Christ (identified with the Old Testament Jehovah, understood as the Father’s literal firstborn spirit son), and the Holy Ghost. These three are united in purpose, will, and glory — but not, on LDS teaching, in a single, numerically shared divine essence or substance. The Father and the Son, in this system, each possess perfected, glorified physical bodies of flesh and bone; only the Holy Ghost remains an incorporeal spirit personage</w:t>
      </w:r>
      <w:hyperlink w:anchor="cite_302" w:history="1">
        <w:r>
          <w:rPr>
            <w:color w:val="671C2A"/>
            <w:sz w:val="16"/>
            <w:vertAlign w:val="superscript"/>
          </w:rPr>
          <w:t>302</w:t>
        </w:r>
      </w:hyperlink>
      <w:r>
        <w:t>.</w:t>
      </w:r>
    </w:p>
    <w:p w14:paraId="35E3498A" w14:textId="77777777" w:rsidR="009C7F52" w:rsidRDefault="00731002">
      <w:pPr>
        <w:pStyle w:val="BodyText"/>
      </w:pPr>
      <w:r>
        <w:t>Beyond the Godhead itself, Latter-day Saint theology teaches a doctrine of eternal progression: God the Father was once a man who progressed to exaltation and full godhood, and faithful humans may likewise progress, across an unimaginably long span, toward becoming gods themselves. The doctrine is popularly summarized in a couplet attributed to the LDS leader Lorenzo Snow: “As man now is, God once was; as God now is, man may be”</w:t>
      </w:r>
      <w:hyperlink w:anchor="cite_303" w:history="1">
        <w:r>
          <w:rPr>
            <w:color w:val="671C2A"/>
            <w:sz w:val="16"/>
            <w:vertAlign w:val="superscript"/>
          </w:rPr>
          <w:t>303</w:t>
        </w:r>
      </w:hyperlink>
      <w:r>
        <w:t>. This teaching should be understood, in fairness, as flowing from a coherent and deeply felt theological instinct: a desire to affirm the most exalted possible destiny for redeemed humanity and the most relational, approachable, embodied picture of Heavenly Father that its adherents can imagine. It is not casual or careless theology; it is a fully worked-out system with its own internal logic.</w:t>
      </w:r>
    </w:p>
    <w:p w14:paraId="6B890EEB" w14:textId="77777777" w:rsidR="009C7F52" w:rsidRDefault="00731002">
      <w:pPr>
        <w:pStyle w:val="BodyText"/>
      </w:pPr>
      <w:r>
        <w:t>Joseph Smith’s teaching on the Godhead developed visibly across his own lifetime rather than arriving complete at the outset. His earliest accounts of the 1820 “First Vision,” according to some scholars, used language closer to conventional Protestant theophany, but his 1838 published account already describes seeing “two personages,” the Father and the Son, and by 1843 he was teaching that the Father and the Son have distinct physical bodies while the Holy Spirit remains an incorporeal “personage”</w:t>
      </w:r>
      <w:hyperlink w:anchor="cite_304" w:history="1">
        <w:r>
          <w:rPr>
            <w:color w:val="671C2A"/>
            <w:sz w:val="16"/>
            <w:vertAlign w:val="superscript"/>
          </w:rPr>
          <w:t>304</w:t>
        </w:r>
      </w:hyperlink>
      <w:r>
        <w:t>. His fullest statement came near the end of his life: “I have always declared God to be a distinct personage, Jesus Christ a separate and distinct personage from God the Father, and that the Holy Ghost was a distinct personage and a Spirit: and these three constitute three distinct personages and three Gods”</w:t>
      </w:r>
      <w:hyperlink w:anchor="cite_305" w:history="1">
        <w:r>
          <w:rPr>
            <w:color w:val="671C2A"/>
            <w:sz w:val="16"/>
            <w:vertAlign w:val="superscript"/>
          </w:rPr>
          <w:t>305</w:t>
        </w:r>
      </w:hyperlink>
      <w:r>
        <w:t>. Later apostolic teaching made the plurality still more explicit. The LDS apostle Bruce R. McConkie wrote in 1966: “Three separate personages – Father, Son, and Holy Ghost – comprise the Godhead. As each of these persons is a God, it is evident, from this standpoint alone, that a plurality of Gods exists… in addition there is an infinite number of holy personages, drawn from worlds without number, who have passed on to exaltation and are thus gods”</w:t>
      </w:r>
      <w:hyperlink w:anchor="cite_306" w:history="1">
        <w:r>
          <w:rPr>
            <w:color w:val="671C2A"/>
            <w:sz w:val="16"/>
            <w:vertAlign w:val="superscript"/>
          </w:rPr>
          <w:t>306</w:t>
        </w:r>
      </w:hyperlink>
      <w:r>
        <w:t>.</w:t>
      </w:r>
    </w:p>
    <w:p w14:paraId="040E3AC5" w14:textId="77777777" w:rsidR="009C7F52" w:rsidRDefault="00731002">
      <w:pPr>
        <w:pStyle w:val="Heading3"/>
        <w:pBdr>
          <w:bottom w:val="single" w:sz="4" w:space="5" w:color="C8AE75"/>
        </w:pBdr>
      </w:pPr>
      <w:bookmarkStart w:id="219" w:name="X089316aa412e63dd77206bba77643f5ce59d96f"/>
      <w:bookmarkEnd w:id="218"/>
      <w:r>
        <w:t>Naming the Difference Precisely: Three Beings, Not Three Persons in One Being</w:t>
      </w:r>
    </w:p>
    <w:p w14:paraId="30F15289" w14:textId="77777777" w:rsidR="009C7F52" w:rsidRDefault="00731002">
      <w:pPr>
        <w:pStyle w:val="FirstParagraph"/>
      </w:pPr>
      <w:r>
        <w:t>Here is the distinction that must be stated with total clarity, because it is easy for a listener unfamiliar with the technical vocabulary to miss: historic Trinitarian orthodoxy does not teach that Father, Son, and Spirit are three separate beings who happen to cooperate perfectly. It teaches that they are three persons within one being — one undivided divine essence, possessed completely and equally by each of the three. The LDS Godhead, by contrast, describes three separate beings, each with his own distinct nature, individually embodied (in the case of the Father and Son), united only by shared will and purpose — the way a strong family might be perfectly united in love and intention while still consisting of three separate people with three separate bodies and three separate minds.</w:t>
      </w:r>
    </w:p>
    <w:p w14:paraId="34F829BD" w14:textId="77777777" w:rsidR="009C7F52" w:rsidRDefault="00731002">
      <w:pPr>
        <w:pStyle w:val="BodyText"/>
      </w:pPr>
      <w:r>
        <w:t>This is precisely the distinction ancient tritheism collapsed, and it matters enormously, because “unity of purpose between separate beings” and “unity of essence within one being” are two entirely different claims, however similar they sound in casual conversation. LDS apologetic literature sometimes appeals to John 17:11, where Jesus prays that his disciples “may be one, even as we are one,” arguing that if the Father and Son can be “one” the way believers can be “one” — a unity of relationship and purpose among separate individuals — that is precedent for exactly the LDS model. But this reading cannot survive its own immediate context. A few verses earlier in the very same prayer, Jesus asks the Father to “glorify me in your own presence with the glory that I had with you before the world existed” (John 17:5) — a request to share an eternal, uncreated glory that had already belonged to both Father and Son together before creation existed at all. Mere unity of purpose between two separate, independently existing beings does not produce shared, eternal glory that predates the universe; that requires something closer than partnership. And one chapter earlier, when Jesus says ἐγὼ καὶ ὁ Πατὴρ ἕν ἐσμεν (egō kai ho Patēr hen esmen, “I and the Father are one,” John 10:30)</w:t>
      </w:r>
      <w:hyperlink w:anchor="cite_307" w:history="1">
        <w:r>
          <w:rPr>
            <w:color w:val="671C2A"/>
            <w:sz w:val="16"/>
            <w:vertAlign w:val="superscript"/>
          </w:rPr>
          <w:t>307</w:t>
        </w:r>
      </w:hyperlink>
      <w:r>
        <w:t>, the Greek word for “one” is ἕν (hen), the neuter form meaning “one thing” or “one essence” — not the masculine εἷς (heis), which would indicate one person, but also not language that fits comfortably with “two separately natured beings in agreement.” The crowd’s own violent reaction confirms this: “the Jews picked up stones to stone him,” accusing him, “being a man,” of “making himself God” (John 10:31, 33) — a response that fits a claim to share the Father’s own singular deity, not a modest claim to be in agreement with a separate divine being.</w:t>
      </w:r>
    </w:p>
    <w:p w14:paraId="2F65F494" w14:textId="77777777" w:rsidR="009C7F52" w:rsidRDefault="00731002">
      <w:pPr>
        <w:pStyle w:val="Heading3"/>
        <w:pBdr>
          <w:bottom w:val="single" w:sz="4" w:space="5" w:color="C8AE75"/>
        </w:pBdr>
      </w:pPr>
      <w:bookmarkStart w:id="220" w:name="Xb633da746517b32cdcb32f0571e7d732f11f4ad"/>
      <w:bookmarkEnd w:id="219"/>
      <w:r>
        <w:t>Eternal Progression: “As Man Now Is, God Once Was”</w:t>
      </w:r>
    </w:p>
    <w:p w14:paraId="75649F17" w14:textId="77777777" w:rsidR="009C7F52" w:rsidRDefault="00731002">
      <w:pPr>
        <w:pStyle w:val="FirstParagraph"/>
      </w:pPr>
      <w:r>
        <w:t>Before turning to the scriptural answer, the doctrine of eternal progression deserves to be stated in its own terms, because it is the hidden foundation underneath the LDS Godhead and not merely a colorful footnote to it. The clearest statement comes from Joseph Smith himself, in a sermon delivered on April 7, 1844, and preserved by multiple hearers as the King Follett Discourse, named for the church member whose death occasioned it. Smith told his Nauvoo congregation directly: “God himself was once as we are now, and is an exalted man, and sits enthroned in yonder heavens! … I am going to tell you how God came to be God. We have imagined and supposed that God was God from all eternity. I will refute that idea. … He was once a man like us; yea, that God himself, the Father of us all, dwelt on an earth, the same as Jesus Christ himself did”</w:t>
      </w:r>
      <w:hyperlink w:anchor="cite_308" w:history="1">
        <w:r>
          <w:rPr>
            <w:color w:val="671C2A"/>
            <w:sz w:val="16"/>
            <w:vertAlign w:val="superscript"/>
          </w:rPr>
          <w:t>308</w:t>
        </w:r>
      </w:hyperlink>
      <w:r>
        <w:t>. Smith drew the corresponding conclusion for believers in the same sermon: “Here, then, is eternal life — to know the only wise and true God; and you have got to learn to be Gods yourselves … the same as all Gods have done before you”</w:t>
      </w:r>
      <w:hyperlink w:anchor="cite_309" w:history="1">
        <w:r>
          <w:rPr>
            <w:color w:val="671C2A"/>
            <w:sz w:val="16"/>
            <w:vertAlign w:val="superscript"/>
          </w:rPr>
          <w:t>309</w:t>
        </w:r>
      </w:hyperlink>
      <w:r>
        <w:t>. A generation later, LDS apostle and eventual church president Lorenzo Snow compressed the same doctrine into a couplet still taught in the church today: “As man now is, God once was; as God now is, man may be”</w:t>
      </w:r>
      <w:hyperlink w:anchor="cite_310" w:history="1">
        <w:r>
          <w:rPr>
            <w:color w:val="671C2A"/>
            <w:sz w:val="16"/>
            <w:vertAlign w:val="superscript"/>
          </w:rPr>
          <w:t>310</w:t>
        </w:r>
      </w:hyperlink>
      <w:r>
        <w:t>. Understood fairly, on its own terms, this is not a minor adjustment to classical theism; it is a different model of deity altogether, in which godhood is a status attained through a process — Smith’s own word was “exaltation” — rather than what God has eternally and necessarily been, and in which an indefinite chain of gods precedes the Father in exactly the same way that Isaiah’s own words insist no god does.</w:t>
      </w:r>
    </w:p>
    <w:p w14:paraId="30382094" w14:textId="77777777" w:rsidR="009C7F52" w:rsidRDefault="00731002">
      <w:pPr>
        <w:pStyle w:val="BodyText"/>
      </w:pPr>
      <w:r>
        <w:t>The historic doctrine answers this specifically through the classical theological category of divine simplicity: the conviction, articulated at length by Augustine, Anselm, and Aquinas and received into the historic Protestant confessions, that God is not composed of parts, does not change over time, and does not move from potential to actual the way creatures do, because a being who could become greater than he presently is would not yet have been, at the earlier point, the greatest possible being — which is to say, would not yet have been God in the full and proper sense</w:t>
      </w:r>
      <w:hyperlink w:anchor="cite_311" w:history="1">
        <w:r>
          <w:rPr>
            <w:color w:val="671C2A"/>
            <w:sz w:val="16"/>
            <w:vertAlign w:val="superscript"/>
          </w:rPr>
          <w:t>311</w:t>
        </w:r>
      </w:hyperlink>
      <w:r>
        <w:t>. The companion category is divine immutability: the biblical and philosophical conviction that God cannot change in his essential nature or perfections, however freely he acts and relates within history</w:t>
      </w:r>
      <w:hyperlink w:anchor="cite_312" w:history="1">
        <w:r>
          <w:rPr>
            <w:color w:val="671C2A"/>
            <w:sz w:val="16"/>
            <w:vertAlign w:val="superscript"/>
          </w:rPr>
          <w:t>312</w:t>
        </w:r>
      </w:hyperlink>
      <w:r>
        <w:t>. Eternal progression requires exactly what these categories rule out: a God who was, at some prior point, not yet God — not yet omniscient, not yet omnipotent, not yet worthy of worship — and who arrived at deity by the same kind of developmental process by which a mortal human being might, in the LDS system, arrive at it in the future. Malachi’s declaration that “I the LORD do not change” (Malachi 3:6) and James’s description of the Father as the one “with whom there is no variation or shadow due to change” (James 1:17) are not incidental biblical furniture; they are direct denials of the very premise eternal progression requires, stated in language that leaves no room for a God whose deity was, at any point, still in progress.</w:t>
      </w:r>
    </w:p>
    <w:p w14:paraId="7446A4E8" w14:textId="77777777" w:rsidR="009C7F52" w:rsidRDefault="00731002">
      <w:pPr>
        <w:pStyle w:val="Heading3"/>
        <w:pBdr>
          <w:bottom w:val="single" w:sz="4" w:space="5" w:color="C8AE75"/>
        </w:pBdr>
      </w:pPr>
      <w:bookmarkStart w:id="221" w:name="the-shema-against-eternal-progression"/>
      <w:bookmarkEnd w:id="220"/>
      <w:r>
        <w:t>The Shema Against Eternal Progression</w:t>
      </w:r>
    </w:p>
    <w:p w14:paraId="55313BA3" w14:textId="77777777" w:rsidR="009C7F52" w:rsidRDefault="00731002">
      <w:pPr>
        <w:pStyle w:val="FirstParagraph"/>
      </w:pPr>
      <w:r>
        <w:t>The most direct scriptural answer to the LDS Godhead is the same text that has anchored this book’s account of monotheism from the beginning: “Hear, O Israel: The LORD our God, the LORD is one” (Deuteronomy 6:4). Jesus himself quotes this as the greatest commandment, and a Jewish scribe restates it back to him without any hint of needing qualification for plurality: “he is one, and there is no other besides him” (Mark 12:29-32) — a numerical claim, not merely a relational one, and Jesus affirms the scribe’s answer as correct. If there are three fully divine, separate beings, cooperating perfectly, it becomes difficult to say in what sense God remains “one” in the sense the Shema and Jesus’s own affirmation of it require.</w:t>
      </w:r>
    </w:p>
    <w:p w14:paraId="5CC9B082" w14:textId="77777777" w:rsidR="009C7F52" w:rsidRDefault="00731002">
      <w:pPr>
        <w:pStyle w:val="BodyText"/>
      </w:pPr>
      <w:r>
        <w:t xml:space="preserve">Isaiah’s language is, if anything, still more direct, and it speaks to the doctrine of eternal progression specifically: “I am the LORD, and there is no other, besides me there is no God… Before me no god was formed, nor shall there be any after me” (Isaiah 45:5; 43:10). This is not merely a claim that no rival gods exist </w:t>
      </w:r>
      <w:r>
        <w:rPr>
          <w:i/>
          <w:iCs/>
        </w:rPr>
        <w:t>now</w:t>
      </w:r>
      <w:r>
        <w:t xml:space="preserve">; it excludes any god having existed </w:t>
      </w:r>
      <w:r>
        <w:rPr>
          <w:i/>
          <w:iCs/>
        </w:rPr>
        <w:t>before</w:t>
      </w:r>
      <w:r>
        <w:t xml:space="preserve"> Yahweh — ruling out the notion that the Father was “once a man” who became God — and it excludes any god coming into existence </w:t>
      </w:r>
      <w:r>
        <w:rPr>
          <w:i/>
          <w:iCs/>
        </w:rPr>
        <w:t>after</w:t>
      </w:r>
      <w:r>
        <w:t xml:space="preserve"> him — ruling out the notion that redeemed humans might, in some future eternity, become gods themselves. Colossians 2:9, already central to this book’s answer to both modalism and Arianism, answers the LDS system from the opposite direction: “For in him [Christ] the whole fullness of deity dwells bodily” — the </w:t>
      </w:r>
      <w:r>
        <w:rPr>
          <w:i/>
          <w:iCs/>
        </w:rPr>
        <w:t>whole</w:t>
      </w:r>
      <w:r>
        <w:t xml:space="preserve"> fullness, not a delegated third or a separate nature merely cooperating with the Father’s. This requires that the Son possess the very same, singular divine essence the Father possesses, not merely a separate, comparable one united by agreement.</w:t>
      </w:r>
    </w:p>
    <w:p w14:paraId="40855254" w14:textId="77777777" w:rsidR="009C7F52" w:rsidRDefault="00731002">
      <w:pPr>
        <w:pStyle w:val="Heading3"/>
        <w:pBdr>
          <w:bottom w:val="single" w:sz="4" w:space="5" w:color="C8AE75"/>
        </w:pBdr>
      </w:pPr>
      <w:bookmarkStart w:id="222" w:name="how-the-church-has-answered"/>
      <w:bookmarkEnd w:id="221"/>
      <w:r>
        <w:t>How the Church Has Answered</w:t>
      </w:r>
    </w:p>
    <w:p w14:paraId="55B437F5" w14:textId="77777777" w:rsidR="009C7F52" w:rsidRDefault="00731002">
      <w:pPr>
        <w:pStyle w:val="FirstParagraph"/>
      </w:pPr>
      <w:r>
        <w:t>As with the Jehovah’s Witnesses, no ecumenical council addressed Mormonism directly, since the movement arose entirely outside historic apostolic structures and explicitly presented itself as a restoration following what it calls a total apostasy of the historic church. The LDS apologist Dallin Oaks makes this claim explicit, describing mainstream Christian belief in a single, immaterial God as evidence of what he calls “the falling away we call the Great Apostasy”</w:t>
      </w:r>
      <w:hyperlink w:anchor="cite_313" w:history="1">
        <w:r>
          <w:rPr>
            <w:color w:val="671C2A"/>
            <w:sz w:val="16"/>
            <w:vertAlign w:val="superscript"/>
          </w:rPr>
          <w:t>313</w:t>
        </w:r>
      </w:hyperlink>
      <w:r>
        <w:t>. The church’s answer has instead come through evangelical countercult apologetics, most systematically through organizations such as Mormonism Research Ministry and the broader apologetic tradition associated with Walter Martin, which classifies the LDS Godhead doctrine as tritheism in restorationist and biblicist dress and presses it against the historic confession of one, undivided divine essence shared fully by three persons.</w:t>
      </w:r>
    </w:p>
    <w:p w14:paraId="7DD38ADE" w14:textId="77777777" w:rsidR="009C7F52" w:rsidRDefault="00731002">
      <w:pPr>
        <w:pStyle w:val="BodyText"/>
      </w:pPr>
      <w:r>
        <w:t>The deepest cost of this system is to worship itself, and to the very line that anchors all biblical worship. If Father, Son, and Spirit are three separate beings, worship must, in principle, be distributed among three objects — and Scripture, from the Shema to the final vision of Revelation, only ever authorizes worshiping one. There is a second cost specific to the doctrine of eternal progression: if exalted humans can become gods in the same category as the Father, then “God” stops naming something absolutely and permanently unique and becomes, instead, a rank that beings can rise into over time. The historic doctrine keeps a bright and permanent line between Creator and creature — Father, Son, and Spirit share one eternal, uncreated essence that no creature, however exalted by grace, can ever come to share by nature — while still promising real creaturely participation in God’s own life through fellowship with him, not through becoming an additional deity. That line is not a small matter. It is what lets “there is no other besides him” remain true forever, rather than becoming a claim about the present moment only.</w:t>
      </w:r>
    </w:p>
    <w:p w14:paraId="378350D3" w14:textId="77777777" w:rsidR="009C7F52" w:rsidRDefault="007D6CCB">
      <w:r>
        <w:rPr>
          <w:noProof/>
        </w:rPr>
      </w:r>
      <w:r w:rsidR="007D6CCB">
        <w:rPr>
          <w:noProof/>
        </w:rPr>
        <w:pict w14:anchorId="1158653D">
          <v:rect id="_x0000_i1039" style="width:0;height:1.5pt" o:hralign="center" o:hrstd="t" o:hr="t"/>
        </w:pict>
      </w:r>
    </w:p>
    <w:p w14:paraId="43C070F7" w14:textId="77777777" w:rsidR="009C7F52" w:rsidRDefault="00731002">
      <w:pPr>
        <w:pStyle w:val="Heading2"/>
        <w:pBdr>
          <w:bottom w:val="single" w:sz="10" w:space="8" w:color="A68037"/>
        </w:pBdr>
      </w:pPr>
      <w:bookmarkStart w:id="223" w:name="chapter-30-islam-and-the-charge-of-shirk"/>
      <w:bookmarkEnd w:id="216"/>
      <w:bookmarkEnd w:id="222"/>
      <w:r>
        <w:t>Chapter 30: Islam and the Charge of Shirk</w:t>
      </w:r>
    </w:p>
    <w:p w14:paraId="48BA840E" w14:textId="77777777" w:rsidR="009C7F52" w:rsidRDefault="00731002">
      <w:pPr>
        <w:pStyle w:val="FirstParagraph"/>
      </w:pPr>
      <w:r>
        <w:t>More than two billion people alive today recite, multiple times each day, a creed that begins with the flat statement that God has no partner and no equal. For most of those two billion people, the doctrine of the Trinity is not an abstract philosophical puzzle; it is the doctrine that the Qur’an, their scripture, names and condemns directly, by name, more than once. Taking Islam’s challenge to the Trinity seriously means doing two things at once: representing what the Qur’an actually says about God’s oneness with full respect and accuracy, and being equally clear about what the historic Christian doctrine of the Trinity does and does not claim — because a careful reading of the relevant texts shows that much of the Qur’an’s critique is aimed, quite directly, at something the doctrine has never taught.</w:t>
      </w:r>
    </w:p>
    <w:p w14:paraId="3668DC23" w14:textId="77777777" w:rsidR="009C7F52" w:rsidRDefault="00731002">
      <w:pPr>
        <w:pStyle w:val="Heading3"/>
        <w:pBdr>
          <w:bottom w:val="single" w:sz="4" w:space="5" w:color="C8AE75"/>
        </w:pBdr>
      </w:pPr>
      <w:bookmarkStart w:id="224" w:name="tawhid-the-center-of-islamic-theology"/>
      <w:r>
        <w:t>Tawhid: The Center of Islamic Theology</w:t>
      </w:r>
    </w:p>
    <w:p w14:paraId="6FD1F664" w14:textId="77777777" w:rsidR="009C7F52" w:rsidRDefault="00731002">
      <w:pPr>
        <w:pStyle w:val="FirstParagraph"/>
      </w:pPr>
      <w:r>
        <w:rPr>
          <w:i/>
          <w:iCs/>
        </w:rPr>
        <w:t>Tawhid</w:t>
      </w:r>
      <w:r>
        <w:t>, an Arabic word meaning “oneness” or “making one,” is Islam’s doctrine of the absolute, indivisible unity of God, and it is not a peripheral belief among many; it is described as Islam’s single most central and defining concept, the article of faith on which a Muslim’s entire religious life rests</w:t>
      </w:r>
      <w:hyperlink w:anchor="cite_314" w:history="1">
        <w:r>
          <w:rPr>
            <w:color w:val="671C2A"/>
            <w:sz w:val="16"/>
            <w:vertAlign w:val="superscript"/>
          </w:rPr>
          <w:t>314</w:t>
        </w:r>
      </w:hyperlink>
      <w:r>
        <w:t xml:space="preserve">. Muslims encounter this confession daily in the call to prayer and in the first half of the </w:t>
      </w:r>
      <w:r>
        <w:rPr>
          <w:i/>
          <w:iCs/>
        </w:rPr>
        <w:t>shahada</w:t>
      </w:r>
      <w:r>
        <w:t>, the declaration of faith, and many first learn its fullest statement by memorizing Surah al-Ikhlas (112), one of the shortest chapters of the Qur’an: “Say, He is Allah, One; Allah, the Eternal Refuge. He neither begets nor is born, and there is none comparable to Him”</w:t>
      </w:r>
      <w:hyperlink w:anchor="cite_315" w:history="1">
        <w:r>
          <w:rPr>
            <w:color w:val="671C2A"/>
            <w:sz w:val="16"/>
            <w:vertAlign w:val="superscript"/>
          </w:rPr>
          <w:t>315</w:t>
        </w:r>
      </w:hyperlink>
      <w:r>
        <w:t>. Tawhid teaches that God is one and entirely unique, that he shares his divine attributes with no one, and that worship and religious devotion are owed to him alone, without intermediaries</w:t>
      </w:r>
      <w:hyperlink w:anchor="cite_316" w:history="1">
        <w:r>
          <w:rPr>
            <w:color w:val="671C2A"/>
            <w:sz w:val="16"/>
            <w:vertAlign w:val="superscript"/>
          </w:rPr>
          <w:t>316</w:t>
        </w:r>
      </w:hyperlink>
      <w:r>
        <w:t>.</w:t>
      </w:r>
    </w:p>
    <w:p w14:paraId="64E645B3" w14:textId="77777777" w:rsidR="009C7F52" w:rsidRDefault="00731002">
      <w:pPr>
        <w:pStyle w:val="BodyText"/>
      </w:pPr>
      <w:r>
        <w:t xml:space="preserve">The theological opposite of </w:t>
      </w:r>
      <w:r>
        <w:rPr>
          <w:i/>
          <w:iCs/>
        </w:rPr>
        <w:t>tawhid</w:t>
      </w:r>
      <w:r>
        <w:t xml:space="preserve"> is </w:t>
      </w:r>
      <w:r>
        <w:rPr>
          <w:i/>
          <w:iCs/>
        </w:rPr>
        <w:t>shirk</w:t>
      </w:r>
      <w:r>
        <w:t xml:space="preserve">, a word whose root meaning is “association” or “partnership.” </w:t>
      </w:r>
      <w:r>
        <w:rPr>
          <w:i/>
          <w:iCs/>
        </w:rPr>
        <w:t>Shirk</w:t>
      </w:r>
      <w:r>
        <w:t xml:space="preserve"> is the sin of associating any other being with God — treating something or someone as a partner sharing in God’s unique divine status, attributes, or the worship owed to him alone. Islamic theology names several distinct forms this can take: attributing divine status to another created being, believing another power exists as a genuine partner alongside God, ascribing God’s own attributes to something else, or believing that anything can exist or act independently of God’s will</w:t>
      </w:r>
      <w:hyperlink w:anchor="cite_317" w:history="1">
        <w:r>
          <w:rPr>
            <w:color w:val="671C2A"/>
            <w:sz w:val="16"/>
            <w:vertAlign w:val="superscript"/>
          </w:rPr>
          <w:t>317</w:t>
        </w:r>
      </w:hyperlink>
      <w:r>
        <w:t xml:space="preserve">. The Qur’an treats </w:t>
      </w:r>
      <w:r>
        <w:rPr>
          <w:i/>
          <w:iCs/>
        </w:rPr>
        <w:t>shirk</w:t>
      </w:r>
      <w:r>
        <w:t xml:space="preserve"> with particular severity: “Indeed, Allah does not forgive associating others with Him [in worship], but forgives anything else of whoever He wills” (Surah An-Nisa 4:48; similarly 4:116)</w:t>
      </w:r>
      <w:hyperlink w:anchor="cite_318" w:history="1">
        <w:r>
          <w:rPr>
            <w:color w:val="671C2A"/>
            <w:sz w:val="16"/>
            <w:vertAlign w:val="superscript"/>
          </w:rPr>
          <w:t>318</w:t>
        </w:r>
      </w:hyperlink>
      <w:r>
        <w:t xml:space="preserve">. Understood on its own terms, </w:t>
      </w:r>
      <w:r>
        <w:rPr>
          <w:i/>
          <w:iCs/>
        </w:rPr>
        <w:t>tawhid</w:t>
      </w:r>
      <w:r>
        <w:t xml:space="preserve"> and its guardrail, the prohibition of </w:t>
      </w:r>
      <w:r>
        <w:rPr>
          <w:i/>
          <w:iCs/>
        </w:rPr>
        <w:t>shirk</w:t>
      </w:r>
      <w:r>
        <w:t>, are a serious and coherent theological commitment, not merely a slogan, and they deserve to be represented as such.</w:t>
      </w:r>
    </w:p>
    <w:p w14:paraId="710CC91A" w14:textId="77777777" w:rsidR="009C7F52" w:rsidRDefault="00731002">
      <w:pPr>
        <w:pStyle w:val="Heading3"/>
        <w:pBdr>
          <w:bottom w:val="single" w:sz="4" w:space="5" w:color="C8AE75"/>
        </w:pBdr>
      </w:pPr>
      <w:bookmarkStart w:id="225" w:name="what-the-quran-says-about-the-trinity"/>
      <w:bookmarkEnd w:id="224"/>
      <w:r>
        <w:t>What the Qur’an Says About the Trinity</w:t>
      </w:r>
    </w:p>
    <w:p w14:paraId="128BEBED" w14:textId="77777777" w:rsidR="009C7F52" w:rsidRDefault="00731002">
      <w:pPr>
        <w:pStyle w:val="FirstParagraph"/>
      </w:pPr>
      <w:r>
        <w:t>Several Qur’anic passages address Christian belief about God and Jesus directly, and it is worth setting these out precisely rather than summarizing loosely, because the exact wording matters for what comes next. Surah An-Nisa (4:171) addresses the “People of the Book” — Jews and Christians — telling them not to go to excess in their religion, describing Jesus as “the Messiah, son of Mary,” “a messenger of Allah,” “His word which He conveyed unto Mary,” and “a spirit from Him,” and then commanding: “so believe in Allah and His messengers, and say not ‘Three’ — refrain, it is better for you. Allah is only one God; far removed is He in His transcendent majesty from having a son”</w:t>
      </w:r>
      <w:hyperlink w:anchor="cite_319" w:history="1">
        <w:r>
          <w:rPr>
            <w:color w:val="671C2A"/>
            <w:sz w:val="16"/>
            <w:vertAlign w:val="superscript"/>
          </w:rPr>
          <w:t>319</w:t>
        </w:r>
      </w:hyperlink>
      <w:r>
        <w:t>. Surah al-Ma’idah (5:73) is more severe still: “Certainly they disbelieve who say: God is the third of three” — traditionally read within Islam as a direct rejection of the Christian doctrine of the Trinity, though the passage’s precise historical target has also been the subject of ongoing scholarly discussion</w:t>
      </w:r>
      <w:hyperlink w:anchor="cite_320" w:history="1">
        <w:r>
          <w:rPr>
            <w:color w:val="671C2A"/>
            <w:sz w:val="16"/>
            <w:vertAlign w:val="superscript"/>
          </w:rPr>
          <w:t>320</w:t>
        </w:r>
      </w:hyperlink>
      <w:r>
        <w:t>.</w:t>
      </w:r>
    </w:p>
    <w:p w14:paraId="1CE691C8" w14:textId="77777777" w:rsidR="009C7F52" w:rsidRDefault="00731002">
      <w:pPr>
        <w:pStyle w:val="BodyText"/>
      </w:pPr>
      <w:r>
        <w:t xml:space="preserve">Two further passages clarify what the Qur’an understands the Trinity to </w:t>
      </w:r>
      <w:r>
        <w:rPr>
          <w:i/>
          <w:iCs/>
        </w:rPr>
        <w:t>mean</w:t>
      </w:r>
      <w:r>
        <w:t xml:space="preserve">, and this is the crucial point for a fair Christian response. Surah al-Ma’idah 5:116 depicts God asking Jesus directly: “Did you say to the people, ‘Worship me and my mother as gods besides Allah?’” — with Jesus answering that he said no such thing and taught only the worship of God alone. And Surah al-An’am (6:101) argues that God cannot have a son because he has no </w:t>
      </w:r>
      <w:r>
        <w:rPr>
          <w:i/>
          <w:iCs/>
        </w:rPr>
        <w:t>sahibah</w:t>
      </w:r>
      <w:r>
        <w:t>, no female consort or mate, comparable to the way certain pre-Islamic and pagan myths described gods fathering children through female partners — the way Greek mythology describes Zeus, or Egyptian mythology describes Osiris</w:t>
      </w:r>
      <w:hyperlink w:anchor="cite_321" w:history="1">
        <w:r>
          <w:rPr>
            <w:color w:val="671C2A"/>
            <w:sz w:val="16"/>
            <w:vertAlign w:val="superscript"/>
          </w:rPr>
          <w:t>321</w:t>
        </w:r>
      </w:hyperlink>
      <w:r>
        <w:t>. Taken together, these passages show the Qur’an’s critique is aimed at a specific picture: a divine family consisting of God the Father, a physically-begotten divine Son produced through some form of union with a female consort (identified in the text with Mary), and a third deity — in effect, tritheism, three separate gods bound by family relationship, one of whom was physically conceived.</w:t>
      </w:r>
    </w:p>
    <w:p w14:paraId="54735F5A" w14:textId="77777777" w:rsidR="009C7F52" w:rsidRDefault="00731002">
      <w:pPr>
        <w:pStyle w:val="Heading3"/>
        <w:pBdr>
          <w:bottom w:val="single" w:sz="4" w:space="5" w:color="C8AE75"/>
        </w:pBdr>
      </w:pPr>
      <w:bookmarkStart w:id="226" w:name="the-caricature-and-the-doctrine"/>
      <w:bookmarkEnd w:id="225"/>
      <w:r>
        <w:t>The Caricature and the Doctrine</w:t>
      </w:r>
    </w:p>
    <w:p w14:paraId="691DD44A" w14:textId="77777777" w:rsidR="009C7F52" w:rsidRDefault="00731002">
      <w:pPr>
        <w:pStyle w:val="FirstParagraph"/>
      </w:pPr>
      <w:r>
        <w:t>This is precisely where a respectful and historically honest Christian response must be direct: the picture the Qur’an rejects — three gods, one of them literally fathered through a divine-human union with Mary as a fourth member of a divine family — is not the doctrine of the Trinity that the church confessed at Nicaea and Chalcedon, and it has never been. The historic doctrine, as this book has stated throughout, teaches one undivided divine being, in which three coequal and coeternal persons eternally subsist — not three gods, and not a physical, biological act of generation between a male deity and a human woman. The eternal generation of the Son from the Father, a category this book has explained at length in earlier chapters, describes an eternal, timeless relationship of origin within the single Godhead, not a temporal act of physical conception; the Son did not come into existence through Mary — Mary is the mother of the Son’s human nature, assumed at the incarnation, not the origin of his divine person, which is eternal and without beginning (John 1:1; John 17:5).</w:t>
      </w:r>
    </w:p>
    <w:p w14:paraId="3865F77F" w14:textId="77777777" w:rsidR="009C7F52" w:rsidRDefault="00731002">
      <w:pPr>
        <w:pStyle w:val="BodyText"/>
      </w:pPr>
      <w:r>
        <w:t>Nor does the doctrine anywhere include Mary as a fourth divine person or as an object of worship alongside Father, Son, and Spirit. The specific target of Surah 5:116 — the worship of “Allah, myself, and my mother” as three gods — describes a heresy the church itself would recognize and reject as sharply as the Qur’an does; it is not, and has never been, Nicene Trinitarianism. There is a plausible historical explanation for why this caricature appears in the Qur’an’s polemic: seventh-century Arabia was home to various heterodox and popular Christian groups and devotional practices, some of which did elevate Mary to an extraordinarily exalted status in popular piety, and early Islamic engagement with Christianity in that setting may have encountered distorted or folk-level versions of Christian teaching rather than the careful conciliar formulations of Nicaea and Chalcedon</w:t>
      </w:r>
      <w:hyperlink w:anchor="cite_322" w:history="1">
        <w:r>
          <w:rPr>
            <w:color w:val="671C2A"/>
            <w:sz w:val="16"/>
            <w:vertAlign w:val="superscript"/>
          </w:rPr>
          <w:t>322</w:t>
        </w:r>
      </w:hyperlink>
      <w:r>
        <w:t>. Whatever the precise historical background, the theological point stands on its own regardless of history: when the Qur’an says “do not say three,” and when it rejects the idea of a God who has taken a son through a physical union with a female consort, it is rejecting something the historic doctrine of the Trinity does not teach and never has.</w:t>
      </w:r>
    </w:p>
    <w:p w14:paraId="3AD48A18" w14:textId="77777777" w:rsidR="009C7F52" w:rsidRDefault="00731002">
      <w:pPr>
        <w:pStyle w:val="Heading3"/>
        <w:pBdr>
          <w:bottom w:val="single" w:sz="4" w:space="5" w:color="C8AE75"/>
        </w:pBdr>
      </w:pPr>
      <w:bookmarkStart w:id="227" w:name="X2f23236e6da59b45e08a8e193aba0ee007e6613"/>
      <w:bookmarkEnd w:id="226"/>
      <w:r>
        <w:t>Classical Islamic Theology Presses the Case Further: al-Ghazali</w:t>
      </w:r>
    </w:p>
    <w:p w14:paraId="06C29516" w14:textId="77777777" w:rsidR="009C7F52" w:rsidRDefault="00731002">
      <w:pPr>
        <w:pStyle w:val="FirstParagraph"/>
      </w:pPr>
      <w:r>
        <w:t xml:space="preserve">The Qur’anic text is not the only resource Islamic tradition has brought against the Trinity; later Muslim theologians developed philosophical arguments that press the objection on more technical ground, and a fair account of Islam’s challenge should include them rather than resting on the Qur’an’s verses alone. The most influential is a work traditionally attributed to Abu Hamid al-Ghazali, the towering eleventh-century Islamic theologian and philosopher who died in 1111, titled </w:t>
      </w:r>
      <w:r>
        <w:rPr>
          <w:i/>
          <w:iCs/>
        </w:rPr>
        <w:t>al-Radd al-Jamil li-Ilahiyyat ’Isa bi-Sarih al-Injil</w:t>
      </w:r>
      <w:r>
        <w:t xml:space="preserve"> (“A Fitting Refutation of the Divinity of Jesus by the Clear Text of the Gospel”)</w:t>
      </w:r>
      <w:hyperlink w:anchor="cite_323" w:history="1">
        <w:r>
          <w:rPr>
            <w:color w:val="671C2A"/>
            <w:sz w:val="16"/>
            <w:vertAlign w:val="superscript"/>
          </w:rPr>
          <w:t>323</w:t>
        </w:r>
      </w:hyperlink>
      <w:r>
        <w:t>. Writing after Christian theology had already worked out its own careful account of the incarnation at Chalcedon in 451, al-Ghazali surveys the major Christian traditions of his day and argues that the doctrine of the incarnation is not merely mysterious but logically incoherent, because it asks believers to accept an analogy — the union of Christ’s divine and human natures compared to the union of a human soul and body — built on two things neither party actually understands: God’s own essence, which classical theology on all sides agrees exceeds full human comprehension, and the soul-body union itself, whose exact mechanism no philosopher of his era, Muslim or Christian, could specify</w:t>
      </w:r>
      <w:hyperlink w:anchor="cite_324" w:history="1">
        <w:r>
          <w:rPr>
            <w:color w:val="671C2A"/>
            <w:sz w:val="16"/>
            <w:vertAlign w:val="superscript"/>
          </w:rPr>
          <w:t>324</w:t>
        </w:r>
      </w:hyperlink>
      <w:r>
        <w:t>. Al-Ghazali also argues that Christ’s miracles cannot establish his deity, since Moses, Joshua, Elijah, and Elisha performed comparable miracles in the Old Testament without thereby being divine</w:t>
      </w:r>
      <w:hyperlink w:anchor="cite_325" w:history="1">
        <w:r>
          <w:rPr>
            <w:color w:val="671C2A"/>
            <w:sz w:val="16"/>
            <w:vertAlign w:val="superscript"/>
          </w:rPr>
          <w:t>325</w:t>
        </w:r>
      </w:hyperlink>
      <w:r>
        <w:t>.</w:t>
      </w:r>
    </w:p>
    <w:p w14:paraId="71DE22B7" w14:textId="77777777" w:rsidR="009C7F52" w:rsidRDefault="00731002">
      <w:pPr>
        <w:pStyle w:val="BodyText"/>
      </w:pPr>
      <w:r>
        <w:t>The historic Christian answer grants what should be granted — that the hypostatic union is genuinely mysterious, in the sense that it exceeds any tidy creaturely analogy, exactly as al-Ghazali observes — while denying that mystery equals incoherence. Christian theology has never claimed the soul-body analogy proves the incarnation is possible by making it fully comprehensible; the analogy is offered only to show that a single subject possessing two really distinct natures is not, on its face, a self-contradiction, since something structurally similar (one person, two really distinct components, united without either being destroyed) already occurs in ordinary human experience, however incompletely that union itself is understood. As for miracles, the historic answer has always been that Christ’s miracles function as one strand of evidence within a larger case — alongside his own explicit claims (John 8:58; John 10:30), his acceptance of worship (Matthew 14:33; John 20:28), and his resurrection, which none of the Old Testament prophets underwent — not as a freestanding, isolated proof. Al-Ghazali’s arguments are serious philosophy, and they deserve exactly this kind of direct, non-dismissive answer rather than the assumption that a philosopher of his caliber can be waved away.</w:t>
      </w:r>
    </w:p>
    <w:p w14:paraId="71E6A962" w14:textId="77777777" w:rsidR="009C7F52" w:rsidRDefault="00731002">
      <w:pPr>
        <w:pStyle w:val="Heading3"/>
        <w:pBdr>
          <w:bottom w:val="single" w:sz="4" w:space="5" w:color="C8AE75"/>
        </w:pBdr>
      </w:pPr>
      <w:bookmarkStart w:id="228" w:name="X42fc2b15207f8d0beb03c348a9a560f7c29888e"/>
      <w:bookmarkEnd w:id="227"/>
      <w:r>
        <w:t>The Historic Christian Response to the Charge of Shirk</w:t>
      </w:r>
    </w:p>
    <w:p w14:paraId="38FD0BD0" w14:textId="77777777" w:rsidR="009C7F52" w:rsidRDefault="00731002">
      <w:pPr>
        <w:pStyle w:val="FirstParagraph"/>
      </w:pPr>
      <w:r>
        <w:t xml:space="preserve">Christian engagement with Islam on exactly this point goes back to the earliest generations after Islam’s emergence, and it is worth knowing that history rather than assuming the conversation is new. John of Damascus, born around 655 into a prominent Christian family in Damascus and fluent in Arabic, Syriac, and Greek, served for years as a senior financial official under the Muslim caliph before withdrawing to a monastery near Jerusalem, where he wrote what is likely the first substantial Christian theological engagement with Islam, a work he titled </w:t>
      </w:r>
      <w:r>
        <w:rPr>
          <w:i/>
          <w:iCs/>
        </w:rPr>
        <w:t>On the Heresy of the Ishmaelites</w:t>
      </w:r>
      <w:hyperlink w:anchor="cite_326" w:history="1">
        <w:r>
          <w:rPr>
            <w:color w:val="671C2A"/>
            <w:sz w:val="16"/>
            <w:vertAlign w:val="superscript"/>
          </w:rPr>
          <w:t>326</w:t>
        </w:r>
      </w:hyperlink>
      <w:r>
        <w:t>. His tone, by modern standards, was often sharp and polemical rather than conciliatory, and later engagements improved on this. A much more constructive model comes from Timothy I, the Nestorian Christian patriarch of Baghdad, who in the late eighth century held an extended, respectful theological dialogue before the Caliph al-Mahdi, defending the Trinity and the incarnation using careful philosophical and scriptural argument within a genuinely open exchange, a debate preserved in Timothy’s own account and still studied today as an early model of substantive interfaith theological engagement</w:t>
      </w:r>
      <w:hyperlink w:anchor="cite_327" w:history="1">
        <w:r>
          <w:rPr>
            <w:color w:val="671C2A"/>
            <w:sz w:val="16"/>
            <w:vertAlign w:val="superscript"/>
          </w:rPr>
          <w:t>327</w:t>
        </w:r>
      </w:hyperlink>
      <w:r>
        <w:t>.</w:t>
      </w:r>
    </w:p>
    <w:p w14:paraId="5EBB041A" w14:textId="77777777" w:rsidR="009C7F52" w:rsidRDefault="00731002">
      <w:pPr>
        <w:pStyle w:val="BodyText"/>
      </w:pPr>
      <w:r>
        <w:t xml:space="preserve">The substantive theological response to the charge of </w:t>
      </w:r>
      <w:r>
        <w:rPr>
          <w:i/>
          <w:iCs/>
        </w:rPr>
        <w:t>shirk</w:t>
      </w:r>
      <w:r>
        <w:t xml:space="preserve"> itself rests on a distinction this book has developed throughout: the difference between οὐσία (ousia, “essence”), what God is — one, undivided, and shared completely by Father, Son, and Spirit — and ὑπόστασις (hypostasis, “person”), who God is, three times over. Shirk, properly defined, is the sin of treating some other being — a creature, an idol, a rival power — as a </w:t>
      </w:r>
      <w:r>
        <w:rPr>
          <w:i/>
          <w:iCs/>
        </w:rPr>
        <w:t>partner alongside</w:t>
      </w:r>
      <w:r>
        <w:t xml:space="preserve"> God, sharing a portion of a divinity that God alone truly possesses. But the Trinity does not describe partnership between separate beings at all; it describes three persons who together, without division or competition, are the one and only God. The Son is not another god added alongside the Father, sharing power with him the way a partner shares a business; the Son eternally possesses the entire, undivided divine nature the Father possesses, and there is, in the strictest sense, only one God for the Son to be. If shirk means treating a second, independent divine being as a partner to the one true God, then Trinitarian orthodoxy is not shirk — it is a different claim altogether: one being, eternally three persons, none of them a rival or a partner to the others because none of them is a separate being at all.</w:t>
      </w:r>
    </w:p>
    <w:p w14:paraId="4799359B" w14:textId="77777777" w:rsidR="009C7F52" w:rsidRDefault="00731002">
      <w:pPr>
        <w:pStyle w:val="BodyText"/>
      </w:pPr>
      <w:r>
        <w:t xml:space="preserve">This is why serious Christian engagement with the Islamic critique should neither concede that the doctrine is what the Qur’an describes, nor dismiss the concern behind </w:t>
      </w:r>
      <w:r>
        <w:rPr>
          <w:i/>
          <w:iCs/>
        </w:rPr>
        <w:t>tawhid</w:t>
      </w:r>
      <w:r>
        <w:t xml:space="preserve"> as unimportant. Muslims and orthodox Christians actually agree on far more than casual conversation often suggests: both traditions insist, in the strongest possible terms, that there is one God, that he shares his unique divine status with no rival, and that worship belongs to him alone. Surah 29:46 itself instructs Muslims, in addressing Jews and Christians, to say: “We believe in what was revealed to us and to you; our God and your God is one, and we submit to Him”</w:t>
      </w:r>
      <w:hyperlink w:anchor="cite_328" w:history="1">
        <w:r>
          <w:rPr>
            <w:color w:val="671C2A"/>
            <w:sz w:val="16"/>
            <w:vertAlign w:val="superscript"/>
          </w:rPr>
          <w:t>328</w:t>
        </w:r>
      </w:hyperlink>
      <w:r>
        <w:t>. The actual disagreement is narrower and more precise than “one God versus three gods”: it is whether the New Testament’s insistence that the Father is God, the Son is God, and the Spirit is God, while remaining personally distinct from one another, can be true without multiplying the number of gods beyond one — a question this book has answered throughout by insisting on both pillars, unity of essence and plurality of persons, at once. That is a real disagreement, and it should be stated honestly as one. But it is a different, and much more precise, disagreement than the one the Qur’an’s polemical verses, read in isolation, might suggest it is.</w:t>
      </w:r>
    </w:p>
    <w:p w14:paraId="5BAA652E" w14:textId="77777777" w:rsidR="009C7F52" w:rsidRDefault="007D6CCB">
      <w:r>
        <w:rPr>
          <w:noProof/>
        </w:rPr>
      </w:r>
      <w:r w:rsidR="007D6CCB">
        <w:rPr>
          <w:noProof/>
        </w:rPr>
        <w:pict w14:anchorId="07307EC0">
          <v:rect id="_x0000_i1040" style="width:0;height:1.5pt" o:hralign="center" o:hrstd="t" o:hr="t"/>
        </w:pict>
      </w:r>
    </w:p>
    <w:p w14:paraId="32F888CD" w14:textId="77777777" w:rsidR="009C7F52" w:rsidRDefault="00731002">
      <w:pPr>
        <w:pStyle w:val="Heading2"/>
        <w:pBdr>
          <w:bottom w:val="single" w:sz="10" w:space="8" w:color="A68037"/>
        </w:pBdr>
      </w:pPr>
      <w:bookmarkStart w:id="229" w:name="X5010fb2d1e4b2bc7946a21768ae3bb04870cd54"/>
      <w:bookmarkEnd w:id="223"/>
      <w:bookmarkEnd w:id="228"/>
      <w:r>
        <w:t>Chapter 31: Biblical Unitarianism and Modern Skepticism</w:t>
      </w:r>
    </w:p>
    <w:p w14:paraId="03A4FA51" w14:textId="77777777" w:rsidR="009C7F52" w:rsidRDefault="00731002">
      <w:pPr>
        <w:pStyle w:val="FirstParagraph"/>
      </w:pPr>
      <w:r>
        <w:t>Not every challenge to the Trinity today comes from a rival religious system or a restorationist denomination. Increasingly, it comes from a university lecture hall, a popular podcast, or a bestselling paperback with a respected historian’s name on the cover, making an argument that sounds less like ancient heresy and more like simple historical fact: the doctrine of the Trinity, as later councils defined it, is not what the earliest Christians believed. It developed, the argument runs, gradually, unevenly, and under real theological and political pressure, over roughly three centuries — and what developed late, on this view, cannot be what the New Testament itself actually teaches.</w:t>
      </w:r>
    </w:p>
    <w:p w14:paraId="6B23A0BB" w14:textId="77777777" w:rsidR="009C7F52" w:rsidRDefault="00731002">
      <w:pPr>
        <w:pStyle w:val="Heading3"/>
        <w:pBdr>
          <w:bottom w:val="single" w:sz="4" w:space="5" w:color="C8AE75"/>
        </w:pBdr>
      </w:pPr>
      <w:bookmarkStart w:id="230" w:name="the-contemporary-argument-stated-fairly"/>
      <w:r>
        <w:t>The Contemporary Argument, Stated Fairly</w:t>
      </w:r>
    </w:p>
    <w:p w14:paraId="50DA25B0" w14:textId="77777777" w:rsidR="009C7F52" w:rsidRDefault="00731002">
      <w:pPr>
        <w:pStyle w:val="FirstParagraph"/>
      </w:pPr>
      <w:r>
        <w:t xml:space="preserve">The most visible popular voice making this case is Bart Ehrman, a widely read historian of early Christianity whose books, including </w:t>
      </w:r>
      <w:r>
        <w:rPr>
          <w:i/>
          <w:iCs/>
        </w:rPr>
        <w:t>How Jesus Became God</w:t>
      </w:r>
      <w:r>
        <w:t xml:space="preserve"> (2014), have reached a broad general audience well beyond academic theology. Ehrman’s own summary of his position draws a specific distinction worth taking seriously: he distinguishes between simply finding references to the Father, Son, and Spirit somewhere in the New Testament — which he grants is easy to do — and finding the fully articulated fourth-century doctrine of one being in three coequal, coeternal persons stated as such. “The New Testament contains all three figures,” in his description, “but it never explicitly states the later orthodox formulation established in the fourth century”</w:t>
      </w:r>
      <w:hyperlink w:anchor="cite_329" w:history="1">
        <w:r>
          <w:rPr>
            <w:color w:val="671C2A"/>
            <w:sz w:val="16"/>
            <w:vertAlign w:val="superscript"/>
          </w:rPr>
          <w:t>329</w:t>
        </w:r>
      </w:hyperlink>
      <w:r>
        <w:t>. Ehrman argues that the historical Jesus likely did not teach the doctrine of the Trinity or claim, in the later orthodox sense, to be God; that the Gospel of John, written last among the four Gospels, presents Jesus speaking about his own divine identity far more openly than the earlier Synoptic Gospels do, suggesting a developing rather than static Christology; and that early Christians held a range of competing views — including forms of modalism and Arian-style subordinationism, both surveyed earlier in this book — before the fourth-century councils settled on one option and declared the others heretical</w:t>
      </w:r>
      <w:hyperlink w:anchor="cite_330" w:history="1">
        <w:r>
          <w:rPr>
            <w:color w:val="671C2A"/>
            <w:sz w:val="16"/>
            <w:vertAlign w:val="superscript"/>
          </w:rPr>
          <w:t>330</w:t>
        </w:r>
      </w:hyperlink>
      <w:r>
        <w:t>. He also points to specific textual evidence: 1 John 5:7-8, in some older English translations, contains an explicit Trinitarian formula (“there are three that testify: the Spirit, the water, and the blood… these three are one” alongside language naming Father, Word, and Spirit), but the overwhelming majority of textual scholars, including many strongly committed to historic orthodoxy, agree this specific wording — known as the Comma Johanneum — is a later scribal addition absent from the earliest and best Greek manuscripts</w:t>
      </w:r>
      <w:hyperlink w:anchor="cite_331" w:history="1">
        <w:r>
          <w:rPr>
            <w:color w:val="671C2A"/>
            <w:sz w:val="16"/>
            <w:vertAlign w:val="superscript"/>
          </w:rPr>
          <w:t>331</w:t>
        </w:r>
      </w:hyperlink>
      <w:r>
        <w:t>.</w:t>
      </w:r>
    </w:p>
    <w:p w14:paraId="5BE49F3C" w14:textId="77777777" w:rsidR="009C7F52" w:rsidRDefault="00731002">
      <w:pPr>
        <w:pStyle w:val="BodyText"/>
      </w:pPr>
      <w:r>
        <w:t>Related to this historical-critical argument, though distinct from it, is a movement calling itself Biblical Unitarianism, represented by writers such as Sir Anthony Buzzard, whose work argues directly, on exegetical and historical grounds, that the New Testament itself teaches that Jesus is a fully human Messiah, uniquely empowered and exalted by God but not personally pre-existent or ontologically divine, and that the λόγος (logos, “word”) of John’s prologue should be understood as a divine attribute or plan that “became flesh” metaphorically in Jesus, rather than as a personally pre-existent divine being</w:t>
      </w:r>
      <w:hyperlink w:anchor="cite_332" w:history="1">
        <w:r>
          <w:rPr>
            <w:color w:val="671C2A"/>
            <w:sz w:val="16"/>
            <w:vertAlign w:val="superscript"/>
          </w:rPr>
          <w:t>332</w:t>
        </w:r>
      </w:hyperlink>
      <w:r>
        <w:t xml:space="preserve">. Biblical Unitarian writers argue, in the words the </w:t>
      </w:r>
      <w:r>
        <w:rPr>
          <w:i/>
          <w:iCs/>
        </w:rPr>
        <w:t>Stanford Encyclopedia of Philosophy</w:t>
      </w:r>
      <w:r>
        <w:t xml:space="preserve"> uses to summarize the position, that “modern, history-informed interpretation has undermined traditionally popular trinitarian proof-texts,” and that talk of the Son’s “generation” and the Spirit’s “procession” in the Gospel of John does not, on close reading, support the later claims made about the inner relations of the Trinity</w:t>
      </w:r>
      <w:hyperlink w:anchor="cite_333" w:history="1">
        <w:r>
          <w:rPr>
            <w:color w:val="671C2A"/>
            <w:sz w:val="16"/>
            <w:vertAlign w:val="superscript"/>
          </w:rPr>
          <w:t>333</w:t>
        </w:r>
      </w:hyperlink>
      <w:r>
        <w:t>.</w:t>
      </w:r>
    </w:p>
    <w:p w14:paraId="6CBDB9E1" w14:textId="77777777" w:rsidR="009C7F52" w:rsidRDefault="00731002">
      <w:pPr>
        <w:pStyle w:val="BodyText"/>
      </w:pPr>
      <w:r>
        <w:t>These are serious arguments made by serious people, and they deserve a serious answer rather than a dismissive one. The strongest form of the challenge can be stated honestly like this: the word “Trinity” appears nowhere in the Bible; the fourth-century technical vocabulary this book has explained at length — οὐσία (ousia, “essence”), ὑπόστασις (hypostasis, “person”), ὁμοούσιος (homoousios, “of the same substance”) — appears nowhere in the New Testament either; and the councils that produced this vocabulary did so centuries after the apostles, under real ecclesiastical and imperial pressure, choosing among genuinely live theological options rather than simply restating something univocally obvious in the text. If all of that is true, the argument concludes, calling the doctrine “apostolic” or “biblical” overstates the case.</w:t>
      </w:r>
    </w:p>
    <w:p w14:paraId="4590DAF5" w14:textId="77777777" w:rsidR="009C7F52" w:rsidRDefault="00731002">
      <w:pPr>
        <w:pStyle w:val="Heading3"/>
        <w:pBdr>
          <w:bottom w:val="single" w:sz="4" w:space="5" w:color="C8AE75"/>
        </w:pBdr>
      </w:pPr>
      <w:bookmarkStart w:id="231" w:name="Xc0a0434c7ecef6faece5b3c81b2b1edc1d57003"/>
      <w:bookmarkEnd w:id="230"/>
      <w:r>
        <w:t>Development of Vocabulary Is Not Invention of Content</w:t>
      </w:r>
    </w:p>
    <w:p w14:paraId="612CCA56" w14:textId="77777777" w:rsidR="009C7F52" w:rsidRDefault="00731002">
      <w:pPr>
        <w:pStyle w:val="FirstParagraph"/>
      </w:pPr>
      <w:r>
        <w:t xml:space="preserve">The historic response to this challenge begins by granting what should be granted honestly, and then showing why it does not prove what the challenge needs it to prove. It is true that the word “Trinity” does not appear in the New Testament. It is equally true that the words “Bible,” “monotheism,” and “omniscience” do not appear in the New Testament either, and no one on any side of this debate doubts that Scripture teaches those concepts. The relevant historical question is not whether a later technical vocabulary was developed — vocabulary is always developed later, to state precisely what a community already believes when looser language proves exploitable by rival readings — but whether the </w:t>
      </w:r>
      <w:r>
        <w:rPr>
          <w:i/>
          <w:iCs/>
        </w:rPr>
        <w:t>content</w:t>
      </w:r>
      <w:r>
        <w:t xml:space="preserve"> the vocabulary names was already present in the apostolic writings before any council convened. On that question, the evidence runs strongly against the “late invention” thesis, and it is worth walking through it directly, because this is exactly the kind of claim the brief asks this book to test with care rather than assume.</w:t>
      </w:r>
    </w:p>
    <w:p w14:paraId="0E5B1D36" w14:textId="77777777" w:rsidR="009C7F52" w:rsidRDefault="00731002">
      <w:pPr>
        <w:pStyle w:val="BodyText"/>
      </w:pPr>
      <w:r>
        <w:t xml:space="preserve">The historian Larry Hurtado, in his major study </w:t>
      </w:r>
      <w:r>
        <w:rPr>
          <w:i/>
          <w:iCs/>
        </w:rPr>
        <w:t>Lord Jesus Christ: Devotion to Jesus in Earliest Christianity</w:t>
      </w:r>
      <w:r>
        <w:t xml:space="preserve"> (2003), documented in painstaking historical detail that Jesus was already being worshiped, prayed to, and treated as an object of the kind of devotion that Second Temple Jewish monotheism reserved for God alone within the first few years after the crucifixion — not gradually, over centuries, but startlingly early, within a Jewish milieu that would have found ordinary creature-worship intolerable</w:t>
      </w:r>
      <w:hyperlink w:anchor="cite_334" w:history="1">
        <w:r>
          <w:rPr>
            <w:color w:val="671C2A"/>
            <w:sz w:val="16"/>
            <w:vertAlign w:val="superscript"/>
          </w:rPr>
          <w:t>334</w:t>
        </w:r>
      </w:hyperlink>
      <w:r>
        <w:t xml:space="preserve">. Philippians 2:6-11, one of the earliest pieces of Christian material we possess, is widely recognized by scholars across the theological spectrum — including many who do not share Trinitarian convictions — as a pre-Pauline hymn: liturgical material already composed and circulating in the churches before Paul incorporated it into a letter written in the early 60s AD, meaning the tradition itself is older still. The hymn describes Christ existing “in the form of God” prior to a voluntary self-emptying and incarnation, and it climaxes by applying to Jesus the language of Isaiah 45:23 — “that at the name of Jesus every knee should bow… and every tongue confess that Jesus Christ is Lord” — a passage in which the God of Israel had declared that every knee would bow to </w:t>
      </w:r>
      <w:r>
        <w:rPr>
          <w:i/>
          <w:iCs/>
        </w:rPr>
        <w:t>him alone</w:t>
      </w:r>
      <w:r>
        <w:t>. Applying that specific text to Jesus, within a generation of the crucifixion, in a community of Jewish and Gentile believers steeped in the exclusive monotheism of Isaiah, is a theological claim of the highest order, made far too early to be explained as a fourth-century imperial committee’s invention.</w:t>
      </w:r>
    </w:p>
    <w:p w14:paraId="587C5D88" w14:textId="77777777" w:rsidR="009C7F52" w:rsidRDefault="00731002">
      <w:pPr>
        <w:pStyle w:val="BodyText"/>
      </w:pPr>
      <w:r>
        <w:t>A second piece of pre-literary material makes the same case from an entirely different angle, because it concerns not Christ’s identity but the resurrection message at the very center of apostolic preaching. In 1 Corinthians 15:3-5, Paul explicitly signals that he is quoting rather than composing, using the technical language of receiving and passing on a fixed tradition: “For I delivered to you as of first importance what I also received: that Christ died for our sins in accordance with the Scriptures, that he was buried, that he was raised on the third day in accordance with the Scriptures, and that he appeared to Cephas, then to the twelve.” Scholars across a wide range of theological commitments — including many with no confessional stake in defending orthodoxy — date this creedal formula extraordinarily early: the majority position places it within the first five years after the crucifixion, with the most common estimate around AD 30-35, since Paul most plausibly received it from Peter and James themselves during his visit to Jerusalem described in Galatians 1:18, usually dated to about AD 35</w:t>
      </w:r>
      <w:hyperlink w:anchor="cite_335" w:history="1">
        <w:r>
          <w:rPr>
            <w:color w:val="671C2A"/>
            <w:sz w:val="16"/>
            <w:vertAlign w:val="superscript"/>
          </w:rPr>
          <w:t>335</w:t>
        </w:r>
      </w:hyperlink>
      <w:r>
        <w:t>. The German New Testament scholar Ulrich Wilckens, no defender of traditional orthodoxy on other points, described the formula as one that “indubitably goes back to the oldest phase of all in the history of primitive Christianity”</w:t>
      </w:r>
      <w:hyperlink w:anchor="cite_336" w:history="1">
        <w:r>
          <w:rPr>
            <w:color w:val="671C2A"/>
            <w:sz w:val="16"/>
            <w:vertAlign w:val="superscript"/>
          </w:rPr>
          <w:t>336</w:t>
        </w:r>
      </w:hyperlink>
      <w:r>
        <w:t>. This matters directly for the late-invention thesis: a fixed, memorized, community-transmitted formula about Christ already existed and was already stable enough to be “received” as tradition within a few short years of the crucifixion itself — decades before a single Gospel was written down, and nearly three centuries before Nicaea. Read alongside Philippians 2:6-11, the two texts show that the earliest layer of Christian tradition available to historians, not the latest, already carried the seeds of the church’s later, more precise vocabulary.</w:t>
      </w:r>
    </w:p>
    <w:p w14:paraId="361D1E19" w14:textId="77777777" w:rsidR="009C7F52" w:rsidRDefault="00731002">
      <w:pPr>
        <w:pStyle w:val="BodyText"/>
      </w:pPr>
      <w:r>
        <w:t>The evidence is not confined to poetic or liturgical material. A Roman governor named Pliny the Younger, writing to the Emperor Trajan around AD 112 — roughly two centuries before Nicaea, and as a hostile outside observer with no theological stake in the outcome — reported that Christians under investigation testified that they were accustomed to “meet on a certain day before light where they gather and sing hymns to Christ as to a god”</w:t>
      </w:r>
      <w:hyperlink w:anchor="cite_337" w:history="1">
        <w:r>
          <w:rPr>
            <w:color w:val="671C2A"/>
            <w:sz w:val="16"/>
            <w:vertAlign w:val="superscript"/>
          </w:rPr>
          <w:t>337</w:t>
        </w:r>
      </w:hyperlink>
      <w:r>
        <w:t>. This is a pagan Roman official’s neutral administrative report, not Christian apologetics, and it independently confirms that treating Christ as an object of worship comparable to a god was already ordinary, unremarkable Christian practice within decades of the apostolic generation. Ignatius of Antioch, writing letters on his way to martyrdom around AD 107 — a bishop discipled directly by figures from the apostolic generation — repeatedly calls Jesus “our God” without qualification or apparent controversy, decades before any of the specific heresies or councils this book has surveyed arose to force the issue.</w:t>
      </w:r>
    </w:p>
    <w:p w14:paraId="161869F2" w14:textId="77777777" w:rsidR="009C7F52" w:rsidRDefault="00731002">
      <w:pPr>
        <w:pStyle w:val="Heading3"/>
        <w:pBdr>
          <w:bottom w:val="single" w:sz="4" w:space="5" w:color="C8AE75"/>
        </w:pBdr>
      </w:pPr>
      <w:bookmarkStart w:id="232" w:name="answering-the-specific-claims"/>
      <w:bookmarkEnd w:id="231"/>
      <w:r>
        <w:t>Answering the Specific Claims</w:t>
      </w:r>
    </w:p>
    <w:p w14:paraId="41A5199E" w14:textId="77777777" w:rsidR="009C7F52" w:rsidRDefault="00731002">
      <w:pPr>
        <w:pStyle w:val="FirstParagraph"/>
      </w:pPr>
      <w:r>
        <w:t>On Ehrman’s distinction between “finding references to Father, Son, and Spirit” and “finding the formal doctrine,” the historic response agrees the distinction is real but denies it does the work the argument needs. This book’s own earlier chapters have shown, at length, that the New Testament’s data — the Father who sends, the Son who prays and is worshiped, the Spirit who is grieved and who intercedes, all three named together in a single baptismal command (Matthew 28:19) and a single apostolic blessing (2 Corinthians 13:14) — already requires both of the doctrine’s non-negotiable pillars: real, personal distinction between three, and full, undivided divine unity. The fourth-century councils did not invent this data to solve a political problem; they were convened specifically because rival readings of that same data — Arius’s subordinationism on one side, Sabellius’s modalism on the other — had already emerged and needed a precise, technical vocabulary to rule out both errors while preserving everything the apostolic writings actually said. The content came first, from the apostles; the vocabulary came later, from councils forced to defend that content against rival readings, exactly the way this book has traced case by case in earlier chapters.</w:t>
      </w:r>
    </w:p>
    <w:p w14:paraId="75D49EC8" w14:textId="77777777" w:rsidR="009C7F52" w:rsidRDefault="00731002">
      <w:pPr>
        <w:pStyle w:val="BodyText"/>
      </w:pPr>
      <w:r>
        <w:t>On the Comma Johanneum specifically, the honest textual-critical judgment that this specific wording in 1 John 5:7-8 is a later scribal addition, absent from the earliest Greek manuscripts, should simply be accepted — historic Trinitarian orthodoxy does not need this verse and has never needed it as its primary support, and conceding a text-critical point costs the doctrine nothing, because John 1:1, Philippians 2:6-11, Colossians 1:15-20, Hebrews 1, and the dozens of other texts surveyed throughout this book carry the full weight of the case without it. A doctrine that can survive losing one disputed textual variant without collapsing was never actually built on that variant in the first place.</w:t>
      </w:r>
    </w:p>
    <w:p w14:paraId="78DC5D6F" w14:textId="77777777" w:rsidR="009C7F52" w:rsidRDefault="00731002">
      <w:pPr>
        <w:pStyle w:val="BodyText"/>
      </w:pPr>
      <w:r>
        <w:t xml:space="preserve">On Biblical Unitarianism’s specific reading of John’s prologue — that the λόγος (logos, “word”) is merely a divine attribute or plan, metaphorically “become flesh” — the same grammatical and contextual case made earlier in this book against Socinian and Jehovah’s Witness readings of John 1:1 applies with equal force here: an attribute does not create (“all things were made through him,” John 1:3), an attribute is not addressed face-to-face by another person (“the Word was </w:t>
      </w:r>
      <w:r>
        <w:rPr>
          <w:i/>
          <w:iCs/>
        </w:rPr>
        <w:t>with</w:t>
      </w:r>
      <w:r>
        <w:t xml:space="preserve"> God,” πρὸς τὸν θεόν, pros ton theon), and an attribute cannot be prayed to for the restoration of a glory it possessed “before the world existed” (John 17:5). The Biblical Unitarian reading requires treating a substantial portion of John’s own text as figurative language that the text’s own grammar and narrative logic resist at every turn.</w:t>
      </w:r>
    </w:p>
    <w:p w14:paraId="38F9520D" w14:textId="77777777" w:rsidR="009C7F52" w:rsidRDefault="00731002">
      <w:pPr>
        <w:pStyle w:val="Heading3"/>
        <w:pBdr>
          <w:bottom w:val="single" w:sz="4" w:space="5" w:color="C8AE75"/>
        </w:pBdr>
      </w:pPr>
      <w:bookmarkStart w:id="233" w:name="continuity-not-invention"/>
      <w:bookmarkEnd w:id="232"/>
      <w:r>
        <w:t>Continuity, Not Invention</w:t>
      </w:r>
    </w:p>
    <w:p w14:paraId="4FCD97C3" w14:textId="77777777" w:rsidR="009C7F52" w:rsidRDefault="00731002">
      <w:pPr>
        <w:pStyle w:val="FirstParagraph"/>
      </w:pPr>
      <w:r>
        <w:t>The picture that actually emerges from careful historical work — including much of the historical-critical scholarship the skeptical argument itself relies on — is one of continuity, not invention. The New Testament writers, working within a fiercely monotheistic Jewish framework that made room for no rival gods, nonetheless applied to Jesus the language, the worship, and in several explicit texts the very title (“God,” in John 1:1, John 20:28, Hebrews 1:8, and elsewhere) that Second Temple Judaism reserved for Yahweh alone — and they did this from the earliest recoverable strata of Christian tradition, not as a late accretion. What developed later was not the substance of this conviction but the precise technical vocabulary needed to state it without ambiguity once rival simplifications — one person wearing masks, or a Son who is a lesser, created being — began to compete for the same biblical texts. Recognizing that historical development occurred is simply good historical method; concluding from that development that the content itself was invented, rather than clarified, does not follow from the evidence, and on the specific texts examined across this book, it does not survive contact with them.</w:t>
      </w:r>
    </w:p>
    <w:p w14:paraId="1D43E1EB" w14:textId="77777777" w:rsidR="009C7F52" w:rsidRDefault="007D6CCB">
      <w:r>
        <w:rPr>
          <w:noProof/>
        </w:rPr>
      </w:r>
      <w:r w:rsidR="007D6CCB">
        <w:rPr>
          <w:noProof/>
        </w:rPr>
        <w:pict w14:anchorId="6A7B37F5">
          <v:rect id="_x0000_i1041" style="width:0;height:1.5pt" o:hralign="center" o:hrstd="t" o:hr="t"/>
        </w:pict>
      </w:r>
    </w:p>
    <w:p w14:paraId="503EB230" w14:textId="77777777" w:rsidR="009F2F79" w:rsidRDefault="001A04A2">
      <w:pPr>
        <w:pStyle w:val="Heading3"/>
      </w:pPr>
      <w:r>
        <w:t>Major Skeptical Questions Answered</w:t>
      </w:r>
    </w:p>
    <w:p w14:paraId="1046AFA9" w14:textId="77777777" w:rsidR="009F2F79" w:rsidRDefault="001A04A2">
      <w:pPr>
        <w:pStyle w:val="Heading3"/>
      </w:pPr>
      <w:r>
        <w:t>Is the Trinity Logically Contradictory</w:t>
      </w:r>
    </w:p>
    <w:p w14:paraId="02CDA02B" w14:textId="77777777" w:rsidR="009F2F79" w:rsidRDefault="001A04A2">
      <w:pPr>
        <w:pStyle w:val="FirstParagraph"/>
      </w:pPr>
      <w:r>
        <w:t>A contradiction would affirm that God is one person and three persons, or one being and three beings, at the same time and in the same respect. The doctrine affirms neither. God is one with respect to Being and three with respect to person. “Being” answers what something is; “person” identifies who acts and relates. The distinction does not make the doctrine easy to imagine, but it removes the alleged formal contradiction. Mystery exceeds comprehension; contradiction violates meaning. The Trinity is mysterious without asserting that one equals three in the same category.</w:t>
      </w:r>
    </w:p>
    <w:p w14:paraId="258646D2" w14:textId="77777777" w:rsidR="009F2F79" w:rsidRDefault="001A04A2">
      <w:pPr>
        <w:pStyle w:val="Heading3"/>
      </w:pPr>
      <w:r>
        <w:t>Are the Personal Distinctions Incoherent</w:t>
      </w:r>
    </w:p>
    <w:p w14:paraId="2B57BEC9" w14:textId="77777777" w:rsidR="009F2F79" w:rsidRDefault="001A04A2">
      <w:pPr>
        <w:pStyle w:val="FirstParagraph"/>
      </w:pPr>
      <w:r>
        <w:t>Human persons ordinarily possess separate beings, minds, and wills because every human is a separate instance of human nature. God is not three instances of a species called deity. The one infinite divine nature is numerically one and indivisible. Father, Son, and Spirit therefore do not stand beside one another as three human individuals do. Their distinction is disclosed through eternal relations: the Father is unbegotten, the Son is eternally from the Father, and the Spirit eternally proceeds; Scripture manifests these distinctions through love, sending, testimony, communion, and glorification.</w:t>
      </w:r>
    </w:p>
    <w:p w14:paraId="603EDCFD" w14:textId="77777777" w:rsidR="009F2F79" w:rsidRDefault="001A04A2">
      <w:pPr>
        <w:pStyle w:val="Heading3"/>
      </w:pPr>
      <w:r>
        <w:t>Does Submission Prove Inequality</w:t>
      </w:r>
    </w:p>
    <w:p w14:paraId="66B0CA0C" w14:textId="77777777" w:rsidR="009F2F79" w:rsidRDefault="001A04A2">
      <w:pPr>
        <w:pStyle w:val="FirstParagraph"/>
      </w:pPr>
      <w:r>
        <w:t>No. Submission may indicate an ordered relation or accepted mission without implying inferiority of nature. In the economy of salvation the Son willingly assumes servant form and obeys as the incarnate mediator. The Spirit is sent to glorify Christ and apply redemption. These roles do not measure how much deity each person possesses. The Son’s obedience must be read with his eternal divine glory, and the Spirit’s mission with his divine knowledge, will, works, and inclusion in the divine name.</w:t>
      </w:r>
    </w:p>
    <w:p w14:paraId="27441D08" w14:textId="77777777" w:rsidR="009F2F79" w:rsidRDefault="001A04A2">
      <w:pPr>
        <w:pStyle w:val="Heading3"/>
      </w:pPr>
      <w:r>
        <w:t>Does One Divine Will Erase the Persons</w:t>
      </w:r>
    </w:p>
    <w:p w14:paraId="7B1A7A3E" w14:textId="77777777" w:rsidR="009F2F79" w:rsidRDefault="001A04A2">
      <w:pPr>
        <w:pStyle w:val="FirstParagraph"/>
      </w:pPr>
      <w:r>
        <w:t>Classical Trinitarianism locates will in nature, not in person considered apart from nature. Because the divine nature is one, God has one divine intellect, power, and will; there are not three divine decision-makers capable of conflict. Personal distinction is grounded in relations of origin and manifested in the ordered way the persons possess and enact the one divine life. Christ’s “not my will” does not require a second divine will opposed to the Father. It reveals the genuine human will assumed by the Son within the hypostatic union.</w:t>
      </w:r>
    </w:p>
    <w:p w14:paraId="41D0A185" w14:textId="77777777" w:rsidR="009F2F79" w:rsidRDefault="001A04A2">
      <w:pPr>
        <w:pStyle w:val="Heading3"/>
      </w:pPr>
      <w:r>
        <w:t>Is a Unipersonal God Simpler or More Rational</w:t>
      </w:r>
    </w:p>
    <w:p w14:paraId="7BD15509" w14:textId="77777777" w:rsidR="009F2F79" w:rsidRDefault="001A04A2">
      <w:pPr>
        <w:pStyle w:val="FirstParagraph"/>
      </w:pPr>
      <w:r>
        <w:t>The question assumes that human preference can determine what God must be. Divine simplicity means that God is not composed of separable parts; it does not mean that God must be one person. The triune persons are not components added together to form deity. Each wholly possesses the one simple essence. A unipersonal deity may seem easier to picture, but ease of imagination is not evidence. Christian theology must confess the God revealed in Scripture rather than redesign divine life according to a prior standard of simplicity.</w:t>
      </w:r>
    </w:p>
    <w:p w14:paraId="28B845CA" w14:textId="77777777" w:rsidR="009F2F79" w:rsidRDefault="001A04A2">
      <w:pPr>
        <w:pStyle w:val="Heading3"/>
      </w:pPr>
      <w:r>
        <w:t>Does Occam’s Razor Favor Unitarianism</w:t>
      </w:r>
    </w:p>
    <w:p w14:paraId="405A121A" w14:textId="77777777" w:rsidR="009F2F79" w:rsidRDefault="001A04A2">
      <w:pPr>
        <w:pStyle w:val="FirstParagraph"/>
      </w:pPr>
      <w:r>
        <w:t>Occam’s Razor cautions against multiplying explanatory entities without necessity; it does not authorize removing distinctions required by evidence. If Scripture presented only one divine person, a triune confession would be needless. But Scripture distinguishes Father, Son, and Spirit while attributing deity to each and preserving monotheism. The three-person confession is not an optional complication added to explain the universe. It is the minimum doctrinal synthesis capable of preserving the complete biblical data.</w:t>
      </w:r>
    </w:p>
    <w:p w14:paraId="5A75405E" w14:textId="77777777" w:rsidR="009F2F79" w:rsidRDefault="001A04A2">
      <w:pPr>
        <w:pStyle w:val="Heading3"/>
      </w:pPr>
      <w:r>
        <w:t>Did Jesus Explicitly Teach the Trinity</w:t>
      </w:r>
    </w:p>
    <w:p w14:paraId="5F333694" w14:textId="77777777" w:rsidR="009F2F79" w:rsidRDefault="001A04A2">
      <w:pPr>
        <w:pStyle w:val="FirstParagraph"/>
      </w:pPr>
      <w:r>
        <w:t>Jesus does not deliver the later conciliar formula “one essence in three persons,” but he supplies its revealed content. He distinguishes himself from the Father who sent him, speaks of glory shared with the Father before creation, claims divine works and honors, promises another Helper who proceeds from the Father and glorifies the Son, and commands baptism into the singular name of Father, Son, and Holy Spirit. Doctrine often summarizes a network of biblical teaching in words Scripture does not place into one sentence. The absence of the technical term “Trinity” no more disproves the doctrine than the absence of later terms such as “incarnation” or “monotheism.”</w:t>
      </w:r>
    </w:p>
    <w:p w14:paraId="4AC1C333" w14:textId="77777777" w:rsidR="009F2F79" w:rsidRDefault="001A04A2">
      <w:pPr>
        <w:pStyle w:val="Heading3"/>
      </w:pPr>
      <w:r>
        <w:t>Why Did Formal Definition Take Centuries</w:t>
      </w:r>
    </w:p>
    <w:p w14:paraId="066A69E7" w14:textId="77777777" w:rsidR="009F2F79" w:rsidRDefault="001A04A2">
      <w:pPr>
        <w:pStyle w:val="FirstParagraph"/>
      </w:pPr>
      <w:r>
        <w:t>The church worshiped Father, Son, and Spirit before it possessed a universally stabilized technical vocabulary for their relation. Controversy forced greater precision. Modalism required clearer distinction of the persons; Arianism required language protecting the Son’s full deity; later debates required careful distinction between person and nature in Christ. Nicaea and Constantinople did not manufacture new objects of worship. They disciplined language so the church could reject interpretations that failed to account for Scripture and the baptismal faith already practiced.</w:t>
      </w:r>
    </w:p>
    <w:p w14:paraId="3B6D6563" w14:textId="77777777" w:rsidR="009F2F79" w:rsidRDefault="001A04A2">
      <w:pPr>
        <w:pStyle w:val="Heading3"/>
      </w:pPr>
      <w:r>
        <w:t>Did Paul Clearly Teach the Trinity</w:t>
      </w:r>
    </w:p>
    <w:p w14:paraId="6ED74FB8" w14:textId="77777777" w:rsidR="009F2F79" w:rsidRDefault="001A04A2">
      <w:pPr>
        <w:pStyle w:val="FirstParagraph"/>
      </w:pPr>
      <w:r>
        <w:t>Paul’s teaching is not usually arranged as a later systematic definition, but it is deeply Trinitarian. First Corinthians 8:6 includes Jesus within Israel’s confession of the one God; Philippians 2:6–11 presents the preexistent divine Son humbled and universally confessed as Lord; Romans 8 distinguishes God, Christ, and the indwelling Spirit throughout salvation; 1 Corinthians 12:4–6 coordinates the same Spirit, Lord, and God in the church’s gifts; Ephesians 1:3–14 orders salvation through the Father’s purpose, the Son’s redemption, and the Spirit’s sealing; and 2 Corinthians 13:14 invokes all three in apostolic blessing.</w:t>
      </w:r>
    </w:p>
    <w:p w14:paraId="551A2DFE" w14:textId="77777777" w:rsidR="009F2F79" w:rsidRDefault="001A04A2">
      <w:pPr>
        <w:pStyle w:val="Heading3"/>
      </w:pPr>
      <w:r>
        <w:t>Why Is the Trinity So Often Misunderstood</w:t>
      </w:r>
    </w:p>
    <w:p w14:paraId="6863558B" w14:textId="77777777" w:rsidR="009F2F79" w:rsidRDefault="001A04A2">
      <w:pPr>
        <w:pStyle w:val="FirstParagraph"/>
      </w:pPr>
      <w:r>
        <w:t>The doctrine concerns the infinite God and therefore exceeds creaturely comprehension. Misunderstanding also arises because ordinary human experience provides no exact analogy for one indivisible being in three persons. Illustrations drawn from water, roles, eggs, or three cooperating humans usually distort one side of the confession. Difficulty does not count against truth, but it does require disciplined vocabulary. The church’s terms function as boundaries: one Being guards monotheism, three persons guard real relation, and coequal and coeternal guard full deity.</w:t>
      </w:r>
    </w:p>
    <w:p w14:paraId="45D5A165" w14:textId="77777777" w:rsidR="009F2F79" w:rsidRDefault="001A04A2">
      <w:pPr>
        <w:pStyle w:val="Heading3"/>
      </w:pPr>
      <w:r>
        <w:t>How Is the Trinity Different from Polytheism</w:t>
      </w:r>
    </w:p>
    <w:p w14:paraId="2F9D68BF" w14:textId="77777777" w:rsidR="009F2F79" w:rsidRDefault="001A04A2">
      <w:pPr>
        <w:pStyle w:val="FirstParagraph"/>
      </w:pPr>
      <w:r>
        <w:t>Polytheism affirms multiple divine beings, each possessing its own existence and powers. Trinitarianism affirms exactly one divine Being, one divine essence, one infinite power, one knowledge, one will, and one undivided divine action. The persons are not three gods who cooperate or belong to a shared class. They are the Father, Son, and Spirit who each wholly possess the same numerically one divine nature. Personal relation does not multiply the essence.</w:t>
      </w:r>
    </w:p>
    <w:p w14:paraId="44C8450C" w14:textId="77777777" w:rsidR="009F2F79" w:rsidRDefault="001A04A2">
      <w:pPr>
        <w:pStyle w:val="Heading3"/>
      </w:pPr>
      <w:r>
        <w:t>Why Do Judaism and Islam Reject the Trinity</w:t>
      </w:r>
    </w:p>
    <w:p w14:paraId="520DB925" w14:textId="77777777" w:rsidR="009F2F79" w:rsidRDefault="001A04A2">
      <w:pPr>
        <w:pStyle w:val="FirstParagraph"/>
      </w:pPr>
      <w:r>
        <w:t>Rabbinic Judaism and Islam understand Christian claims through different authorities and doctrinal histories, so their rejection cannot by itself decide what the Christian Scriptures teach. Christianity agrees with their protest against three gods and against dividing God. The disputed question is whether the New Testament includes Jesus Christ and the Holy Spirit within the identity and activity of the one God of Israel while distinguishing them personally. The Christian case must therefore be made exegetically, not by asking whether the conclusion matches a later non-Christian definition of monotheism.</w:t>
      </w:r>
    </w:p>
    <w:p w14:paraId="7384ADD5" w14:textId="77777777" w:rsidR="009F2F79" w:rsidRDefault="001A04A2">
      <w:pPr>
        <w:pStyle w:val="Heading3"/>
      </w:pPr>
      <w:r>
        <w:t>What Difference Does the Trinity Make</w:t>
      </w:r>
    </w:p>
    <w:p w14:paraId="440DCC13" w14:textId="77777777" w:rsidR="009F2F79" w:rsidRDefault="001A04A2">
      <w:pPr>
        <w:pStyle w:val="FirstParagraph"/>
      </w:pPr>
      <w:r>
        <w:t>The doctrine identifies the God who saves. The Father elects and sends, the Son assumes humanity and accomplishes redemption, and the Spirit unites believers to Christ and perfects them in holiness. Christian love is grounded in the eternal love of Father and Son in the fellowship of the Spirit. Prayer, assurance, worship, adoption, and communion with God all have a Trinitarian shape. To remove the Trinity is not to simplify an abstract doctrine; it is to alter the identity of the Savior and the structure of salvation.</w:t>
      </w:r>
    </w:p>
    <w:p w14:paraId="605ACCF1" w14:textId="77777777" w:rsidR="009F2F79" w:rsidRDefault="001A04A2">
      <w:pPr>
        <w:pStyle w:val="Heading3"/>
      </w:pPr>
      <w:r>
        <w:t>Does the Trinity Make God More Distant</w:t>
      </w:r>
    </w:p>
    <w:p w14:paraId="167523CD" w14:textId="77777777" w:rsidR="009F2F79" w:rsidRDefault="001A04A2">
      <w:pPr>
        <w:pStyle w:val="FirstParagraph"/>
      </w:pPr>
      <w:r>
        <w:t>The Trinity explains how the transcendent God brings believers near. Through the Son, believers have access in one Spirit to the Father (Ephesians 2:18). Prayer is ordinarily directed to the Father through the mediation of the Son and by the help of the Spirit, while the New Testament also records direct invocation of Christ. The persons do not compete to hear or answer. The one God acts inseparably: the Father receives through the Son, the Son intercedes, and the Spirit enables communion. Triune relation is therefore the grammar of divine nearness, not an obstacle to it.</w:t>
      </w:r>
    </w:p>
    <w:p w14:paraId="26EB38AE" w14:textId="77777777" w:rsidR="009C7F52" w:rsidRDefault="00731002">
      <w:pPr>
        <w:pStyle w:val="Heading2"/>
        <w:pBdr>
          <w:bottom w:val="single" w:sz="10" w:space="8" w:color="A68037"/>
        </w:pBdr>
      </w:pPr>
      <w:bookmarkStart w:id="234" w:name="X064b3bdc52b5744f8b5d90ca6dbb37e397ab7de"/>
      <w:bookmarkEnd w:id="229"/>
      <w:bookmarkEnd w:id="233"/>
      <w:r>
        <w:t>Chapter 32: Why the Doctrine Still Matters: Worship, Salvation, and the Christian Life</w:t>
      </w:r>
    </w:p>
    <w:p w14:paraId="28EA3072" w14:textId="77777777" w:rsidR="009C7F52" w:rsidRDefault="00731002">
      <w:pPr>
        <w:pStyle w:val="FirstParagraph"/>
      </w:pPr>
      <w:r>
        <w:t>Five chapters of this part have surveyed serious, sincere, often brilliant attempts to simplify what Scripture says about God, and five times this book has shown why the simplification does not hold. It would be easy to close this part having proven a series of debating points and missed the actual reason any of it matters. The doctrine of the Trinity is not primarily a puzzle to be solved or a position to be defended in argument. It is the truth about God that makes Christian worship, Christian salvation, and Christian identity coherent at all — and every challenge surveyed in this part, if it were actually true, would quietly dissolve one of those three things.</w:t>
      </w:r>
    </w:p>
    <w:p w14:paraId="3B5158F6" w14:textId="77777777" w:rsidR="009C7F52" w:rsidRDefault="00731002">
      <w:pPr>
        <w:pStyle w:val="Heading3"/>
        <w:pBdr>
          <w:bottom w:val="single" w:sz="4" w:space="5" w:color="C8AE75"/>
        </w:pBdr>
      </w:pPr>
      <w:bookmarkStart w:id="235" w:name="Xe0cedc2d2c67a44cad510ded382e7251cc6aeaa"/>
      <w:r>
        <w:t>What Breaks If Oneness Pentecostalism Is True</w:t>
      </w:r>
    </w:p>
    <w:p w14:paraId="3ACE9D26" w14:textId="77777777" w:rsidR="009C7F52" w:rsidRDefault="00731002">
      <w:pPr>
        <w:pStyle w:val="FirstParagraph"/>
      </w:pPr>
      <w:r>
        <w:t>If God is truly a single divine person wearing three successive roles, as Oneness theology teaches, then prayer itself becomes strange in a way its own adherents rarely follow all the way through. When Jesus prays in Gethsemane, “not as I will, but as you will” (Matthew 26:39), he is either performing a script for observers — a real person cannot genuinely submit his will to his own identical will, because there is no second will there to submit to — or something has actually gone wrong in how the persons are being described. When the New Testament instructs believers to pray “through” Christ “to” the Father “in” the Spirit (Ephesians 2:18), it assumes a genuine, personal relationship between three distinguishable parties who each play an irreplaceable role in a single act of access to God. Modalism cannot sustain this pattern without either draining it of real relational content or landing back in the ancient error of Patripassianism, in which the Father himself would have to be the one who suffered and died — a claim no New Testament writer ever makes, and one the church rejected the moment it was proposed. This book’s earlier chapters showed why the grammar of the text — the Son’s address to a genuine “You,” the Spirit’s distinct intercession, the Father’s audible voice at the Jordan alongside the Son standing in the water and the Spirit descending as a dove (Matthew 3:16-17) — will not collapse into one person without leaving enormous amounts of Scripture unaccounted for.</w:t>
      </w:r>
    </w:p>
    <w:p w14:paraId="236F9518" w14:textId="77777777" w:rsidR="009C7F52" w:rsidRDefault="00731002">
      <w:pPr>
        <w:pStyle w:val="Heading3"/>
        <w:pBdr>
          <w:bottom w:val="single" w:sz="4" w:space="5" w:color="C8AE75"/>
        </w:pBdr>
      </w:pPr>
      <w:bookmarkStart w:id="236" w:name="X49977ae28eb7d2f2e68b01470f22a1fcf76cdf4"/>
      <w:bookmarkEnd w:id="235"/>
      <w:r>
        <w:t>What Breaks If Arianism or Tritheism Is True</w:t>
      </w:r>
    </w:p>
    <w:p w14:paraId="0AB78ED7" w14:textId="77777777" w:rsidR="009C7F52" w:rsidRDefault="00731002">
      <w:pPr>
        <w:pStyle w:val="FirstParagraph"/>
      </w:pPr>
      <w:r>
        <w:t>If Jesus Christ is a creature, however exalted — the position shared, in different forms, by ancient Arianism and the modern Jehovah’s Witness movement — then the atonement changes in kind, not merely in degree. Scripture’s account of salvation requires a mediator adequate to the debt being paid: “there is one mediator between God and men, the man Christ Jesus” (1 Timothy 2:5), a mediator who must be genuinely human to stand in humanity’s place, and genuinely, fully God to bear a debt that only an infinite person can bear without being consumed by it. A created being’s suffering, however immense, remains finite suffering; it cannot satisfy infinite justice for the same reason no sum of finite numbers, added together, ever becomes infinite. This is why Hebrews places such weight on declaring the Son’s throne “forever and ever” in the very words of the Father himself (Hebrews 1:8), and why John’s Gospel opens by insisting that the one who “became flesh” (John 1:14) was, before that, nothing less than God (John 1:1). If Christ is not fully, eternally, personally God, the cross remains a profound moral example but stops being what the New Testament actually claims it is: God himself, in the person of the Son, absorbing in his own being the judgment his justice required.</w:t>
      </w:r>
    </w:p>
    <w:p w14:paraId="3EEF8EC5" w14:textId="77777777" w:rsidR="009C7F52" w:rsidRDefault="00731002">
      <w:pPr>
        <w:pStyle w:val="BodyText"/>
      </w:pPr>
      <w:r>
        <w:t>Mormonism’s tritheism, examined in Chapter 29, breaks something related but distinct: not the adequacy of the atonement, since LDS theology affirms Christ’s full deity in its own separate-being framework, but the very meaning of monotheism itself, and with it the sharp line between Creator and creature that anchors all biblical worship. A doctrine of eternal progression that allows humans to become gods, and that describes God the Father as having once been a mortal man who himself progressed to godhood, erases the one distinction Isaiah insists can never be erased: “Before me no god was formed, nor shall there be any after me” (Isaiah 43:10). If the category “God” can be entered by progression, “God” no longer names something absolutely and eternally unique; it names a rank, and ranks admit of more members. The historic doctrine’s insistence that Father, Son, and Spirit share one eternal, uncreated essence — never divided, never entered, never left — is what keeps worship from becoming, even in principle, negotiable.</w:t>
      </w:r>
    </w:p>
    <w:p w14:paraId="0744EC0B" w14:textId="77777777" w:rsidR="009C7F52" w:rsidRDefault="00731002">
      <w:pPr>
        <w:pStyle w:val="Heading3"/>
        <w:pBdr>
          <w:bottom w:val="single" w:sz="4" w:space="5" w:color="C8AE75"/>
        </w:pBdr>
      </w:pPr>
      <w:bookmarkStart w:id="237" w:name="X55ae63c52bc7634c1df46e32dd93a2d8a741128"/>
      <w:bookmarkEnd w:id="236"/>
      <w:r>
        <w:t>What Islam’s Challenge Clarifies, and What Skepticism Cannot Undo</w:t>
      </w:r>
    </w:p>
    <w:p w14:paraId="7A20189E" w14:textId="77777777" w:rsidR="009C7F52" w:rsidRDefault="00731002">
      <w:pPr>
        <w:pStyle w:val="FirstParagraph"/>
      </w:pPr>
      <w:r>
        <w:t xml:space="preserve">Islam’s charge of </w:t>
      </w:r>
      <w:r>
        <w:rPr>
          <w:i/>
          <w:iCs/>
        </w:rPr>
        <w:t>shirk</w:t>
      </w:r>
      <w:r>
        <w:t>, examined fairly in Chapter 30, does not require abandoning the doctrine; it requires stating the doctrine precisely enough that the charge does not land, because it is not actually describing the target it thinks it is hitting. The doctrine of the Trinity has never taught that God has a literal divine family, or that Mary is a fourth divine person, or that three separate gods cooperate the way a business partnership might. Stated with precision — one eternal being, three coequal and coeternal persons, none of them a rival or a partner to the others because none of them is a separate being at all — the doctrine is not the polytheism the Qur’an condemns. It is the position that safeguards, more rigorously than any competing simplification surveyed in this part, the very thing tawhid and Trinitarian orthodoxy both insist on without compromise: that God alone is God, and worship belongs to him alone.</w:t>
      </w:r>
    </w:p>
    <w:p w14:paraId="3C5D4F33" w14:textId="77777777" w:rsidR="009C7F52" w:rsidRDefault="00731002">
      <w:pPr>
        <w:pStyle w:val="BodyText"/>
      </w:pPr>
      <w:r>
        <w:t>The modern historical-critical challenge, examined in Chapter 31, cannot be waved away with a slogan, but neither does it accomplish what it sets out to. Development of precise vocabulary across the fourth century is a real historical fact; invention of the underlying conviction is not — the evidence of Philippians 2’s early hymn, Pliny’s outside report of first-century worship practices, and John’s Gospel’s own opening chapter converge on a conclusion the “late invention” thesis cannot absorb: the church did not gradually promote a merely human Jesus into a divine one over three centuries of theological drift. It spent three centuries finding the words precise enough to say what it had confessed from the beginning, against increasingly sophisticated rival readings of the same texts.</w:t>
      </w:r>
    </w:p>
    <w:p w14:paraId="62B41D49" w14:textId="77777777" w:rsidR="009C7F52" w:rsidRDefault="00731002">
      <w:pPr>
        <w:pStyle w:val="Heading3"/>
        <w:pBdr>
          <w:bottom w:val="single" w:sz="4" w:space="5" w:color="C8AE75"/>
        </w:pBdr>
      </w:pPr>
      <w:bookmarkStart w:id="238" w:name="how-the-trinity-shapes-christian-prayer"/>
      <w:bookmarkEnd w:id="237"/>
      <w:r>
        <w:t>How the Trinity Shapes Christian Prayer</w:t>
      </w:r>
    </w:p>
    <w:p w14:paraId="32D4577B" w14:textId="77777777" w:rsidR="009C7F52" w:rsidRDefault="00731002">
      <w:pPr>
        <w:pStyle w:val="FirstParagraph"/>
      </w:pPr>
      <w:r>
        <w:t>Step back from the specific challenges this part has answered, and consider something almost every Christian does every day without necessarily noticing its structure: prayer. The New Testament’s own description of how access to God actually works is thoroughly and unavoidably triune. Paul tells the Ephesian church, “For through him we both have access in one Spirit to the Father” (Ephesians 2:18) — a single sentence naming all three persons, each doing something only that person does: the Father is the one approached, the Son is the one through whom access is granted, and the Spirit is the one in whose power the approach actually happens</w:t>
      </w:r>
      <w:hyperlink w:anchor="cite_338" w:history="1">
        <w:r>
          <w:rPr>
            <w:color w:val="671C2A"/>
            <w:sz w:val="16"/>
            <w:vertAlign w:val="superscript"/>
          </w:rPr>
          <w:t>338</w:t>
        </w:r>
      </w:hyperlink>
      <w:r>
        <w:t>. This is not incidental phrasing that a Oneness or Unitarian reading could absorb without strain; it describes three distinguishable roles operating together in a single act, exactly the pattern this part has traced verse by verse against every simplification that would collapse the three into one, subordinate the Son or Spirit to a lesser status, or multiply them into separate, cooperating beings.</w:t>
      </w:r>
    </w:p>
    <w:p w14:paraId="172CDAFC" w14:textId="77777777" w:rsidR="009C7F52" w:rsidRDefault="00731002">
      <w:pPr>
        <w:pStyle w:val="BodyText"/>
      </w:pPr>
      <w:r>
        <w:t>The ordinary Christian instinct to pray “in Jesus’s name” reflects the same structure in miniature. It means approaching the Father specifically through the mediating access the Son has secured by his own finished work, not addressing an undifferentiated divine mass or invoking a name as a mere formula. And when believers do not know what to pray, Paul says, “the Spirit himself intercedes for us with groanings too deep for words” (Romans 8:26) — a distinct person doing a distinct, ongoing work of intercession that the Father receives and the Son’s own mediating work does not duplicate but complements. Take away real, personal distinction among the three, as Oneness theology does, and this entire structure collapses into one person, at different moments, talking to himself under different names. Take away the full, undivided deity of the Son or the Spirit, as Arianism and the Jehovah’s Witness system do, and the access secured is no longer access secured by God himself, but by a subordinate, however exalted, standing in for him. The ordinary act of prayer, examined closely, requires precisely the doctrine this part has spent six chapters defending.</w:t>
      </w:r>
    </w:p>
    <w:p w14:paraId="2ED9AC19" w14:textId="77777777" w:rsidR="009C7F52" w:rsidRDefault="00731002">
      <w:pPr>
        <w:pStyle w:val="Heading3"/>
        <w:pBdr>
          <w:bottom w:val="single" w:sz="4" w:space="5" w:color="C8AE75"/>
        </w:pBdr>
      </w:pPr>
      <w:bookmarkStart w:id="239" w:name="how-the-trinity-shapes-christian-worship"/>
      <w:bookmarkEnd w:id="238"/>
      <w:r>
        <w:t>How the Trinity Shapes Christian Worship</w:t>
      </w:r>
    </w:p>
    <w:p w14:paraId="6FABF78C" w14:textId="77777777" w:rsidR="009C7F52" w:rsidRDefault="00731002">
      <w:pPr>
        <w:pStyle w:val="FirstParagraph"/>
      </w:pPr>
      <w:r>
        <w:t>Worship shows the same structure from a different angle. The apostolic benediction that closes Paul’s second letter to the Corinthian church names all three persons together, each contributing something distinct to a single blessing: “The grace of the Lord Jesus Christ, and the love of God, and the fellowship of the Holy Spirit be with you all” (2 Corinthians 13:14). This is not a doxology in the formal sense — it is a benediction, a blessing pronounced over the gathered church — but its structure matters precisely because it was not composed as a piece of dogmatic argument; it is Paul’s unreflective, pastoral way of closing a letter, which makes it a more reliable witness to what he actually believed than a carefully argued treatise would be</w:t>
      </w:r>
      <w:hyperlink w:anchor="cite_339" w:history="1">
        <w:r>
          <w:rPr>
            <w:color w:val="671C2A"/>
            <w:sz w:val="16"/>
            <w:vertAlign w:val="superscript"/>
          </w:rPr>
          <w:t>339</w:t>
        </w:r>
      </w:hyperlink>
      <w:r>
        <w:t>. The same triune pattern recurs in the baptismal formula (Matthew 28:19) and in Jude’s closing doxology, which addresses “the only God, our Savior, through Jesus Christ our Lord” (Jude 24-25) in a single breath. Across genres as different as legal formula, personal correspondence, and liturgical doxology, the New Testament writers instinctively reach for a three-personed structure whenever they describe the object and shape of Christian devotion.</w:t>
      </w:r>
    </w:p>
    <w:p w14:paraId="3344A61A" w14:textId="77777777" w:rsidR="009C7F52" w:rsidRDefault="00731002">
      <w:pPr>
        <w:pStyle w:val="BodyText"/>
      </w:pPr>
      <w:r>
        <w:t>This matters because worship is the one place Scripture is least willing to compromise. The Old Testament’s insistence that God alone may be worshiped, and that no image or intermediary may share in it, runs from the second commandment straight through the prophets; the New Testament does not relax this insistence even slightly — it simply reveals that the one God who alone may be worshiped is Father, Son, and Spirit together. Every challenge surveyed in this part, if actually true, would force a choice Scripture itself refuses to offer: worship a single person wearing three masks, worship one supreme being alongside two lesser, worshipful-but-subordinate beings, or worship three separate gods united only by agreement. The doctrine of the Trinity is what allows a Christian to sing hymns to Christ, as Pliny the Younger’s early-second-century letter records believers already doing decades after the apostles</w:t>
      </w:r>
      <w:hyperlink w:anchor="cite_340" w:history="1">
        <w:r>
          <w:rPr>
            <w:color w:val="671C2A"/>
            <w:sz w:val="16"/>
            <w:vertAlign w:val="superscript"/>
          </w:rPr>
          <w:t>340</w:t>
        </w:r>
      </w:hyperlink>
      <w:r>
        <w:t>, pray to the Spirit’s help, and address the Father as the source of all things — and to do every one of these three things as acts of worship to the single God, rather than as the fragmentation of worship among rival objects.</w:t>
      </w:r>
    </w:p>
    <w:p w14:paraId="6BA51107" w14:textId="77777777" w:rsidR="009C7F52" w:rsidRDefault="00731002">
      <w:pPr>
        <w:pStyle w:val="Heading3"/>
        <w:pBdr>
          <w:bottom w:val="single" w:sz="4" w:space="5" w:color="C8AE75"/>
        </w:pBdr>
      </w:pPr>
      <w:bookmarkStart w:id="240" w:name="Xd402dcb4d4c5a2e96481c1b3dfec0a1d7e72315"/>
      <w:bookmarkEnd w:id="239"/>
      <w:r>
        <w:t>How the Trinity Grounds Assurance of Salvation</w:t>
      </w:r>
    </w:p>
    <w:p w14:paraId="368B34BA" w14:textId="77777777" w:rsidR="009C7F52" w:rsidRDefault="00731002">
      <w:pPr>
        <w:pStyle w:val="FirstParagraph"/>
      </w:pPr>
      <w:r>
        <w:t>A final, deeply practical stake concerns something every serious Christian eventually asks: how can a believer actually know, with settled confidence rather than anxious hope, that they belong to God? Scripture’s answer is triune at every step, and losing any piece of the doctrine weakens the answer at exactly the point believers need it most. Paul writes, “For all who are led by the Spirit of God are sons of God… The Spirit himself bears witness with our spirit that we are children of God” (Romans 8:14, 16) — a distinct divine person, personally present within the believer, testifying to a truth the believer’s own feelings cannot reliably establish on their own. This inner testimony is not a vague religious feeling; it is the activity of a divine person who indwells believers permanently, described elsewhere as “the guarantee of our inheritance” (Ephesians 1:14) — a legal and financial term for a down payment that guarantees the rest of the transaction will be completed.</w:t>
      </w:r>
    </w:p>
    <w:p w14:paraId="15728EBA" w14:textId="77777777" w:rsidR="009C7F52" w:rsidRDefault="00731002">
      <w:pPr>
        <w:pStyle w:val="BodyText"/>
      </w:pPr>
      <w:r>
        <w:t>If the Spirit is not a fully divine person but merely, as Jehovah’s Witness theology holds, an impersonal force or active power, this testimony reduces to something considerably less reassuring: an influence acting on a believer from outside, rather than God himself dwelling within and personally vouching for what he has done. If Oneness theology is true and there is no genuine distinction between the Spirit interceding and the Father receiving that intercession, the same testimony becomes strangely self-referential, one mode of a single person reassuring that same person about himself. The historic doctrine keeps the reassurance exactly as robust as Scripture presents it: a real, distinct, fully divine Spirit personally testifying to a real, distinct, fully divine Father, about a salvation secured by a real, distinct, fully divine Son — three persons, each contributing something no other person in the Godhead can substitute, converging on the believer’s assurance from three directions at once rather than one voice speaking to itself.</w:t>
      </w:r>
    </w:p>
    <w:p w14:paraId="66DA302A" w14:textId="77777777" w:rsidR="009C7F52" w:rsidRDefault="00731002">
      <w:pPr>
        <w:pStyle w:val="Heading3"/>
        <w:pBdr>
          <w:bottom w:val="single" w:sz="4" w:space="5" w:color="C8AE75"/>
        </w:pBdr>
      </w:pPr>
      <w:bookmarkStart w:id="241" w:name="Xae997ab10d7411987c2a5ff2f7ea297c44a1671"/>
      <w:bookmarkEnd w:id="240"/>
      <w:r>
        <w:t>Only a Fully Divine Son Can Save; Only a Fully Divine Spirit Can Indwell</w:t>
      </w:r>
    </w:p>
    <w:p w14:paraId="5B7696BE" w14:textId="77777777" w:rsidR="009C7F52" w:rsidRDefault="00731002">
      <w:pPr>
        <w:pStyle w:val="FirstParagraph"/>
      </w:pPr>
      <w:r>
        <w:t>Pull every challenge surveyed in this part back to a single point, and it comes down to this: the doctrine of the Trinity is not a philosophical decoration bolted onto the gospel after the fact. It is the structure that makes the gospel’s central claims coherent at all. Only a fully divine Son can be a mediator adequate to bear infinite guilt and reconcile finite creatures to an infinite God, because only an infinite person’s suffering carries infinite worth. Only a fully divine Spirit can regenerate a dead human heart and permanently indwell a believer as the divine down payment on final redemption, exactly as the preceding section on assurance has already shown, rather than a borrowed force operating at a distance. And only a Trinity in which Father, Son, and Spirit are genuinely, personally distinct can sustain the actual relationships the New Testament describes in prayer and worship alike: a Son who prays to a Father he is not identical to, a Spirit who intercedes with groanings too deep for words, and a Father who receives it all, sends the Son in the first place, and will one day be “all in all” (1 Corinthians 15:28) — not because the other two persons cease to be, but because the mission for which the Son was sent and the Spirit poured out will finally be complete.</w:t>
      </w:r>
    </w:p>
    <w:p w14:paraId="6F81EEE8" w14:textId="77777777" w:rsidR="009C7F52" w:rsidRDefault="00731002">
      <w:pPr>
        <w:pStyle w:val="BodyText"/>
      </w:pPr>
      <w:r>
        <w:t>This is why the challenges surveyed in this part are not merely intellectual curiosities to be filed away after they are answered. Each one, taken seriously and followed to its actual conclusion, would cost real people something they cannot afford to lose: a Savior strong enough to actually save, a Spirit present enough to actually indwell, and a God faithful enough that “there is no other besides him” remains true forever, not merely for now. Every simplification this part has examined offers, in exchange, something that sounds simpler. None of them offers something that is actually true to the whole of what God has revealed about himself — and it is to that whole, rather than to any single verse pressed too hard in isolation, that the church has had to keep returning, generation after generation, ever since the apostles first tried to say, in words, what they had seen and touched and worshiped in Jesus Christ.</w:t>
      </w:r>
    </w:p>
    <w:p w14:paraId="66B72C18" w14:textId="77777777" w:rsidR="009C7F52" w:rsidRDefault="00731002">
      <w:r>
        <w:br w:type="page"/>
      </w:r>
    </w:p>
    <w:p w14:paraId="1C2391A0" w14:textId="77777777" w:rsidR="009F2F79" w:rsidRDefault="001A04A2">
      <w:pPr>
        <w:pStyle w:val="Heading3"/>
      </w:pPr>
      <w:r>
        <w:t>Worship God as He Has Revealed Himself</w:t>
      </w:r>
    </w:p>
    <w:p w14:paraId="1B967919" w14:textId="77777777" w:rsidR="009F2F79" w:rsidRDefault="001A04A2">
      <w:pPr>
        <w:pStyle w:val="FirstParagraph"/>
      </w:pPr>
      <w:r>
        <w:t>White describes the Trinity as the highest revelation God has given of himself, which means the doctrine belongs to worship before it belongs to debate. Christians are not free to worship a simpler deity constructed from the parts of Scripture they find easiest to understand. Faith receives God as he has made himself known: the Father who loves and sends, the Son who comes, reveals, redeems, and reigns, and the Spirit who gives life, indwells, sanctifies, and brings believers into communion with God.</w:t>
      </w:r>
    </w:p>
    <w:p w14:paraId="76B082FA" w14:textId="77777777" w:rsidR="009F2F79" w:rsidRDefault="001A04A2">
      <w:pPr>
        <w:pStyle w:val="BodyText"/>
      </w:pPr>
      <w:r>
        <w:t>The shape of salvation is irreducibly Trinitarian. The Father purposes and gives a people to the Son; the Son assumes their nature, obeys, dies, rises, and intercedes for them; the Spirit unites them to Christ, grants life and faith, dwells within them, produces holiness, and seals them for the inheritance. These are not three independent works. They are the one saving work of the one God, personally ordered from the Father, accomplished through the Son, and applied by the Spirit.</w:t>
      </w:r>
    </w:p>
    <w:p w14:paraId="6C9DBB49" w14:textId="77777777" w:rsidR="009F2F79" w:rsidRDefault="001A04A2">
      <w:pPr>
        <w:pStyle w:val="BodyText"/>
      </w:pPr>
      <w:r>
        <w:t>Christian prayer ordinarily follows the same pattern: to the Father, through the Son, in or by the Holy Spirit. Ephesians 2:18 states that through Christ believers have access in one Spirit to the Father. The pattern is not a rule forbidding every direct address to the Son, since the New Testament records prayer and invocation directed to Christ, but it is the ordinary grammar of Christian access to God. The Spirit does not replace the Son, and the Son does not conceal the Father; each person acts in perfect unity to bring the redeemed into fellowship with the triune God.</w:t>
      </w:r>
    </w:p>
    <w:p w14:paraId="7A26D321" w14:textId="77777777" w:rsidR="009F2F79" w:rsidRDefault="001A04A2">
      <w:pPr>
        <w:pStyle w:val="BodyText"/>
      </w:pPr>
      <w:r>
        <w:t>The doctrine also protects the gospel itself. If the Son is a creature, he cannot reveal the Father without remainder or bear the infinite weight of divine judgment as the sufficient Savior of the world. If the Spirit is an impersonal power, believers are not indwelt by a divine person who knows, loves, intercedes, and sanctifies. If Father, Son, and Spirit are only modes, the Father did not truly send the Son, the Son did not truly offer himself to the Father, and the Spirit does not truly unite believers to the Son. Trinitarian confession is therefore not ornamental theology placed around the gospel; it is the grammar of the gospel’s saving action.</w:t>
      </w:r>
    </w:p>
    <w:p w14:paraId="3E7EA3AE" w14:textId="77777777" w:rsidR="009F2F79" w:rsidRDefault="001A04A2">
      <w:pPr>
        <w:pStyle w:val="BodyText"/>
      </w:pPr>
      <w:r>
        <w:t>To recover the “forgotten Trinity” is consequently to recover Christian worship, assurance, and communion with God. The Father’s love is not distant, because it is made known in the giving of the Son. The Son’s redemption is not merely external, because the Spirit joins believers to Christ. The Spirit’s work is not anonymous power, because he brings the church into the Son’s fellowship with the Father. The Christian life is life from the Father, through the Son, and by the Spirit, returning in praise to the one God who is eternally Father, Son, and Holy Spirit.</w:t>
      </w:r>
    </w:p>
    <w:p w14:paraId="1B5A2C72" w14:textId="77777777" w:rsidR="009F2F79" w:rsidRDefault="001A04A2">
      <w:pPr>
        <w:pStyle w:val="Heading3"/>
      </w:pPr>
      <w:r>
        <w:t>Humility Before the Highest Revelation</w:t>
      </w:r>
    </w:p>
    <w:p w14:paraId="6D67C9E8" w14:textId="77777777" w:rsidR="009F2F79" w:rsidRDefault="001A04A2">
      <w:pPr>
        <w:pStyle w:val="FirstParagraph"/>
      </w:pPr>
      <w:r>
        <w:t>The Trinity tests whether believers will allow God to be wiser than they are. A doctrine may not be rejected merely because it exceeds familiar categories or resists reduction to an illustration. True worship receives God as he exists and as he has spoken, rather than preferring a deity more easily contained by the human mind. The appropriate response to the triune revelation is therefore neither irrationalism nor proud mastery, but careful exegesis joined to intellectual humility.</w:t>
      </w:r>
    </w:p>
    <w:p w14:paraId="41B9C7D6" w14:textId="77777777" w:rsidR="009F2F79" w:rsidRDefault="001A04A2">
      <w:pPr>
        <w:pStyle w:val="Heading3"/>
      </w:pPr>
      <w:r>
        <w:t>The Triune God’s Intellectual Perfections</w:t>
      </w:r>
    </w:p>
    <w:p w14:paraId="0F342EA4" w14:textId="77777777" w:rsidR="009F2F79" w:rsidRDefault="001A04A2">
      <w:pPr>
        <w:pStyle w:val="FirstParagraph"/>
      </w:pPr>
      <w:r>
        <w:t>Christian trust rests on the triune God’s knowledge, wisdom, truthfulness, and faithfulness. The Father’s saving purpose is not a guess about an uncertain future; the Son does not misunderstand the people he redeems; the Spirit does not apply an improvised remedy. The one omniscient God knows all things in one undivided act, and the ordered missions of Son and Spirit reveal rather than revise his eternal wisdom. Because God cannot lie and cannot deny himself, the Father’s promise, the Son’s accomplishment, and the Spirit’s seal form one covenant faithfulness. Believers may grow in knowledge and wisdom only as dependent images, receiving truth through the Son who is the truth and illumination through the Spirit of truth.</w:t>
      </w:r>
    </w:p>
    <w:p w14:paraId="5FEE1182" w14:textId="77777777" w:rsidR="009F2F79" w:rsidRDefault="001A04A2">
      <w:pPr>
        <w:pStyle w:val="Heading3"/>
      </w:pPr>
      <w:r>
        <w:t>The Triune God’s Holy Moral Character</w:t>
      </w:r>
    </w:p>
    <w:p w14:paraId="4B229074" w14:textId="77777777" w:rsidR="009F2F79" w:rsidRDefault="001A04A2">
      <w:pPr>
        <w:pStyle w:val="FirstParagraph"/>
      </w:pPr>
      <w:r>
        <w:t>Holiness, righteousness, justice, goodness, love, grace, mercy, patience, kindness, compassion, jealousy, and wrath are not competing impulses within God. They are creaturely ways of naming the one pure moral perfection of Father, Son, and Spirit. The Father’s wrath is not opposed to a merciful Son, and the Son does not persuade a reluctant Father to become loving. God so loved that he gave the Son; the Son loved and gave himself; the Spirit pours God’s love into believers’ hearts. At the cross, the triune God condemns sin and grants mercy through one saving purpose. Holy wrath is settled opposition to evil, not loss of control; divine jealousy is rightful zeal for covenant worship, not creaturely envy.</w:t>
      </w:r>
    </w:p>
    <w:p w14:paraId="080C7F05" w14:textId="77777777" w:rsidR="009F2F79" w:rsidRDefault="001A04A2">
      <w:pPr>
        <w:pStyle w:val="BodyText"/>
      </w:pPr>
      <w:r>
        <w:t>These communicable perfections shape discipleship because salvation restores the divine image. The Spirit unites believers to Christ so that knowledge, truthfulness, faithfulness, justice, mercy, patience, and love become real creaturely habits. Sanctification does not make anyone divine by nature. It conforms finite persons to the human holiness of the incarnate Son. The difference between Creator and creature remains absolute even at glorification: redeemed people reflect God truly and joyfully, but always by grace, measure, and dependence.</w:t>
      </w:r>
    </w:p>
    <w:p w14:paraId="6271A43A" w14:textId="77777777" w:rsidR="009F2F79" w:rsidRDefault="001A04A2">
      <w:pPr>
        <w:pStyle w:val="Heading3"/>
      </w:pPr>
      <w:r>
        <w:t>Freedom, Will, Providence, and Lordship</w:t>
      </w:r>
    </w:p>
    <w:p w14:paraId="3CB634DD" w14:textId="77777777" w:rsidR="009F2F79" w:rsidRDefault="001A04A2">
      <w:pPr>
        <w:pStyle w:val="FirstParagraph"/>
      </w:pPr>
      <w:r>
        <w:t>God’s freedom means that no external necessity compels his acts. His sovereign or decretive will appoints all that comes to pass; his preceptive will commands what creatures ought to do; Scripture also speaks of his holy disposition toward obedience, repentance, justice, and mercy. These distinctions prevent confusion without placing contrary wills inside God. The one divine will is wise, holy, and effective. Providence is that will’s execution in preservation, concurrence, and government. Father, Son, and Spirit do not pursue separate plans: the Father purposes all things in Christ, the Son upholds all things, and the Spirit gives life and directs the church within one lordship.</w:t>
      </w:r>
    </w:p>
    <w:p w14:paraId="3516DC6D" w14:textId="77777777" w:rsidR="009F2F79" w:rsidRDefault="001A04A2">
      <w:pPr>
        <w:pStyle w:val="BodyText"/>
      </w:pPr>
      <w:r>
        <w:t>Sovereignty and creaturely responsibility meet supremely at the cross. Jesus is delivered according to God’s definite plan, while the people who crucify him remain lawless and accountable (Acts 2:23). The Father ordains, the Son willingly offers himself, and the Spirit is active in the offering; no person is the author of sin, and no creaturely action escapes providence. This gives Christian prayer confidence without fatalism. Means, warnings, decisions, and petitions are real instruments within God’s government, not competitors to it.</w:t>
      </w:r>
    </w:p>
    <w:p w14:paraId="491308C8" w14:textId="77777777" w:rsidR="009F2F79" w:rsidRDefault="001A04A2">
      <w:pPr>
        <w:pStyle w:val="Heading3"/>
      </w:pPr>
      <w:r>
        <w:t>Glory, Beauty, Blessedness, Perfection, and Majesty</w:t>
      </w:r>
    </w:p>
    <w:p w14:paraId="7A44A98F" w14:textId="77777777" w:rsidR="009F2F79" w:rsidRDefault="001A04A2">
      <w:pPr>
        <w:pStyle w:val="FirstParagraph"/>
      </w:pPr>
      <w:r>
        <w:t>God’s glory is the manifest radiance of all his perfections; his beauty is their inexhaustible harmony and desirability; his blessedness is the fullness and joy of his own triune life; his perfection is the absence of every lack; and his majesty is the royal greatness before which creatures worship. These are not decorative conclusions added after more useful doctrines. They name the end for which theology exists. The Father glorifies the Son, the Son glorifies the Father, and the Spirit glorifies the Son—not as three beings exchanging needed affirmation, but as the eternal plenitude of the one divine glory disclosed in the economy of salvation.</w:t>
      </w:r>
    </w:p>
    <w:p w14:paraId="3729C909" w14:textId="77777777" w:rsidR="009F2F79" w:rsidRDefault="001A04A2">
      <w:pPr>
        <w:pStyle w:val="BodyText"/>
      </w:pPr>
      <w:r>
        <w:t>Because God is blessed in himself, worship adds nothing to him; because he is good, worship brings creatures into their proper joy. Because his beauty is objective, holiness is not a grim subtraction from life but conformity to the loveliness of Christ. Because his majesty is joined to mercy, reverence and nearness are not opposites. The proper outcome of the attributes is worship, trust in providence, pursuit of holiness, rest in divine faithfulness, and proclamation of the gospel. Theology reaches its goal when the church knows the Father through the Son in the Spirit and answers the triune God with intelligent, obedient praise.</w:t>
      </w:r>
    </w:p>
    <w:p w14:paraId="5912424C" w14:textId="77777777" w:rsidR="009F2F79" w:rsidRDefault="001A04A2">
      <w:pPr>
        <w:pStyle w:val="Heading3"/>
      </w:pPr>
      <w:r>
        <w:t>The Gospel’s Trinitarian Shape</w:t>
      </w:r>
    </w:p>
    <w:p w14:paraId="2C864A42" w14:textId="77777777" w:rsidR="009F2F79" w:rsidRDefault="001A04A2">
      <w:pPr>
        <w:pStyle w:val="FirstParagraph"/>
      </w:pPr>
      <w:r>
        <w:t>The Trinity is not an appendix to salvation. At the baptism of Jesus, the Father speaks, the Son stands in the water, and the Spirit descends; in the mission of redemption, the Father sends the Son, and the Father and the Son send the Spirit. The same personal order appears in the believer’s adoption: the Son redeems those under the law so that they may receive adoption, and God sends the Spirit of his Son into their hearts to cry, “Abba, Father.” Salvation is communion with the Father through the Son by the Spirit.</w:t>
      </w:r>
      <w:hyperlink w:anchor="cite_389" w:history="1">
        <w:r>
          <w:rPr>
            <w:color w:val="671C2A"/>
            <w:sz w:val="16"/>
            <w:vertAlign w:val="superscript"/>
          </w:rPr>
          <w:t>389</w:t>
        </w:r>
      </w:hyperlink>
    </w:p>
    <w:p w14:paraId="36DB87FD" w14:textId="77777777" w:rsidR="009F2F79" w:rsidRDefault="001A04A2">
      <w:pPr>
        <w:pStyle w:val="BodyText"/>
      </w:pPr>
      <w:r>
        <w:t>That structure gives assurance its depth. The Father’s purpose is not separated from the Son’s achievement, and the Son’s achievement is not separated from the Spirit’s application. The believer is not asked to assemble three uncertain contributions into one hope. The undivided triune God saves: the Father chooses and gives, the Son assumes human nature and accomplishes redemption, and the Spirit unites, indwells, sanctifies, and preserves. Distinct personal missions reveal one sovereign grace.</w:t>
      </w:r>
    </w:p>
    <w:p w14:paraId="1EFCCFBA" w14:textId="77777777" w:rsidR="009F2F79" w:rsidRDefault="001A04A2">
      <w:pPr>
        <w:pStyle w:val="BodyText"/>
      </w:pPr>
      <w:r>
        <w:t>It also makes worship personal without fragmenting it. Christians do not choose among three gods or wonder which divine person is willing to receive them. They come to the Father in the name and righteousness of the Son, enabled by the Spirit who dwells within them. They worship the Son who gave himself for them and the Spirit who gives life, while confessing one glory, one majesty, and one divine blessedness. The practical end of Trinitarian doctrine is not mastery of a diagram but fellowship with the God the doctrine names.</w:t>
      </w:r>
    </w:p>
    <w:p w14:paraId="63B9CBBD" w14:textId="77777777" w:rsidR="009C7F52" w:rsidRDefault="00731002">
      <w:pPr>
        <w:pStyle w:val="Heading2"/>
        <w:pBdr>
          <w:bottom w:val="single" w:sz="10" w:space="8" w:color="A68037"/>
        </w:pBdr>
      </w:pPr>
      <w:bookmarkStart w:id="242" w:name="X18533f28758ab3603510caf576963d8324e836f"/>
      <w:bookmarkEnd w:id="234"/>
      <w:bookmarkEnd w:id="241"/>
      <w:r>
        <w:t>Conclusion: The God Who Is One and the God Who Is Three</w:t>
      </w:r>
    </w:p>
    <w:p w14:paraId="69CA0233" w14:textId="77777777" w:rsidR="009C7F52" w:rsidRDefault="00731002">
      <w:pPr>
        <w:pStyle w:val="FirstParagraph"/>
      </w:pPr>
      <w:r>
        <w:t>Begin again, for a moment, where this book began: with a shepherd’s descendant standing before a burning bush, asking a strange voice for its name, and receiving an answer that would define Israel’s faith for the next fifteen hundred years — יהוה (YHWH), the LORD, the God who simply is. From that bush to a Roman cross outside Jerusalem to a council hall in Nicaea to a Reformation pulpit in Geneva, this book has followed a single question through all of redemptive history: who is this God, really, in himself?</w:t>
      </w:r>
    </w:p>
    <w:p w14:paraId="05C357FD" w14:textId="77777777" w:rsidR="009C7F52" w:rsidRDefault="00731002">
      <w:pPr>
        <w:pStyle w:val="BodyText"/>
      </w:pPr>
      <w:r>
        <w:t>The Old Testament answered part of that question with total, uncompromised clarity. Israel’s God is one. There is no council of rival gods above him, no pantheon he ranks within, no power that shares his throne as an equal. The Shema said it, and the prophets defended it against every rival cult in the ancient Near East, at the cost of exile and blood. But the Old Testament also left threads hanging that it never tied off — the Angel of the LORD who speaks with the LORD’s own voice, the plural Elohim paired with singular verbs, the two enthroned figures of Daniel 7, the personified Wisdom who was with God “in the beginning.” This book has tried hard not to overclaim what those threads mean on their own. They are not the Trinity in embryonic form, fully understood by the prophets who wrote them. They are real, and they are strange, and they are exactly the kind of thing you would expect to find if the fuller revelation that was coming was going to be an unveiling of something already true about God, rather than an invention of something new.</w:t>
      </w:r>
    </w:p>
    <w:p w14:paraId="3213493F" w14:textId="77777777" w:rsidR="009C7F52" w:rsidRDefault="00731002">
      <w:pPr>
        <w:pStyle w:val="BodyText"/>
      </w:pPr>
      <w:r>
        <w:t>Then the New Testament answered the rest of the question — not by abandoning the Old Testament’s monotheism, but by revealing who had been included in it all along. The Father who sends, the Son who is sent and yet who says “before Abraham was, I am,” the Spirit who searches the depths of God and who can be lied to because lying to him is lying to God himself. The apostles did not experience a crisis of monotheism when they worshiped Jesus; Paul did not feel he was betraying the Shema when he wrote that “for us there is one God, the Father… and one Lord, Jesus Christ” (1 Corinthians 8:6). They had met, in history, the very plurality-within-unity the Old Testament had gestured toward, and they described it in the only terms available: worship, prayer, and confession offered to Father, Son, and Spirit together as the one God of Israel.</w:t>
      </w:r>
    </w:p>
    <w:p w14:paraId="28EDC28A" w14:textId="77777777" w:rsidR="009C7F52" w:rsidRDefault="00731002">
      <w:pPr>
        <w:pStyle w:val="BodyText"/>
      </w:pPr>
      <w:r>
        <w:t xml:space="preserve">It then took the church centuries — through apologists defending the faith to a hostile empire, through the Arian crisis that nearly split Christendom, through Nicaea and Constantinople and Ephesus and Chalcedon, through Augustine’s reflections in the West and the Cappadocian Fathers’ precision in the East — to build the vocabulary equal to what Scripture had already revealed. That vocabulary did not add to revelation; it defended it, using tools (ὁμοούσιος, </w:t>
      </w:r>
      <w:r>
        <w:rPr>
          <w:i/>
          <w:iCs/>
        </w:rPr>
        <w:t>homoousios</w:t>
      </w:r>
      <w:r>
        <w:t xml:space="preserve">, “of the same substance”; ὑπόστασις, </w:t>
      </w:r>
      <w:r>
        <w:rPr>
          <w:i/>
          <w:iCs/>
        </w:rPr>
        <w:t>hypostasis</w:t>
      </w:r>
      <w:r>
        <w:t>, “an individual, personal reality”) the biblical writers never needed because no one had yet denied what those words protect. And when a Spanish physician in the sixteenth century revived the ancient denial in Calvin’s Geneva, and when eighteenth- and nineteenth-century movements did the same in new forms, and when religions arose that rejected the doctrine outright, the church did not need a new doctrine to answer them. It needed only to keep saying clearly what it had always confessed.</w:t>
      </w:r>
    </w:p>
    <w:p w14:paraId="444CFB01" w14:textId="77777777" w:rsidR="009C7F52" w:rsidRDefault="00731002">
      <w:pPr>
        <w:pStyle w:val="BodyText"/>
      </w:pPr>
      <w:r>
        <w:t>That confession is what James R. White’s definition captures in a single sentence: “Within the one Being that is God, there exists eternally three coequal and coeternal persons, namely, the Father, the Son, and the Holy Spirit.” One Being — not divided, not three separate gods cooperating, not one God wearing three masks in succession. Three persons — real, eternal, relational distinctions, each fully and completely God, none more or less divine than the others, none created, none beginning to exist after the others. Coequal. Coeternal. Every chapter of this book has been, in one sense, a long commentary on that single sentence, showing where each of its words came from, why the church insisted on each one, and what was lost whenever someone tried to remove one of them.</w:t>
      </w:r>
    </w:p>
    <w:p w14:paraId="58462B28" w14:textId="77777777" w:rsidR="009C7F52" w:rsidRDefault="00731002">
      <w:pPr>
        <w:pStyle w:val="BodyText"/>
      </w:pPr>
      <w:r>
        <w:t>None of this makes the Trinity fully comprehensible. It was never meant to. A God who could be fully mapped by a finite mind would be too small to be worth worshiping. What the doctrine offers instead is not a solved puzzle but a coherent, biblically grounded, historically tested description of exactly the God the Bible actually presents — near enough to know, high enough to worship, three enough to be truly relational within himself before he ever made a single creature to relate to. The God who said “let us make man in our image” was not lonely, and did not become relational only when Adam was formed. Father, Son, and Spirit had already been giving and receiving love, for all eternity, before there was anyone else to see it.</w:t>
      </w:r>
    </w:p>
    <w:p w14:paraId="16F2768D" w14:textId="77777777" w:rsidR="009C7F52" w:rsidRDefault="00731002">
      <w:pPr>
        <w:pStyle w:val="BodyText"/>
      </w:pPr>
      <w:r>
        <w:t>That is the God this book has tried to describe: one Being, three persons, worthy — for exactly these reasons — of the highest worship a creature can offer.</w:t>
      </w:r>
    </w:p>
    <w:p w14:paraId="6EBAAA9B" w14:textId="77777777" w:rsidR="009C7F52" w:rsidRDefault="00731002">
      <w:r>
        <w:br w:type="page"/>
      </w:r>
    </w:p>
    <w:p w14:paraId="0A2FDCAC" w14:textId="77777777" w:rsidR="009C7F52" w:rsidRDefault="00731002">
      <w:pPr>
        <w:keepNext/>
        <w:pageBreakBefore/>
        <w:spacing w:before="360" w:after="200"/>
        <w:jc w:val="center"/>
      </w:pPr>
      <w:bookmarkStart w:id="243" w:name="appendices"/>
      <w:bookmarkEnd w:id="201"/>
      <w:bookmarkEnd w:id="242"/>
      <w:r>
        <w:rPr>
          <w:noProof/>
        </w:rPr>
        <w:drawing>
          <wp:inline distT="0" distB="0" distL="0" distR="0" wp14:anchorId="141E924A" wp14:editId="73DEE404">
            <wp:extent cx="4160520" cy="7396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ament.png"/>
                    <pic:cNvPicPr/>
                  </pic:nvPicPr>
                  <pic:blipFill>
                    <a:blip r:embed="rId5"/>
                    <a:stretch>
                      <a:fillRect/>
                    </a:stretch>
                  </pic:blipFill>
                  <pic:spPr>
                    <a:xfrm>
                      <a:off x="0" y="0"/>
                      <a:ext cx="4160520" cy="739648"/>
                    </a:xfrm>
                    <a:prstGeom prst="rect">
                      <a:avLst/>
                    </a:prstGeom>
                  </pic:spPr>
                </pic:pic>
              </a:graphicData>
            </a:graphic>
          </wp:inline>
        </w:drawing>
      </w:r>
    </w:p>
    <w:p w14:paraId="69315639" w14:textId="77777777" w:rsidR="009C7F52" w:rsidRDefault="00731002">
      <w:pPr>
        <w:pStyle w:val="Heading1"/>
      </w:pPr>
      <w:r>
        <w:t>Appendices</w:t>
      </w:r>
    </w:p>
    <w:p w14:paraId="24C5BB33" w14:textId="77777777" w:rsidR="009C7F52" w:rsidRDefault="00731002">
      <w:pPr>
        <w:pStyle w:val="Heading2"/>
        <w:pBdr>
          <w:bottom w:val="single" w:sz="10" w:space="8" w:color="A68037"/>
        </w:pBdr>
      </w:pPr>
      <w:bookmarkStart w:id="244" w:name="appendix-a-the-ecumenical-creeds"/>
      <w:r>
        <w:t>Appendix A: The Ecumenical Creeds</w:t>
      </w:r>
    </w:p>
    <w:p w14:paraId="50AB5BFB" w14:textId="77777777" w:rsidR="009C7F52" w:rsidRDefault="00731002">
      <w:pPr>
        <w:pStyle w:val="FirstParagraph"/>
      </w:pPr>
      <w:r>
        <w:t>The heresies examined throughout this book were never answered only in the abstract. The early church answered them by writing down precise, public, corporately recited texts — statements any believer could hold up against a teacher’s claims and ask, simply, “Does this match what we confess?” What follows are the full texts of the four creedal documents most load-bearing for the doctrine of the Trinity and the person of Christ: the original Creed of Nicaea (325), the Niceno-Constantinopolitan Creed (381) that most churches today actually recite as “the Nicene Creed,” the Chalcedonian Definition (451), and the Athanasian Creed. Each is given with its historical context and a citation to a real source text online, so the reader can check the wording independently.</w:t>
      </w:r>
    </w:p>
    <w:p w14:paraId="58F49ED3" w14:textId="77777777" w:rsidR="009C7F52" w:rsidRDefault="00731002">
      <w:pPr>
        <w:pStyle w:val="Heading3"/>
        <w:pBdr>
          <w:bottom w:val="single" w:sz="4" w:space="5" w:color="C8AE75"/>
        </w:pBdr>
      </w:pPr>
      <w:bookmarkStart w:id="245" w:name="a.1-the-creed-of-nicaea-325"/>
      <w:r>
        <w:t>A.1 The Creed of Nicaea (325)</w:t>
      </w:r>
    </w:p>
    <w:p w14:paraId="3B7DDB0C" w14:textId="77777777" w:rsidR="009C7F52" w:rsidRDefault="00731002">
      <w:pPr>
        <w:pStyle w:val="FirstParagraph"/>
      </w:pPr>
      <w:r>
        <w:t>The Council of Nicaea, convened in 325 by the emperor Constantine, was the first ecumenical council in the church’s history, called specifically to resolve the crisis provoked by Arius of Alexandria’s teaching that the Son was a created being rather than eternal God</w:t>
      </w:r>
      <w:hyperlink w:anchor="cite_341" w:history="1">
        <w:r>
          <w:rPr>
            <w:color w:val="671C2A"/>
            <w:sz w:val="16"/>
            <w:vertAlign w:val="superscript"/>
          </w:rPr>
          <w:t>341</w:t>
        </w:r>
      </w:hyperlink>
      <w:r>
        <w:t>. Guided by Bishop Alexander of Alexandria and his deacon Athanasius, the council settled on the Greek term ὁμοούσιος (homoousios, “of the same substance”) to rule out every Arian reading of the Son’s relationship to the Father, and closed the creed with a direct anathema against Arius’s own slogans. The Greek and English text below follows the edition maintained by Early Church Texts, a standard academic resource for patristic primary sources</w:t>
      </w:r>
      <w:hyperlink w:anchor="cite_342" w:history="1">
        <w:r>
          <w:rPr>
            <w:color w:val="671C2A"/>
            <w:sz w:val="16"/>
            <w:vertAlign w:val="superscript"/>
          </w:rPr>
          <w:t>342</w:t>
        </w:r>
      </w:hyperlink>
      <w:r>
        <w:t>.</w:t>
      </w:r>
    </w:p>
    <w:p w14:paraId="66491F64" w14:textId="77777777" w:rsidR="009C7F52" w:rsidRDefault="00731002">
      <w:pPr>
        <w:pStyle w:val="BlockText"/>
      </w:pPr>
      <w:r>
        <w:t>We believe in one God, the Father almighty, maker of all things visible and invisible; And in one Lord, Jesus Christ, the Son of God, begotten from the Father, only-begotten, that is, from the substance of the Father, God from God, light from light, true God from true God, begotten not made, of one substance with the Father, through Whom all things came into being, things in heaven and things on earth, Who because of us men and because of our salvation came down, and became incarnate and became man, and suffered, and rose again on the third day, and ascended to the heavens, and will come to judge the living and dead, And in the Holy Spirit. But as for those who say, There was when He was not, and, Before being born He was not, and that He came into existence out of nothing, or who assert that the Son of God is of a different hypostasis or substance, or created, or is subject to alteration or change — these the Catholic and apostolic Church anathematizes.</w:t>
      </w:r>
    </w:p>
    <w:p w14:paraId="1E463CD6" w14:textId="77777777" w:rsidR="009C7F52" w:rsidRDefault="00731002">
      <w:pPr>
        <w:pStyle w:val="FirstParagraph"/>
      </w:pPr>
      <w:r>
        <w:t>Greek text: Πιστεύομεν εἰς ἕνα Θεὸν Πατέρα παντοκράτορα πάντων ὁρατῶν τε καὶ ἀοράτων ποιητήν· καὶ εἰς ἕνα Κύριον Ἰησοῦν Χριστὸν τὸν Υἱὸν τοῦ Θεοῦ, γεννηθέντα ἐκ τοῦ Πατρὸς μονογενῆ τουτέστιν ἐκ τῆς οὐσίας τοῦ Πατρος Θεὸν ἐκ Θεοῦ, Φῶς ἐκ Φωτός, Θεὸν ἀληθινὸν ἐκ Θεοῦ ἀληθινοῦ, γεννηθέντα, οὐ ποιηθέντα, ὁμοούσιον τῷ Πατρί, δι’ οὗ τὰ πάντα ἐγένετο τά τε ἐν τῷ οὐρανῷ καὶ τὰ ἐν τῇ γῇ, τὸν δι’ ἡμᾶς τοὺς ἀνθρώπους, καὶ διὰ τὴν ἡμετέραν σωτηρίαν, κατελθόντα, καὶ σαρκωθέντα, καὶ ἐνανθρωπήσαντα, παθόντα, καὶ ἀναστάντα τῇ τρίτῃ ἡμέρᾳ, ἀνελθόντα εἰς τοὺς οὐρανούς, ἐρχόμενον κρῖναι ζῶντας καὶ νεκρούς. καὶ εἰς τὸ Ἅγιον Πνεῦμα. Τοὺς δὲ λέγοντας Ἦν ποτε ὅτε οὐκ ἦν, καὶ Πρὶν γεννηθῆναι οὐκ ἦν, καὶ ὅτι Ἐξ οὐκ ὄντων εγένετο, ἢ Ἐξ ἑτέρας ὑποστάσεως ἢ οὐσιάς φάσκοντας εἶναι ἢ κτιστόν ἢ τρεπτόν ἢ ἀλλοιωτὸν τὸν Υἱὸν τοῦ Θεοῦ, τούτους ἀναθεματίζει ἡ ἁγία καθολικὴ καὶ ἀποστολικὴ ἐκκλησία.</w:t>
      </w:r>
      <w:hyperlink w:anchor="cite_343" w:history="1">
        <w:r>
          <w:rPr>
            <w:color w:val="671C2A"/>
            <w:sz w:val="16"/>
            <w:vertAlign w:val="superscript"/>
          </w:rPr>
          <w:t>343</w:t>
        </w:r>
      </w:hyperlink>
    </w:p>
    <w:p w14:paraId="07989ABD" w14:textId="77777777" w:rsidR="009C7F52" w:rsidRDefault="00731002">
      <w:pPr>
        <w:pStyle w:val="Heading3"/>
        <w:pBdr>
          <w:bottom w:val="single" w:sz="4" w:space="5" w:color="C8AE75"/>
        </w:pBdr>
      </w:pPr>
      <w:bookmarkStart w:id="246" w:name="X7aad42385d22e7047e7480d1dc06862b789c930"/>
      <w:bookmarkEnd w:id="245"/>
      <w:r>
        <w:t>A.2 The Niceno-Constantinopolitan Creed (381)</w:t>
      </w:r>
    </w:p>
    <w:p w14:paraId="0474F298" w14:textId="77777777" w:rsidR="009C7F52" w:rsidRDefault="00731002">
      <w:pPr>
        <w:pStyle w:val="FirstParagraph"/>
      </w:pPr>
      <w:r>
        <w:t>The 325 creed answered the Arian crisis but left the Holy Spirit’s status barely addressed — it simply said “and in the Holy Spirit,” with no further clause — and that silence was exploited by the Pneumatomachian (“Spirit-fighting”) party, who denied the Spirit’s full deity. The First Council of Constantinople, the second ecumenical council, met in 381 and expanded that single clause into a full confession of the Spirit’s deity, drawing on decades of argument from the Cappadocian fathers Basil of Caesarea, Gregory of Nazianzus, and Gregory of Nyssa</w:t>
      </w:r>
      <w:hyperlink w:anchor="cite_344" w:history="1">
        <w:r>
          <w:rPr>
            <w:color w:val="671C2A"/>
            <w:sz w:val="16"/>
            <w:vertAlign w:val="superscript"/>
          </w:rPr>
          <w:t>344</w:t>
        </w:r>
      </w:hyperlink>
      <w:r>
        <w:t>. What most churches recite today as “the Nicene Creed” is, strictly speaking, this 381 text rather than the shorter 325 original; the two differ in wording and length. The text below follows the World Council of Churches’ standard ecumenical translation, with the Greek given per the traditional liturgical text.</w:t>
      </w:r>
    </w:p>
    <w:p w14:paraId="158B71F6" w14:textId="77777777" w:rsidR="009C7F52" w:rsidRDefault="00731002">
      <w:pPr>
        <w:pStyle w:val="BlockText"/>
      </w:pPr>
      <w:r>
        <w:t>We believe in one God, the Father, the Almighty, maker of heaven and earth, of all that is, seen and unseen.</w:t>
      </w:r>
    </w:p>
    <w:p w14:paraId="219F9B73" w14:textId="77777777" w:rsidR="009C7F52" w:rsidRDefault="00731002">
      <w:pPr>
        <w:pStyle w:val="BlockText"/>
      </w:pPr>
      <w:r>
        <w:t>And [we believe] in one Lord, Jesus Christ, the only-begotten Son of God, eternally begotten of the Father, Light from Light, true God from true God, begotten, not made, of one being with the Father. Through him all things were made.</w:t>
      </w:r>
    </w:p>
    <w:p w14:paraId="031B3D48" w14:textId="77777777" w:rsidR="009C7F52" w:rsidRDefault="00731002">
      <w:pPr>
        <w:pStyle w:val="BlockText"/>
      </w:pPr>
      <w:r>
        <w:t>For us, humans, and for our salvation, he came down from heaven, was incarnate of the Holy Spirit and the virgin Mary, and became fully human.</w:t>
      </w:r>
    </w:p>
    <w:p w14:paraId="470AB6F7" w14:textId="77777777" w:rsidR="009C7F52" w:rsidRDefault="00731002">
      <w:pPr>
        <w:pStyle w:val="BlockText"/>
      </w:pPr>
      <w:r>
        <w:t>For our sake he was crucified under Pontius Pilate. He suffered death and was buried.</w:t>
      </w:r>
    </w:p>
    <w:p w14:paraId="011A0A56" w14:textId="77777777" w:rsidR="009C7F52" w:rsidRDefault="00731002">
      <w:pPr>
        <w:pStyle w:val="BlockText"/>
      </w:pPr>
      <w:r>
        <w:t>He rose again on the third day in accordance with the Scriptures.</w:t>
      </w:r>
    </w:p>
    <w:p w14:paraId="5F0B3F3C" w14:textId="77777777" w:rsidR="009C7F52" w:rsidRDefault="00731002">
      <w:pPr>
        <w:pStyle w:val="BlockText"/>
      </w:pPr>
      <w:r>
        <w:t>He ascended into heaven and is seated at the right hand of the Father.</w:t>
      </w:r>
    </w:p>
    <w:p w14:paraId="4D85D144" w14:textId="77777777" w:rsidR="009C7F52" w:rsidRDefault="00731002">
      <w:pPr>
        <w:pStyle w:val="BlockText"/>
      </w:pPr>
      <w:r>
        <w:t>He will come again in glory to judge the living and the dead, and his kingdom will have no end.</w:t>
      </w:r>
    </w:p>
    <w:p w14:paraId="21B9F54C" w14:textId="77777777" w:rsidR="009C7F52" w:rsidRDefault="00731002">
      <w:pPr>
        <w:pStyle w:val="BlockText"/>
      </w:pPr>
      <w:r>
        <w:t>And [we believe] in the Holy Spirit, the Lord, the giver of life, who proceeds from the Father, who in unity with the Father and the Son is worshiped and glorified, who has spoken through the prophets.</w:t>
      </w:r>
    </w:p>
    <w:p w14:paraId="7604250B" w14:textId="77777777" w:rsidR="009C7F52" w:rsidRDefault="00731002">
      <w:pPr>
        <w:pStyle w:val="BlockText"/>
      </w:pPr>
      <w:r>
        <w:t>[We believe] in one holy universal and apostolic Church.</w:t>
      </w:r>
    </w:p>
    <w:p w14:paraId="180E1F4B" w14:textId="77777777" w:rsidR="009C7F52" w:rsidRDefault="00731002">
      <w:pPr>
        <w:pStyle w:val="BlockText"/>
      </w:pPr>
      <w:r>
        <w:t>We acknowledge one baptism for the forgiveness of sins.</w:t>
      </w:r>
    </w:p>
    <w:p w14:paraId="70D3434E" w14:textId="77777777" w:rsidR="009C7F52" w:rsidRDefault="00731002">
      <w:pPr>
        <w:pStyle w:val="BlockText"/>
      </w:pPr>
      <w:r>
        <w:t>We look for the resurrection of the dead and the life of the world to come. Amen.</w:t>
      </w:r>
    </w:p>
    <w:p w14:paraId="73C9F6FA" w14:textId="77777777" w:rsidR="009C7F52" w:rsidRDefault="00731002">
      <w:pPr>
        <w:pStyle w:val="FirstParagraph"/>
      </w:pPr>
      <w:r>
        <w:t>Greek text (liturgical form): Πιστεύω εἰς ἕνα Θεόν, Πατέρα, Παντοκράτορα, ποιητὴν οὐρανοῦ καὶ γῆς, ὁρατῶν τε πάντων καὶ ἀοράτων. Καὶ εἰς ἕνα Κύριον Ἰησοῦν Χριστόν, τὸν Υἱὸν τοῦ Θεοῦ τὸν μονογενῆ, τὸν ἐκ τοῦ Πατρὸς γεννηθέντα πρὸ πάντων τῶν αἰώνων· φῶς ἐκ φωτός, Θεὸν ἀληθινὸν ἐκ Θεοῦ ἀληθινοῦ, γεννηθέντα οὐ ποιηθέντα, ὁμοούσιον τῷ Πατρί, δι’ οὗ τὰ πάντα ἐγένετο… Καὶ εἰς τὸ Πνεῦμα τὸ Ἅγιον, τὸ κύριον, τὸ ζωοποιόν, τὸ ἐκ τοῦ Πατρὸς ἐκπορευόμενον, τὸ σὺν Πατρὶ καὶ Υἱῷ συμπροσκυνούμενον καὶ συνδοξαζόμενον, τὸ λαλῆσαν διὰ τῶν προφητῶν.</w:t>
      </w:r>
      <w:hyperlink w:anchor="cite_345" w:history="1">
        <w:r>
          <w:rPr>
            <w:color w:val="671C2A"/>
            <w:sz w:val="16"/>
            <w:vertAlign w:val="superscript"/>
          </w:rPr>
          <w:t>345</w:t>
        </w:r>
      </w:hyperlink>
    </w:p>
    <w:p w14:paraId="2614C763" w14:textId="77777777" w:rsidR="009C7F52" w:rsidRDefault="00731002">
      <w:pPr>
        <w:pStyle w:val="Heading3"/>
        <w:pBdr>
          <w:bottom w:val="single" w:sz="4" w:space="5" w:color="C8AE75"/>
        </w:pBdr>
      </w:pPr>
      <w:bookmarkStart w:id="247" w:name="a.3-the-chalcedonian-definition-451"/>
      <w:bookmarkEnd w:id="246"/>
      <w:r>
        <w:t>A.3 The Chalcedonian Definition (451)</w:t>
      </w:r>
    </w:p>
    <w:p w14:paraId="0631F078" w14:textId="77777777" w:rsidR="009C7F52" w:rsidRDefault="00731002">
      <w:pPr>
        <w:pStyle w:val="FirstParagraph"/>
      </w:pPr>
      <w:r>
        <w:t>The Council of Chalcedon, the fourth ecumenical council, was summoned in 451 to resolve the Christological crisis provoked by Eutyches’s teaching that Christ’s human nature was absorbed into his divine nature, a view that had briefly prevailed at the disputed “Second Council of Ephesus” of 449, later called the “Robber Synod”</w:t>
      </w:r>
      <w:hyperlink w:anchor="cite_346" w:history="1">
        <w:r>
          <w:rPr>
            <w:color w:val="671C2A"/>
            <w:sz w:val="16"/>
            <w:vertAlign w:val="superscript"/>
          </w:rPr>
          <w:t>346</w:t>
        </w:r>
      </w:hyperlink>
      <w:r>
        <w:t xml:space="preserve">. Chalcedon first ratified the Creed of Nicaea (325) and the Niceno-Constantinopolitan Creed (381), then confirmed the authority of Cyril of Alexandria’s synodical letters and Pope Leo I’s </w:t>
      </w:r>
      <w:r>
        <w:rPr>
          <w:i/>
          <w:iCs/>
        </w:rPr>
        <w:t>Tome to Flavian</w:t>
      </w:r>
      <w:r>
        <w:t xml:space="preserve">, before issuing the single most quoted sentence in the history of Christian doctrine about the person of Christ — a sentence built to close every door at once: against Arianism (“co-essential with the Father”), Apollinarianism (“co-essential with us”), Eutychianism (“unconfusedly, unchangeably”), and Nestorianism (“indivisibly, inseparably,” and the title </w:t>
      </w:r>
      <w:r>
        <w:rPr>
          <w:i/>
          <w:iCs/>
        </w:rPr>
        <w:t>Theotokos</w:t>
      </w:r>
      <w:r>
        <w:t>). The Oriental Orthodox churches did not accept this Definition, preferring Cyril’s own formula of a single nature “out of two” — the origin of the Chalcedonian/non-Chalcedonian division that persists to this day. The text below follows the Bindley (1899) translation as reproduced by Wikipedia.</w:t>
      </w:r>
    </w:p>
    <w:p w14:paraId="44E2D45B" w14:textId="77777777" w:rsidR="009C7F52" w:rsidRDefault="00731002">
      <w:pPr>
        <w:pStyle w:val="BlockText"/>
      </w:pPr>
      <w:r>
        <w:t xml:space="preserve">Following, then, the holy Fathers, we all unanimously teach that our Lord Jesus Christ is to us One and the same Son, the Self-same Perfect in Godhead, the Self-same Perfect in Manhood; truly God and truly Man; the Self-same of a rational soul and body; co-essential with the Father according to the Godhead, the Self-same co-essential with us according to the Manhood; like us in all things, sin apart; before the ages begotten of the Father as to the Godhead, but in the last days, the Self-same, for us and for our salvation (born) of Mary the Virgin </w:t>
      </w:r>
      <w:r>
        <w:rPr>
          <w:i/>
          <w:iCs/>
        </w:rPr>
        <w:t>Theotokos</w:t>
      </w:r>
      <w:r>
        <w:t xml:space="preserve"> as to the Manhood; One and the Same Christ, Son, Lord, Only-begotten; acknowledged in Two Natures unconfusedly, unchangeably, indivisibly, inseparably; the difference of the Natures being in no way removed because of the Union, but rather the properties of each Nature being preserved, and (both) concurring into One Person and One Hypostasis; not as though He was parted or divided into Two Persons, but One and the Self-same Son and Only-begotten God, Word, Lord, Jesus Christ; even as from the beginning the prophets have taught concerning Him, and as the Lord Jesus Christ Himself hath taught us, and as the Symbol of the Fathers hath handed down to us.</w:t>
      </w:r>
      <w:hyperlink w:anchor="cite_347" w:history="1">
        <w:r>
          <w:rPr>
            <w:color w:val="671C2A"/>
            <w:sz w:val="16"/>
            <w:vertAlign w:val="superscript"/>
          </w:rPr>
          <w:t>347</w:t>
        </w:r>
      </w:hyperlink>
    </w:p>
    <w:p w14:paraId="4CF979B4" w14:textId="77777777" w:rsidR="009C7F52" w:rsidRDefault="00731002">
      <w:pPr>
        <w:pStyle w:val="Heading3"/>
        <w:pBdr>
          <w:bottom w:val="single" w:sz="4" w:space="5" w:color="C8AE75"/>
        </w:pBdr>
      </w:pPr>
      <w:bookmarkStart w:id="248" w:name="a.4-the-athanasian-creed-quicunque-vult"/>
      <w:bookmarkEnd w:id="247"/>
      <w:r>
        <w:t>A.4 The Athanasian Creed (Quicunque Vult)</w:t>
      </w:r>
    </w:p>
    <w:p w14:paraId="19BED5A5" w14:textId="77777777" w:rsidR="009C7F52" w:rsidRDefault="00731002">
      <w:pPr>
        <w:pStyle w:val="FirstParagraph"/>
      </w:pPr>
      <w:r>
        <w:t xml:space="preserve">Despite its traditional attribution to Athanasius — supposedly composed during his exile in Rome and presented to Pope Julius I as proof of his orthodoxy — modern scholarship dates the Athanasian Creed to the late fifth or early sixth century, most likely originating in southern Gaul, in the theological circle around Vincent of Lérins and steeped in the vocabulary of Augustine’s </w:t>
      </w:r>
      <w:r>
        <w:rPr>
          <w:i/>
          <w:iCs/>
        </w:rPr>
        <w:t>De Trinitate</w:t>
      </w:r>
      <w:r>
        <w:t xml:space="preserve"> (415)</w:t>
      </w:r>
      <w:hyperlink w:anchor="cite_348" w:history="1">
        <w:r>
          <w:rPr>
            <w:color w:val="671C2A"/>
            <w:sz w:val="16"/>
            <w:vertAlign w:val="superscript"/>
          </w:rPr>
          <w:t>348</w:t>
        </w:r>
      </w:hyperlink>
      <w:r>
        <w:t>. It was written above all to distinguish Nicene orthodoxy from the Arianism of the Arian Ostrogoths and Visigoths then ruling parts of the West, and it was the first creed to state explicitly, attribute by attribute, the full equality of the three divine persons. Its second half, on the incarnation, reflects the Christology later ratified at Ephesus (431) and Chalcedon (451). Unlike the Apostles’ Creed but like the original Nicene Creed of 325, it closes with anathema-force language. The text below (traditional English translation) is reproduced from Wikipedia.</w:t>
      </w:r>
    </w:p>
    <w:p w14:paraId="4916D9F5" w14:textId="77777777" w:rsidR="009C7F52" w:rsidRDefault="00731002">
      <w:pPr>
        <w:pStyle w:val="BlockText"/>
      </w:pPr>
      <w:r>
        <w:t>Whosoever will be saved, before all things it is necessary that he hold the catholic faith. Which faith unless every one do keep whole and undefiled, without doubt he shall perish everlastingly. And the catholic faith is this: that we worship one God in Trinity, and Trinity in Unity; neither confounding the Persons, nor dividing the Essence. For there is one Person of the Father; another of the Son; and another of the Holy Ghost. But the Godhead of the Father, of the Son, and of the Holy Ghost, is all one; the Glory equal, the Majesty coeternal. Such as the Father is; such is the Son; and such is the Holy Ghost. The Father uncreated; the Son uncreated; and the Holy Ghost uncreated. The Father infinite; the Son infinite; and the Holy Ghost infinite. The Father eternal; the Son eternal; and the Holy Ghost eternal. And yet they are not three eternals; but one eternal. As also there are not three uncreated; nor three infinites, but one uncreated; and one infinite. So likewise the Father is Almighty; the Son Almighty; and the Holy Ghost Almighty. And yet they are not three Almighties; but one Almighty. So the Father is God; the Son is God; and the Holy Ghost is God. And yet they are not three Gods; but one God. So likewise the Father is Lord; the Son Lord; and the Holy Ghost Lord. And yet not three Lords; but one Lord. For like as we are compelled by the Christian verity to acknowledge every Person by himself to be God and Lord; so are we forbidden by the catholic religion to say, There are three Gods, or three Lords. The Father is made of none; neither created, nor begotten. The Son is of the Father alone; not made, nor created; but begotten. The Holy Ghost is of the Father and of the Son; neither made, nor created, nor begotten; but proceeding. So there is one Father, not three Fathers; one Son, not three Sons; one Holy Ghost, not three Holy Ghosts. And in this Trinity none is before, or after another; none is greater, or less than another. But the whole three Persons are coeternal, and coequal. So that in all things, as aforesaid, the Unity in Trinity, and the Trinity in Unity, is to be worshipped. He therefore that will be saved must thus think of the Trinity.</w:t>
      </w:r>
    </w:p>
    <w:p w14:paraId="0CB45CA1" w14:textId="77777777" w:rsidR="009C7F52" w:rsidRDefault="00731002">
      <w:pPr>
        <w:pStyle w:val="BlockText"/>
      </w:pPr>
      <w:r>
        <w:t>Furthermore, it is necessary to everlasting salvation that he also believe faithfully the Incarnation of our Lord Jesus Christ. For the right Faith is, that we believe and confess that our Lord Jesus Christ, the Son of God, is God and Man; God, of the Substance of the Father, begotten before the worlds; and Man, of the substance of his mother, born in the world. Perfect God, and perfect Man, of a reasonable soul and human flesh subsisting. Equal to the Father as touching his Godhead, and inferior to the Father as touching his Manhood. Who although he is God and Man, yet he is not two, but one Christ. One, not by conversion of the Godhead into flesh, but by assumption of the Manhood into God. One altogether, not by confusion of Substance, but by unity of Person. For as the reasonable soul and flesh is one man, so God and Man is one Christ; who suffered for our salvation, descended into hell, rose again the third day from the dead. He ascended into heaven, he sitteth on the right hand of God the Father Almighty, from whence he will come to judge the living and the dead. At whose coming all men will rise again with their bodies, and shall give account for their own works. And they that have done good shall go into life everlasting; and they that have done evil, into everlasting fire. This is the catholic faith, which except a man believe truly and firmly, he cannot be saved.</w:t>
      </w:r>
    </w:p>
    <w:p w14:paraId="7E52510B" w14:textId="77777777" w:rsidR="009C7F52" w:rsidRDefault="00731002">
      <w:pPr>
        <w:pStyle w:val="FirstParagraph"/>
      </w:pPr>
      <w:r>
        <w:t xml:space="preserve">Latin (opening lines): </w:t>
      </w:r>
      <w:r>
        <w:rPr>
          <w:i/>
          <w:iCs/>
        </w:rPr>
        <w:t>Quicumque vult salvus esse, ante omnia opus est, ut teneat Catholicam fidem: Quam nisi quisque integram inviolatamque servaverit, absque dubio in aeternum peribit. Fides autem Catholica haec est: ut unum Deum in Trinitate, et Trinitatem in unitate veneremur. Neque confundentes personas, neque substantiam separantes.</w:t>
      </w:r>
      <w:hyperlink w:anchor="cite_349" w:history="1">
        <w:r>
          <w:rPr>
            <w:color w:val="671C2A"/>
            <w:sz w:val="16"/>
            <w:vertAlign w:val="superscript"/>
          </w:rPr>
          <w:t>349</w:t>
        </w:r>
      </w:hyperlink>
    </w:p>
    <w:p w14:paraId="36FC1AEB" w14:textId="77777777" w:rsidR="009C7F52" w:rsidRDefault="00731002">
      <w:pPr>
        <w:pStyle w:val="Heading2"/>
        <w:pBdr>
          <w:bottom w:val="single" w:sz="10" w:space="8" w:color="A68037"/>
        </w:pBdr>
      </w:pPr>
      <w:bookmarkStart w:id="249" w:name="appendix-b-glossary-of-key-terms"/>
      <w:bookmarkEnd w:id="244"/>
      <w:bookmarkEnd w:id="248"/>
      <w:r>
        <w:t>Appendix B: Glossary of Key Terms</w:t>
      </w:r>
    </w:p>
    <w:p w14:paraId="00A16FE2" w14:textId="77777777" w:rsidR="009C7F52" w:rsidRDefault="00731002">
      <w:pPr>
        <w:pStyle w:val="FirstParagraph"/>
      </w:pPr>
      <w:r>
        <w:t>Terms are alphabetized. Where a term derives from Greek or Hebrew, the original script is given first, followed by transliteration and gloss in parentheses, per this book’s convention for original-language terms.</w:t>
      </w:r>
    </w:p>
    <w:p w14:paraId="4C4DE1A8" w14:textId="77777777" w:rsidR="009C7F52" w:rsidRDefault="00731002">
      <w:pPr>
        <w:pStyle w:val="BodyText"/>
      </w:pPr>
      <w:r>
        <w:rPr>
          <w:b/>
          <w:bCs/>
        </w:rPr>
        <w:t>Adoptionism</w:t>
      </w:r>
      <w:r>
        <w:t xml:space="preserve"> — The teaching that Jesus was born an ordinary human being and was later “adopted” into divine sonship, usually said to occur at his baptism, rather than being eternally the divine Son. It is another name for Dynamic Monarchianism and was associated with figures such as Paul of Samosata in the early church</w:t>
      </w:r>
      <w:hyperlink w:anchor="cite_350" w:history="1">
        <w:r>
          <w:rPr>
            <w:color w:val="671C2A"/>
            <w:sz w:val="16"/>
            <w:vertAlign w:val="superscript"/>
          </w:rPr>
          <w:t>350</w:t>
        </w:r>
      </w:hyperlink>
      <w:r>
        <w:t>.</w:t>
      </w:r>
    </w:p>
    <w:p w14:paraId="62D6B87B" w14:textId="77777777" w:rsidR="009C7F52" w:rsidRDefault="00731002">
      <w:pPr>
        <w:pStyle w:val="BodyText"/>
      </w:pPr>
      <w:r>
        <w:rPr>
          <w:b/>
          <w:bCs/>
        </w:rPr>
        <w:t>Angel of the LORD</w:t>
      </w:r>
      <w:r>
        <w:t xml:space="preserve"> — A mysterious figure who appears throughout the Old Testament, most often translating the Hebrew מַלְאַךְ יְהוָה (malʾakh YHWH, “messenger of the LORD”), who at times speaks in the first person as God himself, accepts worship due to God alone, and yet is also described as distinct from the God who sends him (Genesis 16:7–13; Exodus 3:2–6; Judges 6:11–24). Because מַלְאָךְ (malʾakh) is a term of office (“messenger” or “envoy”) rather than a fixed class of being, interpreters have long debated whether these appearances are simply how the text speaks of created angels who represent God, or a genuine pre-incarnate appearance of the divine Son — a question this book treats with care rather than certainty (see Part I).</w:t>
      </w:r>
    </w:p>
    <w:p w14:paraId="627032CE" w14:textId="77777777" w:rsidR="009C7F52" w:rsidRDefault="00731002">
      <w:pPr>
        <w:pStyle w:val="BodyText"/>
      </w:pPr>
      <w:r>
        <w:rPr>
          <w:b/>
          <w:bCs/>
        </w:rPr>
        <w:t>Anhypostasis / Enhypostasia</w:t>
      </w:r>
      <w:r>
        <w:t xml:space="preserve"> — A pair of technical terms in later patristic and Reformed Christology describing how Christ’s human nature exists. Anhypostasis (from Greek ἀν-, “not,” and ὑπόστασις, hypostasis, “person”) means Christ’s human nature never existed on its own, as a separate human person, before or apart from the incarnation. Enhypostasia (Greek ἐν, en, “in,” plus hypostasis) is the positive counterpart: that human nature has its personal existence “in” the one person of the eternal Son, who gives it its “who.” Together the two terms explain how Christ can have a complete, real human nature without that nature constituting a second person alongside the divine Son</w:t>
      </w:r>
      <w:hyperlink w:anchor="cite_351" w:history="1">
        <w:r>
          <w:rPr>
            <w:color w:val="671C2A"/>
            <w:sz w:val="16"/>
            <w:vertAlign w:val="superscript"/>
          </w:rPr>
          <w:t>351</w:t>
        </w:r>
      </w:hyperlink>
      <w:r>
        <w:t>.</w:t>
      </w:r>
    </w:p>
    <w:p w14:paraId="0559E6CD" w14:textId="77777777" w:rsidR="009C7F52" w:rsidRDefault="00731002">
      <w:pPr>
        <w:pStyle w:val="BodyText"/>
      </w:pPr>
      <w:r>
        <w:rPr>
          <w:b/>
          <w:bCs/>
        </w:rPr>
        <w:t>Arianism</w:t>
      </w:r>
      <w:r>
        <w:t xml:space="preserve"> — The fourth-century teaching of the Alexandrian presbyter Arius that the Son is God’s first and greatest creation — powerful and exalted, but not eternal and not of the same essence, ὁμοούσιος (homoousios, “of the same substance”), as the Father. The Council of Nicaea (325) condemned this view and adopted homoousios specifically to rule it out</w:t>
      </w:r>
      <w:hyperlink w:anchor="cite_352" w:history="1">
        <w:r>
          <w:rPr>
            <w:color w:val="671C2A"/>
            <w:sz w:val="16"/>
            <w:vertAlign w:val="superscript"/>
          </w:rPr>
          <w:t>352</w:t>
        </w:r>
      </w:hyperlink>
      <w:r>
        <w:t>.</w:t>
      </w:r>
    </w:p>
    <w:p w14:paraId="64F7F168" w14:textId="77777777" w:rsidR="009C7F52" w:rsidRDefault="00731002">
      <w:pPr>
        <w:pStyle w:val="BodyText"/>
      </w:pPr>
      <w:r>
        <w:rPr>
          <w:b/>
          <w:bCs/>
        </w:rPr>
        <w:t>Binitarianism</w:t>
      </w:r>
      <w:r>
        <w:t xml:space="preserve"> — The view that God consists of only two divine persons, Father and Son, with the Holy Spirit understood as an impersonal power or presence rather than a third, fully divine person. It overlaps historically with certain semi-Arian positions and survives today in some smaller Sabbatarian church bodies.</w:t>
      </w:r>
    </w:p>
    <w:p w14:paraId="16F4FFB2" w14:textId="77777777" w:rsidR="009C7F52" w:rsidRDefault="00731002">
      <w:pPr>
        <w:pStyle w:val="BodyText"/>
      </w:pPr>
      <w:r>
        <w:rPr>
          <w:b/>
          <w:bCs/>
        </w:rPr>
        <w:t>Communicatio idiomatum</w:t>
      </w:r>
      <w:r>
        <w:t xml:space="preserve"> (“communication of properties”) — The classical Christological rule that, because the one person of the incarnate Son possesses two complete natures, properties belonging to either nature may truly be said of the single person — for example, saying “God suffered on the cross,” referring to the divine person by way of his human nature</w:t>
      </w:r>
      <w:hyperlink w:anchor="cite_353" w:history="1">
        <w:r>
          <w:rPr>
            <w:color w:val="671C2A"/>
            <w:sz w:val="16"/>
            <w:vertAlign w:val="superscript"/>
          </w:rPr>
          <w:t>353</w:t>
        </w:r>
      </w:hyperlink>
      <w:r>
        <w:t>.</w:t>
      </w:r>
    </w:p>
    <w:p w14:paraId="50020C21" w14:textId="77777777" w:rsidR="009C7F52" w:rsidRDefault="00731002">
      <w:pPr>
        <w:pStyle w:val="BodyText"/>
      </w:pPr>
      <w:r>
        <w:rPr>
          <w:b/>
          <w:bCs/>
        </w:rPr>
        <w:t>Consubstantial</w:t>
      </w:r>
      <w:r>
        <w:t xml:space="preserve"> — The standard English rendering of ὁμοούσιος (homoousios, “of the same substance/essence”) and its Latin equivalent </w:t>
      </w:r>
      <w:r>
        <w:rPr>
          <w:i/>
          <w:iCs/>
        </w:rPr>
        <w:t>consubstantialis</w:t>
      </w:r>
      <w:r>
        <w:t>, used in the Nicene Creed to affirm that the Son shares the identical divine essence with the Father — not a similar essence, and not a lesser one.</w:t>
      </w:r>
    </w:p>
    <w:p w14:paraId="79983E3A" w14:textId="77777777" w:rsidR="009C7F52" w:rsidRDefault="00731002">
      <w:pPr>
        <w:pStyle w:val="BodyText"/>
      </w:pPr>
      <w:r>
        <w:rPr>
          <w:b/>
          <w:bCs/>
        </w:rPr>
        <w:t>Elohim</w:t>
      </w:r>
      <w:r>
        <w:t xml:space="preserve"> — אֱלֹהִים (Elohim, “God” or “gods”), the most common Hebrew word for God in the Old Testament. Grammatically it is a plural noun, but it is regularly used with singular verbs and adjectives when referring to the one true God of Israel — a grammatical texture that later Christian readers have found suggestive, though it does not by itself prove any doctrine of plurality within God</w:t>
      </w:r>
      <w:hyperlink w:anchor="cite_354" w:history="1">
        <w:r>
          <w:rPr>
            <w:color w:val="671C2A"/>
            <w:sz w:val="16"/>
            <w:vertAlign w:val="superscript"/>
          </w:rPr>
          <w:t>354</w:t>
        </w:r>
      </w:hyperlink>
      <w:r>
        <w:t>.</w:t>
      </w:r>
    </w:p>
    <w:p w14:paraId="60983B04" w14:textId="77777777" w:rsidR="009C7F52" w:rsidRDefault="00731002">
      <w:pPr>
        <w:pStyle w:val="BodyText"/>
      </w:pPr>
      <w:r>
        <w:rPr>
          <w:b/>
          <w:bCs/>
        </w:rPr>
        <w:t>Eternal generation</w:t>
      </w:r>
      <w:r>
        <w:t xml:space="preserve"> — The historic doctrine that the Son’s relationship of origin to the Father — his being “begotten, not made,” in the words of the Nicene Creed — is an eternal, timeless relation rather than an event that happened at some point. The Son has always been begotten of the Father; there was never a time when this was not so.</w:t>
      </w:r>
    </w:p>
    <w:p w14:paraId="4B1D03B6" w14:textId="77777777" w:rsidR="009C7F52" w:rsidRDefault="00731002">
      <w:pPr>
        <w:pStyle w:val="BodyText"/>
      </w:pPr>
      <w:r>
        <w:rPr>
          <w:b/>
          <w:bCs/>
        </w:rPr>
        <w:t>Eternal procession</w:t>
      </w:r>
      <w:r>
        <w:t xml:space="preserve"> — The parallel doctrine that the Holy Spirit eternally “proceeds from the Father” (John 15:26; Niceno-Constantinopolitan Creed, 381), and, in later Western theology, from the Son as well — the origin of the </w:t>
      </w:r>
      <w:r>
        <w:rPr>
          <w:i/>
          <w:iCs/>
        </w:rPr>
        <w:t>filioque</w:t>
      </w:r>
      <w:r>
        <w:t xml:space="preserve"> controversy described below.</w:t>
      </w:r>
    </w:p>
    <w:p w14:paraId="33242F3D" w14:textId="77777777" w:rsidR="009C7F52" w:rsidRDefault="00731002">
      <w:pPr>
        <w:pStyle w:val="BodyText"/>
      </w:pPr>
      <w:r>
        <w:rPr>
          <w:b/>
          <w:bCs/>
        </w:rPr>
        <w:t>Eutychianism / Monophysitism</w:t>
      </w:r>
      <w:r>
        <w:t xml:space="preserve"> — The Christological error, associated with Eutyches of Constantinople (died c. 456), that Christ’s human nature was absorbed into his divine nature at the incarnation, leaving only a single, blended nature rather than two complete and distinct natures joined in one person. It was condemned at the Council of Chalcedon (451)</w:t>
      </w:r>
      <w:hyperlink w:anchor="cite_355" w:history="1">
        <w:r>
          <w:rPr>
            <w:color w:val="671C2A"/>
            <w:sz w:val="16"/>
            <w:vertAlign w:val="superscript"/>
          </w:rPr>
          <w:t>355</w:t>
        </w:r>
      </w:hyperlink>
      <w:r>
        <w:t>. “Monophysitism” (from Greek μόνος, monos, “single,” and φύσις, physis, “nature”) is often used as a broader label for one-nature Christologies, though the Oriental Orthodox churches that trace their Christology to Cyril of Alexandria reject the term as a mischaracterization of their own “one nature out of two” position.</w:t>
      </w:r>
    </w:p>
    <w:p w14:paraId="0E351400" w14:textId="77777777" w:rsidR="009C7F52" w:rsidRDefault="00731002">
      <w:pPr>
        <w:pStyle w:val="BodyText"/>
      </w:pPr>
      <w:r>
        <w:rPr>
          <w:b/>
          <w:bCs/>
        </w:rPr>
        <w:t>Filioque</w:t>
      </w:r>
      <w:r>
        <w:t xml:space="preserve"> (Latin, “and the Son”) — The clause added to the Niceno-Constantinopolitan Creed’s article on the Spirit’s procession by the Western church, teaching that the Spirit proceeds from the Father </w:t>
      </w:r>
      <w:r>
        <w:rPr>
          <w:i/>
          <w:iCs/>
        </w:rPr>
        <w:t>and the Son</w:t>
      </w:r>
      <w:r>
        <w:t xml:space="preserve"> together, not from the Father alone. It was never accepted by the Eastern churches and became one of the major theological factors in the East-West schism between Rome and Constantinople, though it concerns the internal relations of an already-Trinitarian God rather than a denial of the Trinity itself</w:t>
      </w:r>
      <w:hyperlink w:anchor="cite_356" w:history="1">
        <w:r>
          <w:rPr>
            <w:color w:val="671C2A"/>
            <w:sz w:val="16"/>
            <w:vertAlign w:val="superscript"/>
          </w:rPr>
          <w:t>356</w:t>
        </w:r>
      </w:hyperlink>
      <w:r>
        <w:t>.</w:t>
      </w:r>
    </w:p>
    <w:p w14:paraId="254CF980" w14:textId="77777777" w:rsidR="009C7F52" w:rsidRDefault="00731002">
      <w:pPr>
        <w:pStyle w:val="BodyText"/>
      </w:pPr>
      <w:r>
        <w:rPr>
          <w:b/>
          <w:bCs/>
        </w:rPr>
        <w:t>Homoiousios</w:t>
      </w:r>
      <w:r>
        <w:t xml:space="preserve"> — ὁμοιούσιος (homoiousios, “of similar substance”), the fourth-century compromise term proposed by some moderate parties trying to find middle ground during the Arian controversy. It differs from ὁμοούσιος (homoousios, “of the same substance”) by a single Greek letter, the iota, but the difference in meaning is not small: a Son who is merely “similar” in substance to the Father could still be a distinct, lesser being, which is exactly why Nicene theologians rejected it.</w:t>
      </w:r>
    </w:p>
    <w:p w14:paraId="150C7181" w14:textId="77777777" w:rsidR="009C7F52" w:rsidRDefault="00731002">
      <w:pPr>
        <w:pStyle w:val="BodyText"/>
      </w:pPr>
      <w:r>
        <w:rPr>
          <w:b/>
          <w:bCs/>
        </w:rPr>
        <w:t>Homoousios</w:t>
      </w:r>
      <w:r>
        <w:t xml:space="preserve"> — ὁμοούσιος (homoousios, “of the same substance/essence”), the term adopted at the Council of Nicaea (325) to describe the Son’s relationship to the Father, closing off every Arian reading that made the Son a created being of merely similar substance</w:t>
      </w:r>
      <w:hyperlink w:anchor="cite_357" w:history="1">
        <w:r>
          <w:rPr>
            <w:color w:val="671C2A"/>
            <w:sz w:val="16"/>
            <w:vertAlign w:val="superscript"/>
          </w:rPr>
          <w:t>357</w:t>
        </w:r>
      </w:hyperlink>
      <w:r>
        <w:t>.</w:t>
      </w:r>
    </w:p>
    <w:p w14:paraId="196B18B7" w14:textId="77777777" w:rsidR="009C7F52" w:rsidRDefault="00731002">
      <w:pPr>
        <w:pStyle w:val="BodyText"/>
      </w:pPr>
      <w:r>
        <w:rPr>
          <w:b/>
          <w:bCs/>
        </w:rPr>
        <w:t>Hypostasis / Hypostases</w:t>
      </w:r>
      <w:r>
        <w:t xml:space="preserve"> — ὑπόστασις (hypostasis, “individual reality” or “person”), plural ὑποστάσεις (hypostaseis). In mature Trinitarian usage, this is the technical term for each of the three — Father, Son, and Holy Spirit — as a real, distinct, eternal person within the one divine being. Its Latin equivalent is </w:t>
      </w:r>
      <w:r>
        <w:rPr>
          <w:i/>
          <w:iCs/>
        </w:rPr>
        <w:t>persona</w:t>
      </w:r>
      <w:r>
        <w:t>.</w:t>
      </w:r>
    </w:p>
    <w:p w14:paraId="3C9FD675" w14:textId="77777777" w:rsidR="009C7F52" w:rsidRDefault="00731002">
      <w:pPr>
        <w:pStyle w:val="BodyText"/>
      </w:pPr>
      <w:r>
        <w:rPr>
          <w:b/>
          <w:bCs/>
        </w:rPr>
        <w:t>Hypostatic union</w:t>
      </w:r>
      <w:r>
        <w:t xml:space="preserve"> — The union of full deity and full humanity in the single person, ὑπόστασις (hypostasis), of the Son, described by the Council of Chalcedon (451) as occurring “without confusion, without change, without division, without separation.”</w:t>
      </w:r>
    </w:p>
    <w:p w14:paraId="5AF32643" w14:textId="77777777" w:rsidR="009C7F52" w:rsidRDefault="00731002">
      <w:pPr>
        <w:pStyle w:val="BodyText"/>
      </w:pPr>
      <w:r>
        <w:rPr>
          <w:b/>
          <w:bCs/>
        </w:rPr>
        <w:t>Kenosis</w:t>
      </w:r>
      <w:r>
        <w:t xml:space="preserve"> — From the Greek verb κενόω (kenoō, “to empty”), referring to the Son’s self-emptying in the incarnation described in Philippians 2:7. Orthodox Christology has always understood this as the Son voluntarily laying aside the outward glory and prerogatives of deity — not the divine nature itself — in taking on the “form of a servant.” Overreaching versions of “kenotic theology” go further and teach that the Son actually surrendered some divine attributes, a position outside historic orthodoxy.</w:t>
      </w:r>
    </w:p>
    <w:p w14:paraId="3D0FB76D" w14:textId="77777777" w:rsidR="009C7F52" w:rsidRDefault="00731002">
      <w:pPr>
        <w:pStyle w:val="BodyText"/>
      </w:pPr>
      <w:r>
        <w:rPr>
          <w:b/>
          <w:bCs/>
        </w:rPr>
        <w:t>Logos</w:t>
      </w:r>
      <w:r>
        <w:t xml:space="preserve"> — λόγος (logos, “word” or “reason”), the term John’s Gospel uses for the eternal Son in its opening verses: καὶ θεὸς ἦν ὁ λόγος (kai theos ēn ho logos, “and the Word was God,” John 1:1). The term carried rich philosophical associations in the first-century Greek-speaking world (as the rational principle ordering the universe) and also echoed the Hebrew Scriptures’ picture of God’s creative, self-expressive “word” — John uses it to identify Jesus as the eternal, personal self-expression of God, present with God and himself fully God before anything was made.</w:t>
      </w:r>
    </w:p>
    <w:p w14:paraId="1EFC9755" w14:textId="77777777" w:rsidR="009C7F52" w:rsidRDefault="00731002">
      <w:pPr>
        <w:pStyle w:val="BodyText"/>
      </w:pPr>
      <w:r>
        <w:rPr>
          <w:b/>
          <w:bCs/>
        </w:rPr>
        <w:t>Modalism / Sabellianism</w:t>
      </w:r>
      <w:r>
        <w:t xml:space="preserve"> — The teaching that there is only one divine person, who reveals himself successively or in different aspects as Father, Son, and Holy Spirit — “modes” or “masks” rather than eternal, personal distinctions. It takes its common name from the third-century teacher Sabellius, though earlier forms are associated with figures such as Noetus and Praxeas; its logical consequence, “the Father suffered on the cross,” was taught explicitly by some early proponents</w:t>
      </w:r>
      <w:hyperlink w:anchor="cite_358" w:history="1">
        <w:r>
          <w:rPr>
            <w:color w:val="671C2A"/>
            <w:sz w:val="16"/>
            <w:vertAlign w:val="superscript"/>
          </w:rPr>
          <w:t>358</w:t>
        </w:r>
      </w:hyperlink>
      <w:r>
        <w:t>.</w:t>
      </w:r>
    </w:p>
    <w:p w14:paraId="5B465D56" w14:textId="77777777" w:rsidR="009C7F52" w:rsidRDefault="00731002">
      <w:pPr>
        <w:pStyle w:val="BodyText"/>
      </w:pPr>
      <w:r>
        <w:rPr>
          <w:b/>
          <w:bCs/>
        </w:rPr>
        <w:t>Monarchianism</w:t>
      </w:r>
      <w:r>
        <w:t xml:space="preserve"> — The broader family of second- and third-century movements insisting on the strict numerical “monarchy,” or single rule, of God the Father, out of concern to protect divine unity. It subdivides into Dynamic Monarchianism (adoptionist — Jesus as a man exalted to divine status) and Modalistic Monarchianism (Sabellian — one person appearing in three modes).</w:t>
      </w:r>
    </w:p>
    <w:p w14:paraId="357794B1" w14:textId="77777777" w:rsidR="009C7F52" w:rsidRDefault="00731002">
      <w:pPr>
        <w:pStyle w:val="BodyText"/>
      </w:pPr>
      <w:r>
        <w:rPr>
          <w:b/>
          <w:bCs/>
        </w:rPr>
        <w:t>Monothelitism</w:t>
      </w:r>
      <w:r>
        <w:t xml:space="preserve"> — The seventh-century Christological error that Christ, though possessing two complete natures, has only one will rather than two — typically located in the divine nature alone. It was condemned at the Third Council of Constantinople (680–681) largely through the arguments of Maximus the Confessor, who insisted that will belongs to nature, not to person, so that a person with two natures must have two wills operating in perfect harmony</w:t>
      </w:r>
      <w:hyperlink w:anchor="cite_359" w:history="1">
        <w:r>
          <w:rPr>
            <w:color w:val="671C2A"/>
            <w:sz w:val="16"/>
            <w:vertAlign w:val="superscript"/>
          </w:rPr>
          <w:t>359</w:t>
        </w:r>
      </w:hyperlink>
      <w:r>
        <w:t>.</w:t>
      </w:r>
    </w:p>
    <w:p w14:paraId="47902C15" w14:textId="77777777" w:rsidR="009C7F52" w:rsidRDefault="00731002">
      <w:pPr>
        <w:pStyle w:val="BodyText"/>
      </w:pPr>
      <w:r>
        <w:rPr>
          <w:b/>
          <w:bCs/>
        </w:rPr>
        <w:t>Oneness Pentecostalism</w:t>
      </w:r>
      <w:r>
        <w:t xml:space="preserve"> — A twentieth-century revival of Sabellian Modalism within the Pentecostal movement, teaching that “Father,” “Son,” and “Holy Spirit” are titles or modes of the one person of Jesus rather than three eternal, distinct persons, and typically rejecting the traditional Trinitarian baptismal formula in favor of baptism “in the name of Jesus” only.</w:t>
      </w:r>
    </w:p>
    <w:p w14:paraId="00F7FD0C" w14:textId="77777777" w:rsidR="009C7F52" w:rsidRDefault="00731002">
      <w:pPr>
        <w:pStyle w:val="BodyText"/>
      </w:pPr>
      <w:r>
        <w:rPr>
          <w:b/>
          <w:bCs/>
        </w:rPr>
        <w:t>Ousia</w:t>
      </w:r>
      <w:r>
        <w:t xml:space="preserve"> — οὐσία (ousia, “essence” or “substance”), the Greek term for </w:t>
      </w:r>
      <w:r>
        <w:rPr>
          <w:i/>
          <w:iCs/>
        </w:rPr>
        <w:t>what</w:t>
      </w:r>
      <w:r>
        <w:t xml:space="preserve"> God is — the single, undivided, eternal divine nature that Father, Son, and Holy Spirit share completely and equally. Its Latin equivalent is </w:t>
      </w:r>
      <w:r>
        <w:rPr>
          <w:i/>
          <w:iCs/>
        </w:rPr>
        <w:t>substantia</w:t>
      </w:r>
      <w:r>
        <w:t>.</w:t>
      </w:r>
    </w:p>
    <w:p w14:paraId="44B3598D" w14:textId="77777777" w:rsidR="009C7F52" w:rsidRDefault="00731002">
      <w:pPr>
        <w:pStyle w:val="BodyText"/>
      </w:pPr>
      <w:r>
        <w:rPr>
          <w:b/>
          <w:bCs/>
        </w:rPr>
        <w:t>Perichoresis</w:t>
      </w:r>
      <w:r>
        <w:t xml:space="preserve"> — περιχώρησις (perichōrēsis, “mutual indwelling” or “interpenetration”), the term for the intimate, mutual indwelling of the three divine persons in one another, without confusion or division, rooted in texts like John 14:11 where Jesus says he is “in” the Father and the Father “in” him.</w:t>
      </w:r>
    </w:p>
    <w:p w14:paraId="2F7F45CD" w14:textId="77777777" w:rsidR="009C7F52" w:rsidRDefault="00731002">
      <w:pPr>
        <w:pStyle w:val="BodyText"/>
      </w:pPr>
      <w:r>
        <w:rPr>
          <w:b/>
          <w:bCs/>
        </w:rPr>
        <w:t>Person (in Trinitarian usage)</w:t>
      </w:r>
      <w:r>
        <w:t xml:space="preserve"> — The English rendering of ὑπόστασις (hypostasis) or Latin </w:t>
      </w:r>
      <w:r>
        <w:rPr>
          <w:i/>
          <w:iCs/>
        </w:rPr>
        <w:t>persona</w:t>
      </w:r>
      <w:r>
        <w:t>: a real, eternal, relational distinction within the one being of God — not a role, a mask, or a mere aspect, but who each of the Father, Son, and Holy Spirit eternally and distinctly is, even as all three share completely the one divine essence, οὐσία (ousia).</w:t>
      </w:r>
    </w:p>
    <w:p w14:paraId="40A584AB" w14:textId="77777777" w:rsidR="009C7F52" w:rsidRDefault="00731002">
      <w:pPr>
        <w:pStyle w:val="BodyText"/>
      </w:pPr>
      <w:r>
        <w:rPr>
          <w:b/>
          <w:bCs/>
        </w:rPr>
        <w:t>Shema</w:t>
      </w:r>
      <w:r>
        <w:t xml:space="preserve"> — Named for its opening Hebrew word שְׁמַע (shemaʿ, “hear!”), the Shema is Israel’s foundational confession of God’s uniqueness, drawn from Deuteronomy 6:4: שְׁמַע יִשְׂרָאֵל יְהוָה אֱלֹהֵינוּ יְהוָה אֶחָד (shemaʿ Yisraʾel, YHWH Eloheinu, YHWH echad, “Hear, O Israel: the LORD our God, the LORD is one”). Jesus himself affirms the Shema as the greatest commandment in Mark 12:29–30, making rigorous monotheism the non-negotiable starting point for any Christian account of the Trinity.</w:t>
      </w:r>
    </w:p>
    <w:p w14:paraId="28DF5AA1" w14:textId="77777777" w:rsidR="009C7F52" w:rsidRDefault="00731002">
      <w:pPr>
        <w:pStyle w:val="BodyText"/>
      </w:pPr>
      <w:r>
        <w:rPr>
          <w:b/>
          <w:bCs/>
        </w:rPr>
        <w:t>Socinianism</w:t>
      </w:r>
      <w:r>
        <w:t xml:space="preserve"> — The sixteenth-century unitarian movement associated with the Italian theologian Faustus Socinus, which denied both the Trinity and Christ’s personal pre-existence, teaching instead that Jesus was a man exalted by God to a subordinate divine status and function. It is an important historical forerunner of modern unitarianism</w:t>
      </w:r>
      <w:hyperlink w:anchor="cite_360" w:history="1">
        <w:r>
          <w:rPr>
            <w:color w:val="671C2A"/>
            <w:sz w:val="16"/>
            <w:vertAlign w:val="superscript"/>
          </w:rPr>
          <w:t>360</w:t>
        </w:r>
      </w:hyperlink>
      <w:r>
        <w:t>.</w:t>
      </w:r>
    </w:p>
    <w:p w14:paraId="1BA4A968" w14:textId="77777777" w:rsidR="009C7F52" w:rsidRDefault="00731002">
      <w:pPr>
        <w:pStyle w:val="BodyText"/>
      </w:pPr>
      <w:r>
        <w:rPr>
          <w:b/>
          <w:bCs/>
        </w:rPr>
        <w:t>Subordinationism</w:t>
      </w:r>
      <w:r>
        <w:t xml:space="preserve"> — The broad tendency, found in varying and sometimes unintentional degrees among some writers before Nicaea and fully developed in Arianism, to rank the Son and/or the Holy Spirit as lower in being, rather than merely ordered in relationship, compared to the Father. Historic Trinitarian orthodoxy affirms an order of relation among the persons (the Father as eternal source of the Son’s generation and the Spirit’s procession) while firmly denying any inequality of being, power, or glory.</w:t>
      </w:r>
    </w:p>
    <w:p w14:paraId="1703C93C" w14:textId="77777777" w:rsidR="009C7F52" w:rsidRDefault="00731002">
      <w:pPr>
        <w:pStyle w:val="BodyText"/>
      </w:pPr>
      <w:r>
        <w:rPr>
          <w:b/>
          <w:bCs/>
        </w:rPr>
        <w:t>Tawhid</w:t>
      </w:r>
      <w:r>
        <w:t xml:space="preserve"> — تَوْحِيد (tawḥīd, “oneness” or “making one”), the central doctrine of Islam: the absolute, indivisible oneness of God (Allah), who has no partners, no equals, and no plurality of persons within his being. Tawhid stands as Islam’s sharpest and most direct theological objection to the Christian doctrine of the Trinity, which is why any respectful engagement between the two traditions has to explain clearly, rather than assume, why Trinitarian monotheism is not a violation of it</w:t>
      </w:r>
      <w:hyperlink w:anchor="cite_361" w:history="1">
        <w:r>
          <w:rPr>
            <w:color w:val="671C2A"/>
            <w:sz w:val="16"/>
            <w:vertAlign w:val="superscript"/>
          </w:rPr>
          <w:t>361</w:t>
        </w:r>
      </w:hyperlink>
      <w:r>
        <w:t>.</w:t>
      </w:r>
    </w:p>
    <w:p w14:paraId="074BBD18" w14:textId="77777777" w:rsidR="009C7F52" w:rsidRDefault="00731002">
      <w:pPr>
        <w:pStyle w:val="BodyText"/>
      </w:pPr>
      <w:r>
        <w:rPr>
          <w:b/>
          <w:bCs/>
        </w:rPr>
        <w:t>Theotokos</w:t>
      </w:r>
      <w:r>
        <w:t xml:space="preserve"> — Θεοτόκος (Theotokos, “God-bearer” or “Mother of God”), the title for Mary affirmed at the Council of Ephesus (431) and repeated at Chalcedon (451). The title is not primarily a statement about Mary’s own status; it protects the truth that the person born of her was, without division, fully God as well as fully man — deny the title, and one has implicitly split Christ into two persons, which is exactly the error, Nestorianism, the title was formulated to answer</w:t>
      </w:r>
      <w:hyperlink w:anchor="cite_362" w:history="1">
        <w:r>
          <w:rPr>
            <w:color w:val="671C2A"/>
            <w:sz w:val="16"/>
            <w:vertAlign w:val="superscript"/>
          </w:rPr>
          <w:t>362</w:t>
        </w:r>
      </w:hyperlink>
      <w:r>
        <w:t>.</w:t>
      </w:r>
    </w:p>
    <w:p w14:paraId="7FA20154" w14:textId="77777777" w:rsidR="009C7F52" w:rsidRDefault="00731002">
      <w:pPr>
        <w:pStyle w:val="BodyText"/>
      </w:pPr>
      <w:r>
        <w:rPr>
          <w:b/>
          <w:bCs/>
        </w:rPr>
        <w:t>Tritheism</w:t>
      </w:r>
      <w:r>
        <w:t xml:space="preserve"> — The teaching that Father, Son, and Holy Spirit are three separate divine beings or gods, rather than three persons who share one, single, numerically identical divine essence. Historic orthodoxy answers this charge with the doctrine of inseparable divine operations: every act of God is a single, undivided act of Father, Son, and Spirit together, even when appropriated to one person in particular.</w:t>
      </w:r>
    </w:p>
    <w:p w14:paraId="0519FBE4" w14:textId="77777777" w:rsidR="009C7F52" w:rsidRDefault="00731002">
      <w:pPr>
        <w:pStyle w:val="BodyText"/>
      </w:pPr>
      <w:r>
        <w:rPr>
          <w:b/>
          <w:bCs/>
        </w:rPr>
        <w:t>Trinity</w:t>
      </w:r>
      <w:r>
        <w:t xml:space="preserve"> — The classic Christian doctrine that within the one being of God there exist eternally three coequal, coeternal persons: the Father, the Son, and the Holy Spirit — one what, three whos. This book adopts as its working definition James R. White’s formulation: “Within the one Being that is God, there exists eternally three coequal and coeternal persons, namely, the Father, the Son, and the Holy Spirit”</w:t>
      </w:r>
      <w:hyperlink w:anchor="cite_363" w:history="1">
        <w:r>
          <w:rPr>
            <w:color w:val="671C2A"/>
            <w:sz w:val="16"/>
            <w:vertAlign w:val="superscript"/>
          </w:rPr>
          <w:t>363</w:t>
        </w:r>
      </w:hyperlink>
      <w:r>
        <w:t>.</w:t>
      </w:r>
    </w:p>
    <w:p w14:paraId="50E0FD6B" w14:textId="77777777" w:rsidR="009C7F52" w:rsidRDefault="00731002">
      <w:pPr>
        <w:pStyle w:val="BodyText"/>
      </w:pPr>
      <w:r>
        <w:rPr>
          <w:b/>
          <w:bCs/>
        </w:rPr>
        <w:t>YHWH</w:t>
      </w:r>
      <w:r>
        <w:t xml:space="preserve"> — יהוה (YHWH), the four-letter personal name of the God of Israel, traditionally called the Tetragrammaton (“four letters”), revealed to Moses at the burning bush (Exodus 3:14–15) and rendered in most English Bibles as “the LORD” (in small capitals). Ancient Jewish reverence avoided pronouncing the name aloud, which is why its original pronunciation is uncertain — “Yahweh” is the standard modern scholarly reconstruction</w:t>
      </w:r>
      <w:hyperlink w:anchor="cite_364" w:history="1">
        <w:r>
          <w:rPr>
            <w:color w:val="671C2A"/>
            <w:sz w:val="16"/>
            <w:vertAlign w:val="superscript"/>
          </w:rPr>
          <w:t>364</w:t>
        </w:r>
      </w:hyperlink>
      <w:r>
        <w:t>.</w:t>
      </w:r>
    </w:p>
    <w:p w14:paraId="6266D66C" w14:textId="77777777" w:rsidR="009C7F52" w:rsidRDefault="00731002">
      <w:pPr>
        <w:pStyle w:val="Heading2"/>
        <w:pBdr>
          <w:bottom w:val="single" w:sz="10" w:space="8" w:color="A68037"/>
        </w:pBdr>
      </w:pPr>
      <w:bookmarkStart w:id="250" w:name="appendix-c-for-further-study"/>
      <w:bookmarkEnd w:id="249"/>
      <w:r>
        <w:t>Appendix C: For Further Study</w:t>
      </w:r>
    </w:p>
    <w:p w14:paraId="1E3CE44C" w14:textId="77777777" w:rsidR="009C7F52" w:rsidRDefault="00731002">
      <w:pPr>
        <w:pStyle w:val="FirstParagraph"/>
      </w:pPr>
      <w:r>
        <w:t>The following works are organized by category for readers who want to go deeper into the biblical, historical, and philosophical questions this book has surveyed. Each entry is annotated to show what the book contributes and why it is worth the reader’s time.</w:t>
      </w:r>
    </w:p>
    <w:p w14:paraId="210F0324" w14:textId="77777777" w:rsidR="009C7F52" w:rsidRDefault="00731002">
      <w:pPr>
        <w:pStyle w:val="Heading3"/>
        <w:pBdr>
          <w:bottom w:val="single" w:sz="4" w:space="5" w:color="C8AE75"/>
        </w:pBdr>
      </w:pPr>
      <w:bookmarkStart w:id="251" w:name="old-testament-background"/>
      <w:r>
        <w:t>Old Testament Background</w:t>
      </w:r>
    </w:p>
    <w:p w14:paraId="57F83326" w14:textId="77777777" w:rsidR="009C7F52" w:rsidRDefault="00731002">
      <w:pPr>
        <w:pStyle w:val="FirstParagraph"/>
      </w:pPr>
      <w:r>
        <w:t xml:space="preserve">Michael S. Heiser, </w:t>
      </w:r>
      <w:r>
        <w:rPr>
          <w:i/>
          <w:iCs/>
        </w:rPr>
        <w:t>The Unseen Realm: Recovering the Supernatural Worldview of the Bible</w:t>
      </w:r>
      <w:r>
        <w:t xml:space="preserve"> (Lexham Press, 2015). A widely read study of the Old Testament’s “divine council” texts and the ancient Near Eastern context behind passages like Genesis 1:26 and Psalm 82, useful background for the plurality-within-monotheism texture this book discusses in its Old Testament chapters, though readers should weigh its more speculative conclusions against more conservative treatments</w:t>
      </w:r>
      <w:hyperlink w:anchor="cite_365" w:history="1">
        <w:r>
          <w:rPr>
            <w:color w:val="671C2A"/>
            <w:sz w:val="16"/>
            <w:vertAlign w:val="superscript"/>
          </w:rPr>
          <w:t>365</w:t>
        </w:r>
      </w:hyperlink>
      <w:r>
        <w:t>.</w:t>
      </w:r>
    </w:p>
    <w:p w14:paraId="67CF260C" w14:textId="77777777" w:rsidR="009C7F52" w:rsidRDefault="00731002">
      <w:pPr>
        <w:pStyle w:val="BodyText"/>
      </w:pPr>
      <w:r>
        <w:t xml:space="preserve">Alan F. Segal, </w:t>
      </w:r>
      <w:r>
        <w:rPr>
          <w:i/>
          <w:iCs/>
        </w:rPr>
        <w:t>Two Powers in Heaven: Early Rabbinic Reports about Christianity and Gnosticism</w:t>
      </w:r>
      <w:r>
        <w:t xml:space="preserve"> (Brill, 1977; reissued Baylor University Press, 2012). The foundational scholarly study of the rabbinic-era controversy over teachers who spoke of “two powers in heaven,” and the definitive historical-critical source for that phrase — essential, careful reading for understanding exactly what Second Temple and early rabbinic Judaism did and did not conclude about plurality in God</w:t>
      </w:r>
      <w:hyperlink w:anchor="cite_366" w:history="1">
        <w:r>
          <w:rPr>
            <w:color w:val="671C2A"/>
            <w:sz w:val="16"/>
            <w:vertAlign w:val="superscript"/>
          </w:rPr>
          <w:t>366</w:t>
        </w:r>
      </w:hyperlink>
      <w:r>
        <w:t>.</w:t>
      </w:r>
    </w:p>
    <w:p w14:paraId="10F3941F" w14:textId="77777777" w:rsidR="009C7F52" w:rsidRDefault="00731002">
      <w:pPr>
        <w:pStyle w:val="BodyText"/>
      </w:pPr>
      <w:r>
        <w:t xml:space="preserve">Daniel I. Block, </w:t>
      </w:r>
      <w:r>
        <w:rPr>
          <w:i/>
          <w:iCs/>
        </w:rPr>
        <w:t>How I Love Your Torah, O LORD!: Studies in the Book of Deuteronomy</w:t>
      </w:r>
      <w:r>
        <w:t xml:space="preserve"> (Wipf and Stock, 2011), and his commentary </w:t>
      </w:r>
      <w:r>
        <w:rPr>
          <w:i/>
          <w:iCs/>
        </w:rPr>
        <w:t>Deuteronomy</w:t>
      </w:r>
      <w:r>
        <w:t xml:space="preserve"> (NIV Application Commentary, Zondervan, 2012). Rigorous, evangelical, Hebrew-text-level engagement with the Shema (Deuteronomy 6:4) and Israel’s confession of God’s oneness, useful for readers who want to go beneath the English translation</w:t>
      </w:r>
      <w:hyperlink w:anchor="cite_367" w:history="1">
        <w:r>
          <w:rPr>
            <w:color w:val="671C2A"/>
            <w:sz w:val="16"/>
            <w:vertAlign w:val="superscript"/>
          </w:rPr>
          <w:t>367</w:t>
        </w:r>
      </w:hyperlink>
      <w:r>
        <w:t>.</w:t>
      </w:r>
    </w:p>
    <w:p w14:paraId="6B86231B" w14:textId="77777777" w:rsidR="009C7F52" w:rsidRDefault="00731002">
      <w:pPr>
        <w:pStyle w:val="BodyText"/>
      </w:pPr>
      <w:r>
        <w:t xml:space="preserve">James F. McGrath, </w:t>
      </w:r>
      <w:r>
        <w:rPr>
          <w:i/>
          <w:iCs/>
        </w:rPr>
        <w:t>The Only True God: Early Christian Monotheism in Its Jewish Context</w:t>
      </w:r>
      <w:r>
        <w:t xml:space="preserve"> (University of Illinois Press, 2009). A careful, sometimes contested, scholarly examination of how early Jewish Christians combined exalted claims about Jesus with an ongoing commitment to Jewish monotheism — useful as a conversation partner even where this book’s conclusions differ</w:t>
      </w:r>
      <w:hyperlink w:anchor="cite_368" w:history="1">
        <w:r>
          <w:rPr>
            <w:color w:val="671C2A"/>
            <w:sz w:val="16"/>
            <w:vertAlign w:val="superscript"/>
          </w:rPr>
          <w:t>368</w:t>
        </w:r>
      </w:hyperlink>
      <w:r>
        <w:t>.</w:t>
      </w:r>
    </w:p>
    <w:p w14:paraId="13FDA558" w14:textId="77777777" w:rsidR="009C7F52" w:rsidRDefault="00731002">
      <w:pPr>
        <w:pStyle w:val="Heading3"/>
        <w:pBdr>
          <w:bottom w:val="single" w:sz="4" w:space="5" w:color="C8AE75"/>
        </w:pBdr>
      </w:pPr>
      <w:bookmarkStart w:id="252" w:name="X8fd28a6f9468b4aed5948aae7e79fc10638584a"/>
      <w:bookmarkEnd w:id="251"/>
      <w:r>
        <w:t>New Testament Christology and Systematic Theology</w:t>
      </w:r>
    </w:p>
    <w:p w14:paraId="04BCCF0E" w14:textId="77777777" w:rsidR="009C7F52" w:rsidRDefault="00731002">
      <w:pPr>
        <w:pStyle w:val="FirstParagraph"/>
      </w:pPr>
      <w:r>
        <w:t xml:space="preserve">James R. White, </w:t>
      </w:r>
      <w:r>
        <w:rPr>
          <w:i/>
          <w:iCs/>
        </w:rPr>
        <w:t>The Forgotten Trinity: Recovering the Heart of Christian Belief</w:t>
      </w:r>
      <w:r>
        <w:t xml:space="preserve"> (Bethany House, 1998). The single clearest, most accessible modern statement of the doctrine of the Trinity for general readers, and the source of the definition of the Trinity this book uses throughout; White walks patiently through the biblical exegesis behind each element of the doctrine</w:t>
      </w:r>
      <w:hyperlink w:anchor="cite_369" w:history="1">
        <w:r>
          <w:rPr>
            <w:color w:val="671C2A"/>
            <w:sz w:val="16"/>
            <w:vertAlign w:val="superscript"/>
          </w:rPr>
          <w:t>369</w:t>
        </w:r>
      </w:hyperlink>
      <w:r>
        <w:t>.</w:t>
      </w:r>
    </w:p>
    <w:p w14:paraId="5A5FF465" w14:textId="77777777" w:rsidR="009C7F52" w:rsidRDefault="00731002">
      <w:pPr>
        <w:pStyle w:val="BodyText"/>
      </w:pPr>
      <w:r>
        <w:t xml:space="preserve">Richard Bauckham, </w:t>
      </w:r>
      <w:r>
        <w:rPr>
          <w:i/>
          <w:iCs/>
        </w:rPr>
        <w:t>Jesus and the God of Israel: God Crucified and Other Studies on the New Testament’s Christology of Divine Identity</w:t>
      </w:r>
      <w:r>
        <w:t xml:space="preserve"> (Eerdmans, 2008). A major work of New Testament scholarship arguing that the earliest Christians included Jesus within, rather than alongside, the unique identity of the God of Israel — a rigorous scholarly foundation for the New Testament material this book surveys in its Christology chapters</w:t>
      </w:r>
      <w:hyperlink w:anchor="cite_370" w:history="1">
        <w:r>
          <w:rPr>
            <w:color w:val="671C2A"/>
            <w:sz w:val="16"/>
            <w:vertAlign w:val="superscript"/>
          </w:rPr>
          <w:t>370</w:t>
        </w:r>
      </w:hyperlink>
      <w:r>
        <w:t>.</w:t>
      </w:r>
    </w:p>
    <w:p w14:paraId="2E2FBC41" w14:textId="77777777" w:rsidR="009C7F52" w:rsidRDefault="00731002">
      <w:pPr>
        <w:pStyle w:val="BodyText"/>
      </w:pPr>
      <w:r>
        <w:t xml:space="preserve">Larry W. Hurtado, </w:t>
      </w:r>
      <w:r>
        <w:rPr>
          <w:i/>
          <w:iCs/>
        </w:rPr>
        <w:t>Lord Jesus Christ: Devotion to Jesus in Earliest Christianity</w:t>
      </w:r>
      <w:r>
        <w:t xml:space="preserve"> (Eerdmans, 2003). A landmark study, complementary to Bauckham’s, tracing how and when the earliest Christians began worshiping Jesus alongside God the Father, with detailed attention to the historical timeline of the church’s earliest devotional practice</w:t>
      </w:r>
      <w:hyperlink w:anchor="cite_371" w:history="1">
        <w:r>
          <w:rPr>
            <w:color w:val="671C2A"/>
            <w:sz w:val="16"/>
            <w:vertAlign w:val="superscript"/>
          </w:rPr>
          <w:t>371</w:t>
        </w:r>
      </w:hyperlink>
      <w:r>
        <w:t>.</w:t>
      </w:r>
    </w:p>
    <w:p w14:paraId="7855E339" w14:textId="77777777" w:rsidR="009C7F52" w:rsidRDefault="00731002">
      <w:pPr>
        <w:pStyle w:val="BodyText"/>
      </w:pPr>
      <w:r>
        <w:t xml:space="preserve">Robert Letham, </w:t>
      </w:r>
      <w:r>
        <w:rPr>
          <w:i/>
          <w:iCs/>
        </w:rPr>
        <w:t>The Holy Trinity: In Scripture, History, Theology, and Worship</w:t>
      </w:r>
      <w:r>
        <w:t xml:space="preserve"> (P&amp;R Publishing, 2004; rev. ed. 2019). A comprehensive, historically grounded systematic treatment moving from biblical exegesis through the patristic and medieval periods to contemporary questions, useful as a one-volume reference alongside this book</w:t>
      </w:r>
      <w:hyperlink w:anchor="cite_372" w:history="1">
        <w:r>
          <w:rPr>
            <w:color w:val="671C2A"/>
            <w:sz w:val="16"/>
            <w:vertAlign w:val="superscript"/>
          </w:rPr>
          <w:t>372</w:t>
        </w:r>
      </w:hyperlink>
      <w:r>
        <w:t>.</w:t>
      </w:r>
    </w:p>
    <w:p w14:paraId="11FB0B34" w14:textId="77777777" w:rsidR="009C7F52" w:rsidRDefault="00731002">
      <w:pPr>
        <w:pStyle w:val="BodyText"/>
      </w:pPr>
      <w:r>
        <w:t xml:space="preserve">Fred Sanders, </w:t>
      </w:r>
      <w:r>
        <w:rPr>
          <w:i/>
          <w:iCs/>
        </w:rPr>
        <w:t>The Deep Things of God: How the Trinity Changes Everything</w:t>
      </w:r>
      <w:r>
        <w:t xml:space="preserve"> (Crossway, 2010; rev. ed. 2017). An accessible, warmly written argument that Trinitarian doctrine is not abstract speculation but the basic grammar of Christian prayer, worship, and gospel proclamation.</w:t>
      </w:r>
    </w:p>
    <w:p w14:paraId="66E9895A" w14:textId="77777777" w:rsidR="009C7F52" w:rsidRDefault="00731002">
      <w:pPr>
        <w:pStyle w:val="Heading3"/>
        <w:pBdr>
          <w:bottom w:val="single" w:sz="4" w:space="5" w:color="C8AE75"/>
        </w:pBdr>
      </w:pPr>
      <w:bookmarkStart w:id="253" w:name="patristics-and-the-councils"/>
      <w:bookmarkEnd w:id="252"/>
      <w:r>
        <w:t>Patristics and the Councils</w:t>
      </w:r>
    </w:p>
    <w:p w14:paraId="28473C21" w14:textId="77777777" w:rsidR="009C7F52" w:rsidRDefault="00731002">
      <w:pPr>
        <w:pStyle w:val="FirstParagraph"/>
      </w:pPr>
      <w:r>
        <w:t xml:space="preserve">J.N.D. Kelly, </w:t>
      </w:r>
      <w:r>
        <w:rPr>
          <w:i/>
          <w:iCs/>
        </w:rPr>
        <w:t>Early Christian Doctrines</w:t>
      </w:r>
      <w:r>
        <w:t xml:space="preserve"> (Harper &amp; Row, 1958; rev. ed. 1978). The standard academic survey of how Trinitarian and Christological doctrine actually developed from the apostolic fathers through Chalcedon, indispensable for tracing primary-source lines and still a first stop for serious students</w:t>
      </w:r>
      <w:hyperlink w:anchor="cite_373" w:history="1">
        <w:r>
          <w:rPr>
            <w:color w:val="671C2A"/>
            <w:sz w:val="16"/>
            <w:vertAlign w:val="superscript"/>
          </w:rPr>
          <w:t>373</w:t>
        </w:r>
      </w:hyperlink>
      <w:r>
        <w:t>.</w:t>
      </w:r>
    </w:p>
    <w:p w14:paraId="4FDA902F" w14:textId="77777777" w:rsidR="009C7F52" w:rsidRDefault="00731002">
      <w:pPr>
        <w:pStyle w:val="BodyText"/>
      </w:pPr>
      <w:r>
        <w:t xml:space="preserve">Lewis Ayres, </w:t>
      </w:r>
      <w:r>
        <w:rPr>
          <w:i/>
          <w:iCs/>
        </w:rPr>
        <w:t>Nicaea and Its Legacy: An Approach to Fourth-Century Trinitarian Theology</w:t>
      </w:r>
      <w:r>
        <w:t xml:space="preserve"> (Oxford University Press, 2004). A major modern scholarly reassessment of what “Nicene theology” actually meant to the fourth-century writers who used it, correcting some older, oversimplified narratives of the Arian controversy</w:t>
      </w:r>
      <w:hyperlink w:anchor="cite_374" w:history="1">
        <w:r>
          <w:rPr>
            <w:color w:val="671C2A"/>
            <w:sz w:val="16"/>
            <w:vertAlign w:val="superscript"/>
          </w:rPr>
          <w:t>374</w:t>
        </w:r>
      </w:hyperlink>
      <w:r>
        <w:t>.</w:t>
      </w:r>
    </w:p>
    <w:p w14:paraId="0EDA3EE2" w14:textId="77777777" w:rsidR="009C7F52" w:rsidRDefault="00731002">
      <w:pPr>
        <w:pStyle w:val="BodyText"/>
      </w:pPr>
      <w:r>
        <w:t xml:space="preserve">Khaled Anatolios, </w:t>
      </w:r>
      <w:r>
        <w:rPr>
          <w:i/>
          <w:iCs/>
        </w:rPr>
        <w:t>Retrieving Nicaea: The Development and Meaning of Trinitarian Doctrine</w:t>
      </w:r>
      <w:r>
        <w:t xml:space="preserve"> (Baker Academic, 2011). A rigorous account of how the fourth-century debates actually unfolded conceptually, treating both the Nicene and the various non-Nicene positions with historical seriousness</w:t>
      </w:r>
      <w:hyperlink w:anchor="cite_375" w:history="1">
        <w:r>
          <w:rPr>
            <w:color w:val="671C2A"/>
            <w:sz w:val="16"/>
            <w:vertAlign w:val="superscript"/>
          </w:rPr>
          <w:t>375</w:t>
        </w:r>
      </w:hyperlink>
      <w:r>
        <w:t>.</w:t>
      </w:r>
    </w:p>
    <w:p w14:paraId="65AB157A" w14:textId="77777777" w:rsidR="009C7F52" w:rsidRDefault="00731002">
      <w:pPr>
        <w:pStyle w:val="BodyText"/>
      </w:pPr>
      <w:r>
        <w:t xml:space="preserve">William G. Rusch, ed., </w:t>
      </w:r>
      <w:r>
        <w:rPr>
          <w:i/>
          <w:iCs/>
        </w:rPr>
        <w:t>The Trinitarian Controversy</w:t>
      </w:r>
      <w:r>
        <w:t xml:space="preserve"> (Fortress Press, “Sources of Early Christian Thought” series, 1980). A compact anthology of primary-source translations from the fourth-century debate, useful for readers who want to read Arius, Athanasius, and the Cappadocians in their own words without a full patrologies library.</w:t>
      </w:r>
    </w:p>
    <w:p w14:paraId="6F63DE0E" w14:textId="77777777" w:rsidR="009C7F52" w:rsidRDefault="00731002">
      <w:pPr>
        <w:pStyle w:val="BodyText"/>
      </w:pPr>
      <w:r>
        <w:t xml:space="preserve">Richard A. Norris Jr., ed. and trans., </w:t>
      </w:r>
      <w:r>
        <w:rPr>
          <w:i/>
          <w:iCs/>
        </w:rPr>
        <w:t>The Christological Controversy</w:t>
      </w:r>
      <w:r>
        <w:t xml:space="preserve"> (Fortress Press, “Sources of Early Christian Thought” series, 1980). A companion primary-source anthology covering the fifth- and sixth-century Christological debates behind Ephesus (431), Chalcedon (451), and the Monophysite and Nestorian controversies.</w:t>
      </w:r>
    </w:p>
    <w:p w14:paraId="654ABF23" w14:textId="77777777" w:rsidR="009C7F52" w:rsidRDefault="00731002">
      <w:pPr>
        <w:pStyle w:val="BodyText"/>
      </w:pPr>
      <w:r>
        <w:t xml:space="preserve">John Behr, </w:t>
      </w:r>
      <w:r>
        <w:rPr>
          <w:i/>
          <w:iCs/>
        </w:rPr>
        <w:t>The Nicene Faith</w:t>
      </w:r>
      <w:r>
        <w:t xml:space="preserve"> (St. Vladimir’s Seminary Press, “Formation of Christian Theology” series, vol. 2, 2004). A detailed Eastern Orthodox scholarly treatment of the fourth-century controversy, useful as a counterbalance to Western-centered narratives of the same events</w:t>
      </w:r>
      <w:hyperlink w:anchor="cite_376" w:history="1">
        <w:r>
          <w:rPr>
            <w:color w:val="671C2A"/>
            <w:sz w:val="16"/>
            <w:vertAlign w:val="superscript"/>
          </w:rPr>
          <w:t>376</w:t>
        </w:r>
      </w:hyperlink>
      <w:r>
        <w:t>.</w:t>
      </w:r>
    </w:p>
    <w:p w14:paraId="7F938BE2" w14:textId="77777777" w:rsidR="009C7F52" w:rsidRDefault="00731002">
      <w:pPr>
        <w:pStyle w:val="Heading3"/>
        <w:pBdr>
          <w:bottom w:val="single" w:sz="4" w:space="5" w:color="C8AE75"/>
        </w:pBdr>
      </w:pPr>
      <w:bookmarkStart w:id="254" w:name="historical-theology-and-the-reformation"/>
      <w:bookmarkEnd w:id="253"/>
      <w:r>
        <w:t>Historical Theology and the Reformation</w:t>
      </w:r>
    </w:p>
    <w:p w14:paraId="5A6A6C10" w14:textId="77777777" w:rsidR="009C7F52" w:rsidRDefault="00731002">
      <w:pPr>
        <w:pStyle w:val="FirstParagraph"/>
      </w:pPr>
      <w:r>
        <w:t xml:space="preserve">Carl R. Trueman, </w:t>
      </w:r>
      <w:r>
        <w:rPr>
          <w:i/>
          <w:iCs/>
        </w:rPr>
        <w:t>The Creedal Imperative</w:t>
      </w:r>
      <w:r>
        <w:t xml:space="preserve"> (Crossway, 2012). A defense of why creeds and confessions matter for the church’s ongoing task of teaching sound doctrine, useful background for how the Reformation-era confessions this book cites function within Protestant theology</w:t>
      </w:r>
      <w:hyperlink w:anchor="cite_377" w:history="1">
        <w:r>
          <w:rPr>
            <w:color w:val="671C2A"/>
            <w:sz w:val="16"/>
            <w:vertAlign w:val="superscript"/>
          </w:rPr>
          <w:t>377</w:t>
        </w:r>
      </w:hyperlink>
      <w:r>
        <w:t>.</w:t>
      </w:r>
    </w:p>
    <w:p w14:paraId="3FC09188" w14:textId="77777777" w:rsidR="009C7F52" w:rsidRDefault="00731002">
      <w:pPr>
        <w:pStyle w:val="BodyText"/>
      </w:pPr>
      <w:r>
        <w:t xml:space="preserve">Richard A. Muller, </w:t>
      </w:r>
      <w:r>
        <w:rPr>
          <w:i/>
          <w:iCs/>
        </w:rPr>
        <w:t>Post-Reformation Reformed Dogmatics</w:t>
      </w:r>
      <w:r>
        <w:t xml:space="preserve">, vol. 4: </w:t>
      </w:r>
      <w:r>
        <w:rPr>
          <w:i/>
          <w:iCs/>
        </w:rPr>
        <w:t>The Triunity of God</w:t>
      </w:r>
      <w:r>
        <w:t xml:space="preserve"> (Baker Academic, 2003). The definitive scholarly account of how Reformed theologians in the sixteenth and seventeenth centuries received, restated, and defended the classical doctrine of the Trinity against both Roman Catholic and Socinian critics</w:t>
      </w:r>
      <w:hyperlink w:anchor="cite_378" w:history="1">
        <w:r>
          <w:rPr>
            <w:color w:val="671C2A"/>
            <w:sz w:val="16"/>
            <w:vertAlign w:val="superscript"/>
          </w:rPr>
          <w:t>378</w:t>
        </w:r>
      </w:hyperlink>
      <w:r>
        <w:t>.</w:t>
      </w:r>
    </w:p>
    <w:p w14:paraId="599BE193" w14:textId="77777777" w:rsidR="009C7F52" w:rsidRDefault="00731002">
      <w:pPr>
        <w:pStyle w:val="BodyText"/>
      </w:pPr>
      <w:r>
        <w:t xml:space="preserve">Philip Schaff, ed., </w:t>
      </w:r>
      <w:r>
        <w:rPr>
          <w:i/>
          <w:iCs/>
        </w:rPr>
        <w:t>The Creeds of Christendom</w:t>
      </w:r>
      <w:r>
        <w:t xml:space="preserve"> (Harper &amp; Brothers, 1877; widely reprinted). A classic, still-useful primary-source collection gathering the text of the ecumenical creeds alongside the Reformation-era confessions (Westminster, Belgic, and others) referenced throughout this book’s later chapters.</w:t>
      </w:r>
    </w:p>
    <w:p w14:paraId="4C29B611" w14:textId="77777777" w:rsidR="009C7F52" w:rsidRDefault="00731002">
      <w:pPr>
        <w:pStyle w:val="Heading3"/>
        <w:pBdr>
          <w:bottom w:val="single" w:sz="4" w:space="5" w:color="C8AE75"/>
        </w:pBdr>
      </w:pPr>
      <w:bookmarkStart w:id="255" w:name="apologetics-against-modern-challenges"/>
      <w:bookmarkEnd w:id="254"/>
      <w:r>
        <w:t>Apologetics Against Modern Challenges</w:t>
      </w:r>
    </w:p>
    <w:p w14:paraId="773A9911" w14:textId="77777777" w:rsidR="009C7F52" w:rsidRDefault="00731002">
      <w:pPr>
        <w:pStyle w:val="FirstParagraph"/>
      </w:pPr>
      <w:r>
        <w:t xml:space="preserve">Robert M. Bowman Jr. and J. Ed Komoszewski, </w:t>
      </w:r>
      <w:r>
        <w:rPr>
          <w:i/>
          <w:iCs/>
        </w:rPr>
        <w:t>Putting Jesus in His Place: The Case for the Deity of Christ</w:t>
      </w:r>
      <w:r>
        <w:t xml:space="preserve"> (Kregel, 2007). A thorough, well-organized popular-level apologetic laying out the biblical case for Christ’s deity, useful for readers encountering Jehovah’s Witness, Socinian, or other unitarian objections firsthand.</w:t>
      </w:r>
    </w:p>
    <w:p w14:paraId="1E0F1AC9" w14:textId="77777777" w:rsidR="009C7F52" w:rsidRDefault="00731002">
      <w:pPr>
        <w:pStyle w:val="BodyText"/>
      </w:pPr>
      <w:r>
        <w:t xml:space="preserve">Ron Rhodes, </w:t>
      </w:r>
      <w:r>
        <w:rPr>
          <w:i/>
          <w:iCs/>
        </w:rPr>
        <w:t>The Complete Guide to Bible Translations</w:t>
      </w:r>
      <w:r>
        <w:t xml:space="preserve"> and </w:t>
      </w:r>
      <w:r>
        <w:rPr>
          <w:i/>
          <w:iCs/>
        </w:rPr>
        <w:t>Reasoning from the Scriptures with the Jehovah’s Witnesses</w:t>
      </w:r>
      <w:r>
        <w:t xml:space="preserve"> (Harvest House, various editions). A practical, verse-by-verse resource for engaging the specific translation and exegetical arguments Jehovah’s Witnesses raise against the Trinity, complementary to this book’s treatment of the same movement.</w:t>
      </w:r>
    </w:p>
    <w:p w14:paraId="4483635E" w14:textId="77777777" w:rsidR="009C7F52" w:rsidRDefault="00731002">
      <w:pPr>
        <w:pStyle w:val="BodyText"/>
      </w:pPr>
      <w:r>
        <w:t xml:space="preserve">Edgar Foster, </w:t>
      </w:r>
      <w:r>
        <w:rPr>
          <w:i/>
          <w:iCs/>
        </w:rPr>
        <w:t>The Trinity and John’s Gospel: An Exegetical, Theological, and Philosophical Analysis</w:t>
      </w:r>
      <w:r>
        <w:t xml:space="preserve"> (Wipf and Stock, 2015). A closely argued, technically informed engagement with Trinitarian exegesis of John’s Gospel from a Jehovah’s Witness-adjacent theological perspective, valuable precisely because it represents the strongest form of the challenge this book’s Christology chapters answer.</w:t>
      </w:r>
    </w:p>
    <w:p w14:paraId="7F87D886" w14:textId="77777777" w:rsidR="009C7F52" w:rsidRDefault="00731002">
      <w:pPr>
        <w:pStyle w:val="BodyText"/>
      </w:pPr>
      <w:r>
        <w:t xml:space="preserve">Michael Reeves, </w:t>
      </w:r>
      <w:r>
        <w:rPr>
          <w:i/>
          <w:iCs/>
        </w:rPr>
        <w:t>Delighting in the Trinity: An Introduction to the Christian Faith</w:t>
      </w:r>
      <w:r>
        <w:t xml:space="preserve"> (IVP, 2012). A short, warm, pastorally oriented introduction aimed at showing why Trinitarian doctrine is good news rather than a philosophical puzzle to be defended — a good closing recommendation for readers who want the doctrine to end in worship rather than only in argument</w:t>
      </w:r>
      <w:hyperlink w:anchor="cite_379" w:history="1">
        <w:r>
          <w:rPr>
            <w:color w:val="671C2A"/>
            <w:sz w:val="16"/>
            <w:vertAlign w:val="superscript"/>
          </w:rPr>
          <w:t>379</w:t>
        </w:r>
      </w:hyperlink>
      <w:r>
        <w:t>.</w:t>
      </w:r>
    </w:p>
    <w:bookmarkEnd w:id="243"/>
    <w:bookmarkEnd w:id="250"/>
    <w:bookmarkEnd w:id="255"/>
    <w:p w14:paraId="198A828B" w14:textId="77777777" w:rsidR="009F2F79" w:rsidRDefault="001A04A2">
      <w:pPr>
        <w:pStyle w:val="Heading3"/>
      </w:pPr>
      <w:r>
        <w:t>Editorial Source Record for the Enriched Edition</w:t>
      </w:r>
    </w:p>
    <w:p w14:paraId="71BEDDB1" w14:textId="77777777" w:rsidR="009F2F79" w:rsidRDefault="001A04A2">
      <w:pPr>
        <w:pStyle w:val="FirstParagraph"/>
      </w:pPr>
      <w:r>
        <w:t>Geerhardus Vos source sequence: IMG_0228.jpeg through IMG_0266.jpeg reproduce, in order, pages 48–86 of chapter 3, “The Trinity,” in the single-volume edition of Reformed Dogmatics: A System of Christian Theology. The enriched passages derived from this sequence are paraphrases and syntheses; the images are treated as research copies, not reproduced in this edition.</w:t>
      </w:r>
      <w:hyperlink w:anchor="cite_390" w:history="1">
        <w:r>
          <w:rPr>
            <w:color w:val="671C2A"/>
            <w:sz w:val="16"/>
            <w:vertAlign w:val="superscript"/>
          </w:rPr>
          <w:t>390</w:t>
        </w:r>
      </w:hyperlink>
    </w:p>
    <w:p w14:paraId="424BCF47" w14:textId="77777777" w:rsidR="009F2F79" w:rsidRDefault="001A04A2">
      <w:pPr>
        <w:pStyle w:val="BodyText"/>
      </w:pPr>
      <w:r>
        <w:t>Joel R. Beeke and Paul M. Smalley source sequence: IMG_0267.png through IMG_0306.png reproduce the supplied electronic excerpt from pages 161–174 of Essentials of Reformed Systematic Theology, encompassing chapter 19, “The Trinity, Part 1: The Son and the Holy Spirit,” its notes and review material, and the opening of chapter 20, “The Trinity, Part 2: Three Persons and One God.” The enriched passages derived from this sequence are likewise newly written paraphrases and syntheses.</w:t>
      </w:r>
      <w:hyperlink w:anchor="cite_391" w:history="1">
        <w:r>
          <w:rPr>
            <w:color w:val="671C2A"/>
            <w:sz w:val="16"/>
            <w:vertAlign w:val="superscript"/>
          </w:rPr>
          <w:t>391</w:t>
        </w:r>
      </w:hyperlink>
    </w:p>
    <w:p w14:paraId="715BB9EC" w14:textId="77777777" w:rsidR="009C7F52" w:rsidRDefault="00731002">
      <w:pPr>
        <w:pStyle w:val="Heading1"/>
        <w:pageBreakBefore/>
      </w:pPr>
      <w:r>
        <w:t>Endnotes</w:t>
      </w:r>
    </w:p>
    <w:p w14:paraId="66F8787C" w14:textId="77777777" w:rsidR="009C7F52" w:rsidRDefault="00731002">
      <w:pPr>
        <w:spacing w:after="80" w:line="240" w:lineRule="auto"/>
      </w:pPr>
      <w:bookmarkStart w:id="256" w:name="cite_1"/>
      <w:r>
        <w:rPr>
          <w:sz w:val="16"/>
          <w:vertAlign w:val="superscript"/>
        </w:rPr>
        <w:t>1</w:t>
      </w:r>
      <w:bookmarkEnd w:id="256"/>
      <w:r>
        <w:fldChar w:fldCharType="begin"/>
      </w:r>
      <w:r>
        <w:instrText>HYPERLINK "https://www.britannica.com/topic/Yahweh" \h</w:instrText>
      </w:r>
      <w:r>
        <w:fldChar w:fldCharType="separate"/>
      </w:r>
      <w:r>
        <w:rPr>
          <w:color w:val="0563C1"/>
          <w:sz w:val="18"/>
          <w:u w:val="single"/>
        </w:rPr>
        <w:t>Britannica’s entry on Yahweh</w:t>
      </w:r>
      <w:r>
        <w:fldChar w:fldCharType="end"/>
      </w:r>
    </w:p>
    <w:p w14:paraId="65332082" w14:textId="77777777" w:rsidR="009C7F52" w:rsidRDefault="00731002">
      <w:pPr>
        <w:spacing w:after="80" w:line="240" w:lineRule="auto"/>
      </w:pPr>
      <w:bookmarkStart w:id="257" w:name="cite_2"/>
      <w:r>
        <w:rPr>
          <w:sz w:val="16"/>
          <w:vertAlign w:val="superscript"/>
        </w:rPr>
        <w:t>2</w:t>
      </w:r>
      <w:bookmarkEnd w:id="257"/>
      <w:r>
        <w:fldChar w:fldCharType="begin"/>
      </w:r>
      <w:r>
        <w:instrText>HYPERLINK "https://www.biola.edu/blogs/good-book-blog/2011/hello-my-name-is-yhwh" \h</w:instrText>
      </w:r>
      <w:r>
        <w:fldChar w:fldCharType="separate"/>
      </w:r>
      <w:r>
        <w:rPr>
          <w:color w:val="0563C1"/>
          <w:sz w:val="18"/>
          <w:u w:val="single"/>
        </w:rPr>
        <w:t>Biola University’s discussion of Milgrom’s reading</w:t>
      </w:r>
      <w:r>
        <w:fldChar w:fldCharType="end"/>
      </w:r>
    </w:p>
    <w:p w14:paraId="757317E8" w14:textId="77777777" w:rsidR="009C7F52" w:rsidRDefault="00731002">
      <w:pPr>
        <w:spacing w:after="80" w:line="240" w:lineRule="auto"/>
      </w:pPr>
      <w:bookmarkStart w:id="258" w:name="cite_3"/>
      <w:r>
        <w:rPr>
          <w:sz w:val="16"/>
          <w:vertAlign w:val="superscript"/>
        </w:rPr>
        <w:t>3</w:t>
      </w:r>
      <w:bookmarkEnd w:id="258"/>
      <w:r>
        <w:fldChar w:fldCharType="begin"/>
      </w:r>
      <w:r>
        <w:instrText>HYPERLINK "https://thebiblicalmind.org/article/meaning-of-gods-name-i-am-exodus/" \h</w:instrText>
      </w:r>
      <w:r>
        <w:fldChar w:fldCharType="separate"/>
      </w:r>
      <w:r>
        <w:rPr>
          <w:color w:val="0563C1"/>
          <w:sz w:val="18"/>
          <w:u w:val="single"/>
        </w:rPr>
        <w:t>The Biblical Mind, “Misreading ‘I Am’”</w:t>
      </w:r>
      <w:r>
        <w:fldChar w:fldCharType="end"/>
      </w:r>
    </w:p>
    <w:p w14:paraId="5B6902B6" w14:textId="77777777" w:rsidR="009C7F52" w:rsidRDefault="00731002">
      <w:pPr>
        <w:spacing w:after="80" w:line="240" w:lineRule="auto"/>
      </w:pPr>
      <w:bookmarkStart w:id="259" w:name="cite_4"/>
      <w:r>
        <w:rPr>
          <w:sz w:val="16"/>
          <w:vertAlign w:val="superscript"/>
        </w:rPr>
        <w:t>4</w:t>
      </w:r>
      <w:bookmarkEnd w:id="259"/>
      <w:r>
        <w:fldChar w:fldCharType="begin"/>
      </w:r>
      <w:r>
        <w:instrText>HYPERLINK "https://www.britannica.com/topic/Jehovah-2108642" \h</w:instrText>
      </w:r>
      <w:r>
        <w:fldChar w:fldCharType="separate"/>
      </w:r>
      <w:r>
        <w:rPr>
          <w:color w:val="0563C1"/>
          <w:sz w:val="18"/>
          <w:u w:val="single"/>
        </w:rPr>
        <w:t>Britannica’s entry on the tetragrammaton and Jehovah</w:t>
      </w:r>
      <w:r>
        <w:fldChar w:fldCharType="end"/>
      </w:r>
    </w:p>
    <w:p w14:paraId="6699DB74" w14:textId="77777777" w:rsidR="009C7F52" w:rsidRDefault="00731002">
      <w:pPr>
        <w:spacing w:after="80" w:line="240" w:lineRule="auto"/>
      </w:pPr>
      <w:bookmarkStart w:id="260" w:name="cite_5"/>
      <w:r>
        <w:rPr>
          <w:sz w:val="16"/>
          <w:vertAlign w:val="superscript"/>
        </w:rPr>
        <w:t>5</w:t>
      </w:r>
      <w:bookmarkEnd w:id="260"/>
      <w:r>
        <w:rPr>
          <w:sz w:val="18"/>
        </w:rPr>
        <w:t>Britannica on Yahweh; 1911 Encyclopædia Britannica, “Tetragrammaton”</w:t>
      </w:r>
      <w:hyperlink r:id="rId6">
        <w:r>
          <w:rPr>
            <w:color w:val="0563C1"/>
            <w:sz w:val="18"/>
            <w:u w:val="single"/>
          </w:rPr>
          <w:t>[Source 1]</w:t>
        </w:r>
      </w:hyperlink>
      <w:hyperlink r:id="rId7">
        <w:r>
          <w:rPr>
            <w:color w:val="0563C1"/>
            <w:sz w:val="18"/>
            <w:u w:val="single"/>
          </w:rPr>
          <w:t>[Source 2]</w:t>
        </w:r>
      </w:hyperlink>
    </w:p>
    <w:p w14:paraId="3784DB17" w14:textId="77777777" w:rsidR="009C7F52" w:rsidRDefault="00731002">
      <w:pPr>
        <w:spacing w:after="80" w:line="240" w:lineRule="auto"/>
      </w:pPr>
      <w:bookmarkStart w:id="261" w:name="cite_6"/>
      <w:r>
        <w:rPr>
          <w:sz w:val="16"/>
          <w:vertAlign w:val="superscript"/>
        </w:rPr>
        <w:t>6</w:t>
      </w:r>
      <w:bookmarkEnd w:id="261"/>
      <w:r>
        <w:fldChar w:fldCharType="begin"/>
      </w:r>
      <w:r>
        <w:instrText>HYPERLINK "https://www.bibleodyssey.org/articles/reading-the-bible-in-jewish-liturgy/" \h</w:instrText>
      </w:r>
      <w:r>
        <w:fldChar w:fldCharType="separate"/>
      </w:r>
      <w:r>
        <w:rPr>
          <w:color w:val="0563C1"/>
          <w:sz w:val="18"/>
          <w:u w:val="single"/>
        </w:rPr>
        <w:t>Bible Odyssey on the Shema’s place in Jewish liturgy</w:t>
      </w:r>
      <w:r>
        <w:fldChar w:fldCharType="end"/>
      </w:r>
    </w:p>
    <w:p w14:paraId="7ED5D50C" w14:textId="77777777" w:rsidR="009C7F52" w:rsidRDefault="00731002">
      <w:pPr>
        <w:spacing w:after="80" w:line="240" w:lineRule="auto"/>
      </w:pPr>
      <w:bookmarkStart w:id="262" w:name="cite_7"/>
      <w:r>
        <w:rPr>
          <w:sz w:val="16"/>
          <w:vertAlign w:val="superscript"/>
        </w:rPr>
        <w:t>7</w:t>
      </w:r>
      <w:bookmarkEnd w:id="262"/>
      <w:r>
        <w:fldChar w:fldCharType="begin"/>
      </w:r>
      <w:r>
        <w:instrText>HYPERLINK "https://shahidihub.org/shahidihub/index.php/ijtrs/article/view/83" \h</w:instrText>
      </w:r>
      <w:r>
        <w:fldChar w:fldCharType="separate"/>
      </w:r>
      <w:r>
        <w:rPr>
          <w:color w:val="0563C1"/>
          <w:sz w:val="18"/>
          <w:u w:val="single"/>
        </w:rPr>
        <w:t>Loina Hellen Samuel, “The Shema as Foundational Verdict for God’s People”</w:t>
      </w:r>
      <w:r>
        <w:fldChar w:fldCharType="end"/>
      </w:r>
    </w:p>
    <w:p w14:paraId="6C5B2970" w14:textId="77777777" w:rsidR="009C7F52" w:rsidRDefault="00731002">
      <w:pPr>
        <w:spacing w:after="80" w:line="240" w:lineRule="auto"/>
      </w:pPr>
      <w:bookmarkStart w:id="263" w:name="cite_8"/>
      <w:r>
        <w:rPr>
          <w:sz w:val="16"/>
          <w:vertAlign w:val="superscript"/>
        </w:rPr>
        <w:t>8</w:t>
      </w:r>
      <w:bookmarkEnd w:id="263"/>
      <w:r>
        <w:fldChar w:fldCharType="begin"/>
      </w:r>
      <w:r>
        <w:instrText>HYPERLINK "https://place.asburyseminary.edu/cgi/viewcontent.cgi?article=2563&amp;context=asburyjournal" \h</w:instrText>
      </w:r>
      <w:r>
        <w:fldChar w:fldCharType="separate"/>
      </w:r>
      <w:r>
        <w:rPr>
          <w:color w:val="0563C1"/>
          <w:sz w:val="18"/>
          <w:u w:val="single"/>
        </w:rPr>
        <w:t>Paavo Tucker, Asbury Journal</w:t>
      </w:r>
      <w:r>
        <w:fldChar w:fldCharType="end"/>
      </w:r>
    </w:p>
    <w:p w14:paraId="0051A61A" w14:textId="77777777" w:rsidR="009C7F52" w:rsidRDefault="00731002">
      <w:pPr>
        <w:spacing w:after="80" w:line="240" w:lineRule="auto"/>
      </w:pPr>
      <w:bookmarkStart w:id="264" w:name="cite_9"/>
      <w:r>
        <w:rPr>
          <w:sz w:val="16"/>
          <w:vertAlign w:val="superscript"/>
        </w:rPr>
        <w:t>9</w:t>
      </w:r>
      <w:bookmarkEnd w:id="264"/>
      <w:r>
        <w:rPr>
          <w:sz w:val="18"/>
        </w:rPr>
        <w:t>Biblical Missiology, “The Grammar of Elohim”; Wikipedia’s overview of Elohim’s grammar and usage</w:t>
      </w:r>
      <w:hyperlink r:id="rId8">
        <w:r>
          <w:rPr>
            <w:color w:val="0563C1"/>
            <w:sz w:val="18"/>
            <w:u w:val="single"/>
          </w:rPr>
          <w:t>[Source 1]</w:t>
        </w:r>
      </w:hyperlink>
      <w:hyperlink r:id="rId9">
        <w:r>
          <w:rPr>
            <w:color w:val="0563C1"/>
            <w:sz w:val="18"/>
            <w:u w:val="single"/>
          </w:rPr>
          <w:t>[Source 2]</w:t>
        </w:r>
      </w:hyperlink>
    </w:p>
    <w:p w14:paraId="575DE306" w14:textId="77777777" w:rsidR="009C7F52" w:rsidRDefault="00731002">
      <w:pPr>
        <w:spacing w:after="80" w:line="240" w:lineRule="auto"/>
      </w:pPr>
      <w:bookmarkStart w:id="265" w:name="cite_10"/>
      <w:r>
        <w:rPr>
          <w:sz w:val="16"/>
          <w:vertAlign w:val="superscript"/>
        </w:rPr>
        <w:t>10</w:t>
      </w:r>
      <w:bookmarkEnd w:id="265"/>
      <w:r>
        <w:fldChar w:fldCharType="begin"/>
      </w:r>
      <w:r>
        <w:instrText>HYPERLINK "https://en.wikipedia.org/wiki/Elohim" \h</w:instrText>
      </w:r>
      <w:r>
        <w:fldChar w:fldCharType="separate"/>
      </w:r>
      <w:r>
        <w:rPr>
          <w:color w:val="0563C1"/>
          <w:sz w:val="18"/>
          <w:u w:val="single"/>
        </w:rPr>
        <w:t>Wikipedia, “Elohim”</w:t>
      </w:r>
      <w:r>
        <w:fldChar w:fldCharType="end"/>
      </w:r>
    </w:p>
    <w:p w14:paraId="47DB4422" w14:textId="77777777" w:rsidR="009C7F52" w:rsidRDefault="00731002">
      <w:pPr>
        <w:spacing w:after="80" w:line="240" w:lineRule="auto"/>
      </w:pPr>
      <w:bookmarkStart w:id="266" w:name="cite_11"/>
      <w:r>
        <w:rPr>
          <w:sz w:val="16"/>
          <w:vertAlign w:val="superscript"/>
        </w:rPr>
        <w:t>11</w:t>
      </w:r>
      <w:bookmarkEnd w:id="266"/>
      <w:r>
        <w:fldChar w:fldCharType="begin"/>
      </w:r>
      <w:r>
        <w:instrText>HYPERLINK "https://tips.translation.bible/story/translation-commentary-on-genesis-126/" \h</w:instrText>
      </w:r>
      <w:r>
        <w:fldChar w:fldCharType="separate"/>
      </w:r>
      <w:r>
        <w:rPr>
          <w:color w:val="0563C1"/>
          <w:sz w:val="18"/>
          <w:u w:val="single"/>
        </w:rPr>
        <w:t>translation commentary on Genesis 1:26</w:t>
      </w:r>
      <w:r>
        <w:fldChar w:fldCharType="end"/>
      </w:r>
    </w:p>
    <w:p w14:paraId="41D1A43E" w14:textId="77777777" w:rsidR="009C7F52" w:rsidRDefault="00731002">
      <w:pPr>
        <w:spacing w:after="80" w:line="240" w:lineRule="auto"/>
      </w:pPr>
      <w:bookmarkStart w:id="267" w:name="cite_12"/>
      <w:r>
        <w:rPr>
          <w:sz w:val="16"/>
          <w:vertAlign w:val="superscript"/>
        </w:rPr>
        <w:t>12</w:t>
      </w:r>
      <w:bookmarkEnd w:id="267"/>
      <w:r>
        <w:fldChar w:fldCharType="begin"/>
      </w:r>
      <w:r>
        <w:instrText>HYPERLINK "https://biblehub.com/commentaries/genesis/1-26.htm" \h</w:instrText>
      </w:r>
      <w:r>
        <w:fldChar w:fldCharType="separate"/>
      </w:r>
      <w:r>
        <w:rPr>
          <w:color w:val="0563C1"/>
          <w:sz w:val="18"/>
          <w:u w:val="single"/>
        </w:rPr>
        <w:t>Bible Hub’s compilation of commentary on Genesis 1:26</w:t>
      </w:r>
      <w:r>
        <w:fldChar w:fldCharType="end"/>
      </w:r>
    </w:p>
    <w:p w14:paraId="2296BAD6" w14:textId="77777777" w:rsidR="009C7F52" w:rsidRDefault="00731002">
      <w:pPr>
        <w:spacing w:after="80" w:line="240" w:lineRule="auto"/>
      </w:pPr>
      <w:bookmarkStart w:id="268" w:name="cite_13"/>
      <w:r>
        <w:rPr>
          <w:sz w:val="16"/>
          <w:vertAlign w:val="superscript"/>
        </w:rPr>
        <w:t>13</w:t>
      </w:r>
      <w:bookmarkEnd w:id="268"/>
      <w:r>
        <w:fldChar w:fldCharType="begin"/>
      </w:r>
      <w:r>
        <w:instrText>HYPERLINK "https://biblehub.com/q/Why_plural_pronouns_in_Genesis_1_26.htm" \h</w:instrText>
      </w:r>
      <w:r>
        <w:fldChar w:fldCharType="separate"/>
      </w:r>
      <w:r>
        <w:rPr>
          <w:color w:val="0563C1"/>
          <w:sz w:val="18"/>
          <w:u w:val="single"/>
        </w:rPr>
        <w:t>Bible Hub, “Why does Genesis 1:26 use plural pronouns for God?”</w:t>
      </w:r>
      <w:r>
        <w:fldChar w:fldCharType="end"/>
      </w:r>
    </w:p>
    <w:p w14:paraId="0B8A7531" w14:textId="77777777" w:rsidR="009C7F52" w:rsidRDefault="00731002">
      <w:pPr>
        <w:spacing w:after="80" w:line="240" w:lineRule="auto"/>
      </w:pPr>
      <w:bookmarkStart w:id="269" w:name="cite_14"/>
      <w:r>
        <w:rPr>
          <w:sz w:val="16"/>
          <w:vertAlign w:val="superscript"/>
        </w:rPr>
        <w:t>14</w:t>
      </w:r>
      <w:bookmarkEnd w:id="269"/>
      <w:r>
        <w:fldChar w:fldCharType="begin"/>
      </w:r>
      <w:r>
        <w:instrText>HYPERLINK "https://gospelmount.org/verses/genesis-11-7/" \h</w:instrText>
      </w:r>
      <w:r>
        <w:fldChar w:fldCharType="separate"/>
      </w:r>
      <w:r>
        <w:rPr>
          <w:color w:val="0563C1"/>
          <w:sz w:val="18"/>
          <w:u w:val="single"/>
        </w:rPr>
        <w:t>Gospel Mount’s discussion of Genesis 11:7</w:t>
      </w:r>
      <w:r>
        <w:fldChar w:fldCharType="end"/>
      </w:r>
    </w:p>
    <w:p w14:paraId="59BE9D49" w14:textId="77777777" w:rsidR="009C7F52" w:rsidRDefault="00731002">
      <w:pPr>
        <w:spacing w:after="80" w:line="240" w:lineRule="auto"/>
      </w:pPr>
      <w:bookmarkStart w:id="270" w:name="cite_15"/>
      <w:r>
        <w:rPr>
          <w:sz w:val="16"/>
          <w:vertAlign w:val="superscript"/>
        </w:rPr>
        <w:t>15</w:t>
      </w:r>
      <w:bookmarkEnd w:id="270"/>
      <w:r>
        <w:fldChar w:fldCharType="begin"/>
      </w:r>
      <w:r>
        <w:instrText>HYPERLINK "https://www.bibleodyssey.org/articles/divine-council/" \h</w:instrText>
      </w:r>
      <w:r>
        <w:fldChar w:fldCharType="separate"/>
      </w:r>
      <w:r>
        <w:rPr>
          <w:color w:val="0563C1"/>
          <w:sz w:val="18"/>
          <w:u w:val="single"/>
        </w:rPr>
        <w:t>Bible Odyssey, “Divine Council”</w:t>
      </w:r>
      <w:r>
        <w:fldChar w:fldCharType="end"/>
      </w:r>
    </w:p>
    <w:p w14:paraId="00A4D41D" w14:textId="77777777" w:rsidR="009C7F52" w:rsidRDefault="00731002">
      <w:pPr>
        <w:spacing w:after="80" w:line="240" w:lineRule="auto"/>
      </w:pPr>
      <w:bookmarkStart w:id="271" w:name="cite_16"/>
      <w:r>
        <w:rPr>
          <w:sz w:val="16"/>
          <w:vertAlign w:val="superscript"/>
        </w:rPr>
        <w:t>16</w:t>
      </w:r>
      <w:bookmarkEnd w:id="271"/>
      <w:r>
        <w:fldChar w:fldCharType="begin"/>
      </w:r>
      <w:r>
        <w:instrText>HYPERLINK "https://www.tandfonline.com/doi/abs/10.1080/09018328.2026.2658516" \h</w:instrText>
      </w:r>
      <w:r>
        <w:fldChar w:fldCharType="separate"/>
      </w:r>
      <w:r>
        <w:rPr>
          <w:color w:val="0563C1"/>
          <w:sz w:val="18"/>
          <w:u w:val="single"/>
        </w:rPr>
        <w:t>Tandfonline, “In the Council of Gods: Ethical Accountability and Divine…”</w:t>
      </w:r>
      <w:r>
        <w:fldChar w:fldCharType="end"/>
      </w:r>
    </w:p>
    <w:p w14:paraId="4E6A00CD" w14:textId="77777777" w:rsidR="009C7F52" w:rsidRDefault="00731002">
      <w:pPr>
        <w:spacing w:after="80" w:line="240" w:lineRule="auto"/>
      </w:pPr>
      <w:bookmarkStart w:id="272" w:name="cite_17"/>
      <w:r>
        <w:rPr>
          <w:sz w:val="16"/>
          <w:vertAlign w:val="superscript"/>
        </w:rPr>
        <w:t>17</w:t>
      </w:r>
      <w:bookmarkEnd w:id="272"/>
      <w:r>
        <w:rPr>
          <w:sz w:val="18"/>
        </w:rPr>
        <w:t>The Thinking Cup, annotated translation of Psalm 82; Peter Goeman, “Is There a Divine Council in Psalm 82?”</w:t>
      </w:r>
      <w:hyperlink r:id="rId10">
        <w:r>
          <w:rPr>
            <w:color w:val="0563C1"/>
            <w:sz w:val="18"/>
            <w:u w:val="single"/>
          </w:rPr>
          <w:t>[Source 1]</w:t>
        </w:r>
      </w:hyperlink>
      <w:hyperlink r:id="rId11">
        <w:r>
          <w:rPr>
            <w:color w:val="0563C1"/>
            <w:sz w:val="18"/>
            <w:u w:val="single"/>
          </w:rPr>
          <w:t>[Source 2]</w:t>
        </w:r>
      </w:hyperlink>
    </w:p>
    <w:p w14:paraId="53AD8F04" w14:textId="77777777" w:rsidR="009C7F52" w:rsidRDefault="00731002">
      <w:pPr>
        <w:spacing w:after="80" w:line="240" w:lineRule="auto"/>
      </w:pPr>
      <w:bookmarkStart w:id="273" w:name="cite_18"/>
      <w:r>
        <w:rPr>
          <w:sz w:val="16"/>
          <w:vertAlign w:val="superscript"/>
        </w:rPr>
        <w:t>18</w:t>
      </w:r>
      <w:bookmarkEnd w:id="273"/>
      <w:r>
        <w:fldChar w:fldCharType="begin"/>
      </w:r>
      <w:r>
        <w:instrText>HYPERLINK "https://hgcbcc.com/2022/04/28/plurality-of-majesty/" \h</w:instrText>
      </w:r>
      <w:r>
        <w:fldChar w:fldCharType="separate"/>
      </w:r>
      <w:r>
        <w:rPr>
          <w:color w:val="0563C1"/>
          <w:sz w:val="18"/>
          <w:u w:val="single"/>
        </w:rPr>
        <w:t>Claus Westermann, Genesis 1–11: A Commentary, cited in “Plurality of Majesty,” Harvest Grace Community Bible Christian Church</w:t>
      </w:r>
      <w:r>
        <w:fldChar w:fldCharType="end"/>
      </w:r>
    </w:p>
    <w:p w14:paraId="445469E4" w14:textId="77777777" w:rsidR="009C7F52" w:rsidRDefault="00731002">
      <w:pPr>
        <w:spacing w:after="80" w:line="240" w:lineRule="auto"/>
      </w:pPr>
      <w:bookmarkStart w:id="274" w:name="cite_19"/>
      <w:r>
        <w:rPr>
          <w:sz w:val="16"/>
          <w:vertAlign w:val="superscript"/>
        </w:rPr>
        <w:t>19</w:t>
      </w:r>
      <w:bookmarkEnd w:id="274"/>
      <w:r>
        <w:fldChar w:fldCharType="begin"/>
      </w:r>
      <w:r>
        <w:instrText>HYPERLINK "https://hgcbcc.com/2022/04/28/plurality-of-majesty/" \h</w:instrText>
      </w:r>
      <w:r>
        <w:fldChar w:fldCharType="separate"/>
      </w:r>
      <w:r>
        <w:rPr>
          <w:color w:val="0563C1"/>
          <w:sz w:val="18"/>
          <w:u w:val="single"/>
        </w:rPr>
        <w:t>Gerhard Hasel, “The Meaning of ‘Let Us’ in Gn 1:26,” Andrews University Seminary Studies 13, cited in the same source</w:t>
      </w:r>
      <w:r>
        <w:fldChar w:fldCharType="end"/>
      </w:r>
    </w:p>
    <w:p w14:paraId="756F16B5" w14:textId="77777777" w:rsidR="009C7F52" w:rsidRDefault="00731002">
      <w:pPr>
        <w:spacing w:after="80" w:line="240" w:lineRule="auto"/>
      </w:pPr>
      <w:bookmarkStart w:id="275" w:name="cite_20"/>
      <w:r>
        <w:rPr>
          <w:sz w:val="16"/>
          <w:vertAlign w:val="superscript"/>
        </w:rPr>
        <w:t>20</w:t>
      </w:r>
      <w:bookmarkEnd w:id="275"/>
      <w:r>
        <w:fldChar w:fldCharType="begin"/>
      </w:r>
      <w:r>
        <w:instrText>HYPERLINK "https://www.gotquestions.org/names-of-God.html" \h</w:instrText>
      </w:r>
      <w:r>
        <w:fldChar w:fldCharType="separate"/>
      </w:r>
      <w:r>
        <w:rPr>
          <w:color w:val="0563C1"/>
          <w:sz w:val="18"/>
          <w:u w:val="single"/>
        </w:rPr>
        <w:t>Got Questions’ survey of the biblical names of God</w:t>
      </w:r>
      <w:r>
        <w:fldChar w:fldCharType="end"/>
      </w:r>
    </w:p>
    <w:p w14:paraId="41C71783" w14:textId="77777777" w:rsidR="009C7F52" w:rsidRDefault="00731002">
      <w:pPr>
        <w:spacing w:after="80" w:line="240" w:lineRule="auto"/>
      </w:pPr>
      <w:bookmarkStart w:id="276" w:name="cite_21"/>
      <w:r>
        <w:rPr>
          <w:sz w:val="16"/>
          <w:vertAlign w:val="superscript"/>
        </w:rPr>
        <w:t>21</w:t>
      </w:r>
      <w:bookmarkEnd w:id="276"/>
      <w:r>
        <w:fldChar w:fldCharType="begin"/>
      </w:r>
      <w:r>
        <w:instrText>HYPERLINK "https://hermeneutics.stackexchange.com/questions/32974/in-genesis-16-is-the-angel-that-comes-to-hagar-the-lord-in-angel-form-or-a-diffe" \h</w:instrText>
      </w:r>
      <w:r>
        <w:fldChar w:fldCharType="separate"/>
      </w:r>
      <w:r>
        <w:rPr>
          <w:color w:val="0563C1"/>
          <w:sz w:val="18"/>
          <w:u w:val="single"/>
        </w:rPr>
        <w:t>Hermeneutics Stack Exchange discussion of the term’s range</w:t>
      </w:r>
      <w:r>
        <w:fldChar w:fldCharType="end"/>
      </w:r>
    </w:p>
    <w:p w14:paraId="0DDDDCE0" w14:textId="77777777" w:rsidR="009C7F52" w:rsidRDefault="00731002">
      <w:pPr>
        <w:spacing w:after="80" w:line="240" w:lineRule="auto"/>
      </w:pPr>
      <w:bookmarkStart w:id="277" w:name="cite_22"/>
      <w:r>
        <w:rPr>
          <w:sz w:val="16"/>
          <w:vertAlign w:val="superscript"/>
        </w:rPr>
        <w:t>22</w:t>
      </w:r>
      <w:bookmarkEnd w:id="277"/>
      <w:r>
        <w:fldChar w:fldCharType="begin"/>
      </w:r>
      <w:r>
        <w:instrText>HYPERLINK "https://garrettham.com/angel-of-the-lord/" \h</w:instrText>
      </w:r>
      <w:r>
        <w:fldChar w:fldCharType="separate"/>
      </w:r>
      <w:r>
        <w:rPr>
          <w:color w:val="0563C1"/>
          <w:sz w:val="18"/>
          <w:u w:val="single"/>
        </w:rPr>
        <w:t>Garrett Ham, “Angel of the Lord in the Bible”</w:t>
      </w:r>
      <w:r>
        <w:fldChar w:fldCharType="end"/>
      </w:r>
    </w:p>
    <w:p w14:paraId="136F4084" w14:textId="77777777" w:rsidR="009C7F52" w:rsidRDefault="00731002">
      <w:pPr>
        <w:spacing w:after="80" w:line="240" w:lineRule="auto"/>
      </w:pPr>
      <w:bookmarkStart w:id="278" w:name="cite_23"/>
      <w:r>
        <w:rPr>
          <w:sz w:val="16"/>
          <w:vertAlign w:val="superscript"/>
        </w:rPr>
        <w:t>23</w:t>
      </w:r>
      <w:bookmarkEnd w:id="278"/>
      <w:r>
        <w:fldChar w:fldCharType="begin"/>
      </w:r>
      <w:r>
        <w:instrText>HYPERLINK "https://en.wikipedia.org/wiki/Angel_of_the_Lord" \h</w:instrText>
      </w:r>
      <w:r>
        <w:fldChar w:fldCharType="separate"/>
      </w:r>
      <w:r>
        <w:rPr>
          <w:color w:val="0563C1"/>
          <w:sz w:val="18"/>
          <w:u w:val="single"/>
        </w:rPr>
        <w:t>Wikipedia, “Angel of the Lord”</w:t>
      </w:r>
      <w:r>
        <w:fldChar w:fldCharType="end"/>
      </w:r>
    </w:p>
    <w:p w14:paraId="2E0AB1D7" w14:textId="77777777" w:rsidR="009C7F52" w:rsidRDefault="00731002">
      <w:pPr>
        <w:spacing w:after="80" w:line="240" w:lineRule="auto"/>
      </w:pPr>
      <w:bookmarkStart w:id="279" w:name="cite_24"/>
      <w:r>
        <w:rPr>
          <w:sz w:val="16"/>
          <w:vertAlign w:val="superscript"/>
        </w:rPr>
        <w:t>24</w:t>
      </w:r>
      <w:bookmarkEnd w:id="279"/>
      <w:r>
        <w:fldChar w:fldCharType="begin"/>
      </w:r>
      <w:r>
        <w:instrText>HYPERLINK "https://biblehub.com/q/Why_does_angel_visit_Hagar_in_Gen_16_7.htm" \h</w:instrText>
      </w:r>
      <w:r>
        <w:fldChar w:fldCharType="separate"/>
      </w:r>
      <w:r>
        <w:rPr>
          <w:color w:val="0563C1"/>
          <w:sz w:val="18"/>
          <w:u w:val="single"/>
        </w:rPr>
        <w:t>Bible Hub, “Why does the angel of the LORD appear to Hagar in Genesis 16:7?”</w:t>
      </w:r>
      <w:r>
        <w:fldChar w:fldCharType="end"/>
      </w:r>
    </w:p>
    <w:p w14:paraId="6B554D2F" w14:textId="77777777" w:rsidR="009C7F52" w:rsidRDefault="00731002">
      <w:pPr>
        <w:spacing w:after="80" w:line="240" w:lineRule="auto"/>
      </w:pPr>
      <w:bookmarkStart w:id="280" w:name="cite_25"/>
      <w:r>
        <w:rPr>
          <w:sz w:val="16"/>
          <w:vertAlign w:val="superscript"/>
        </w:rPr>
        <w:t>25</w:t>
      </w:r>
      <w:bookmarkEnd w:id="280"/>
      <w:r>
        <w:fldChar w:fldCharType="begin"/>
      </w:r>
      <w:r>
        <w:instrText>HYPERLINK "https://overviewbible.com/angel-of-the-lord/" \h</w:instrText>
      </w:r>
      <w:r>
        <w:fldChar w:fldCharType="separate"/>
      </w:r>
      <w:r>
        <w:rPr>
          <w:color w:val="0563C1"/>
          <w:sz w:val="18"/>
          <w:u w:val="single"/>
        </w:rPr>
        <w:t>OverviewBible, “Who Is the Angel of the Lord?”</w:t>
      </w:r>
      <w:r>
        <w:fldChar w:fldCharType="end"/>
      </w:r>
    </w:p>
    <w:p w14:paraId="427EFA3C" w14:textId="77777777" w:rsidR="009C7F52" w:rsidRDefault="00731002">
      <w:pPr>
        <w:spacing w:after="80" w:line="240" w:lineRule="auto"/>
      </w:pPr>
      <w:bookmarkStart w:id="281" w:name="cite_26"/>
      <w:r>
        <w:rPr>
          <w:sz w:val="16"/>
          <w:vertAlign w:val="superscript"/>
        </w:rPr>
        <w:t>26</w:t>
      </w:r>
      <w:bookmarkEnd w:id="281"/>
      <w:r>
        <w:fldChar w:fldCharType="begin"/>
      </w:r>
      <w:r>
        <w:instrText>HYPERLINK "https://biblicalstudies.org.uk/pdf/irish-biblical-studies/12-2_072.pdf" \h</w:instrText>
      </w:r>
      <w:r>
        <w:fldChar w:fldCharType="separate"/>
      </w:r>
      <w:r>
        <w:rPr>
          <w:color w:val="0563C1"/>
          <w:sz w:val="18"/>
          <w:u w:val="single"/>
        </w:rPr>
        <w:t>Irish Biblical Studies, on the Burning Bush narrative</w:t>
      </w:r>
      <w:r>
        <w:fldChar w:fldCharType="end"/>
      </w:r>
    </w:p>
    <w:p w14:paraId="1C52BADF" w14:textId="77777777" w:rsidR="009C7F52" w:rsidRDefault="00731002">
      <w:pPr>
        <w:spacing w:after="80" w:line="240" w:lineRule="auto"/>
      </w:pPr>
      <w:bookmarkStart w:id="282" w:name="cite_27"/>
      <w:r>
        <w:rPr>
          <w:sz w:val="16"/>
          <w:vertAlign w:val="superscript"/>
        </w:rPr>
        <w:t>27</w:t>
      </w:r>
      <w:bookmarkEnd w:id="282"/>
      <w:r>
        <w:fldChar w:fldCharType="begin"/>
      </w:r>
      <w:r>
        <w:instrText>HYPERLINK "https://www.kingcomments.com/en/bible-studies/Jdg/13" \h</w:instrText>
      </w:r>
      <w:r>
        <w:fldChar w:fldCharType="separate"/>
      </w:r>
      <w:r>
        <w:rPr>
          <w:color w:val="0563C1"/>
          <w:sz w:val="18"/>
          <w:u w:val="single"/>
        </w:rPr>
        <w:t>Kingcomments on Judges 13</w:t>
      </w:r>
      <w:r>
        <w:fldChar w:fldCharType="end"/>
      </w:r>
    </w:p>
    <w:p w14:paraId="2CD7C625" w14:textId="77777777" w:rsidR="009C7F52" w:rsidRDefault="00731002">
      <w:pPr>
        <w:spacing w:after="80" w:line="240" w:lineRule="auto"/>
      </w:pPr>
      <w:bookmarkStart w:id="283" w:name="cite_28"/>
      <w:r>
        <w:rPr>
          <w:sz w:val="16"/>
          <w:vertAlign w:val="superscript"/>
        </w:rPr>
        <w:t>28</w:t>
      </w:r>
      <w:bookmarkEnd w:id="283"/>
      <w:r>
        <w:fldChar w:fldCharType="begin"/>
      </w:r>
      <w:r>
        <w:instrText>HYPERLINK "https://www.biblegateway.com/passage/?search=Zechariah%203&amp;version=NIV" \h</w:instrText>
      </w:r>
      <w:r>
        <w:fldChar w:fldCharType="separate"/>
      </w:r>
      <w:r>
        <w:rPr>
          <w:color w:val="0563C1"/>
          <w:sz w:val="18"/>
          <w:u w:val="single"/>
        </w:rPr>
        <w:t>Bible Gateway’s full text of Zechariah 3</w:t>
      </w:r>
      <w:r>
        <w:fldChar w:fldCharType="end"/>
      </w:r>
    </w:p>
    <w:p w14:paraId="6CD937B4" w14:textId="77777777" w:rsidR="009C7F52" w:rsidRDefault="00731002">
      <w:pPr>
        <w:spacing w:after="80" w:line="240" w:lineRule="auto"/>
      </w:pPr>
      <w:bookmarkStart w:id="284" w:name="cite_29"/>
      <w:r>
        <w:rPr>
          <w:sz w:val="16"/>
          <w:vertAlign w:val="superscript"/>
        </w:rPr>
        <w:t>29</w:t>
      </w:r>
      <w:bookmarkEnd w:id="284"/>
      <w:r>
        <w:fldChar w:fldCharType="begin"/>
      </w:r>
      <w:r>
        <w:instrText>HYPERLINK "https://www.logos.com/grow/angel-of-the-lord/" \h</w:instrText>
      </w:r>
      <w:r>
        <w:fldChar w:fldCharType="separate"/>
      </w:r>
      <w:r>
        <w:rPr>
          <w:color w:val="0563C1"/>
          <w:sz w:val="18"/>
          <w:u w:val="single"/>
        </w:rPr>
        <w:t>Logos Bible Software’s study, “Who Is the Angel of the Lord and What Is the Name of Yahweh?”</w:t>
      </w:r>
      <w:r>
        <w:fldChar w:fldCharType="end"/>
      </w:r>
    </w:p>
    <w:p w14:paraId="643AF26B" w14:textId="77777777" w:rsidR="009C7F52" w:rsidRDefault="00731002">
      <w:pPr>
        <w:spacing w:after="80" w:line="240" w:lineRule="auto"/>
      </w:pPr>
      <w:bookmarkStart w:id="285" w:name="cite_30"/>
      <w:r>
        <w:rPr>
          <w:sz w:val="16"/>
          <w:vertAlign w:val="superscript"/>
        </w:rPr>
        <w:t>30</w:t>
      </w:r>
      <w:bookmarkEnd w:id="285"/>
      <w:r>
        <w:fldChar w:fldCharType="begin"/>
      </w:r>
      <w:r>
        <w:instrText>HYPERLINK "https://biblehub.com/q/Meaning_of_My_Name_is_in_him_in_Ex_23_21.htm" \h</w:instrText>
      </w:r>
      <w:r>
        <w:fldChar w:fldCharType="separate"/>
      </w:r>
      <w:r>
        <w:rPr>
          <w:color w:val="0563C1"/>
          <w:sz w:val="18"/>
          <w:u w:val="single"/>
        </w:rPr>
        <w:t>Bible Hub’s discussion, “What does Exodus 23:21 mean by ‘My Name is in him’?”</w:t>
      </w:r>
      <w:r>
        <w:fldChar w:fldCharType="end"/>
      </w:r>
    </w:p>
    <w:p w14:paraId="4472E0A4" w14:textId="77777777" w:rsidR="009C7F52" w:rsidRDefault="00731002">
      <w:pPr>
        <w:spacing w:after="80" w:line="240" w:lineRule="auto"/>
      </w:pPr>
      <w:bookmarkStart w:id="286" w:name="cite_31"/>
      <w:r>
        <w:rPr>
          <w:sz w:val="16"/>
          <w:vertAlign w:val="superscript"/>
        </w:rPr>
        <w:t>31</w:t>
      </w:r>
      <w:bookmarkEnd w:id="286"/>
      <w:r>
        <w:fldChar w:fldCharType="begin"/>
      </w:r>
      <w:r>
        <w:instrText>HYPERLINK "https://www.sebts.edu/wp-content/uploads/2023/06/STR_1_1_Howell.pdf" \h</w:instrText>
      </w:r>
      <w:r>
        <w:fldChar w:fldCharType="separate"/>
      </w:r>
      <w:r>
        <w:rPr>
          <w:color w:val="0563C1"/>
          <w:sz w:val="18"/>
          <w:u w:val="single"/>
        </w:rPr>
        <w:t>scholarly treatment of the passage’s history of interpretation, “Interpreting an Anthropomorphic Metaphor in Genesis 32,” Southeastern Theological Review</w:t>
      </w:r>
      <w:r>
        <w:fldChar w:fldCharType="end"/>
      </w:r>
    </w:p>
    <w:p w14:paraId="0620D164" w14:textId="77777777" w:rsidR="009C7F52" w:rsidRDefault="00731002">
      <w:pPr>
        <w:spacing w:after="80" w:line="240" w:lineRule="auto"/>
      </w:pPr>
      <w:bookmarkStart w:id="287" w:name="cite_32"/>
      <w:r>
        <w:rPr>
          <w:sz w:val="16"/>
          <w:vertAlign w:val="superscript"/>
        </w:rPr>
        <w:t>32</w:t>
      </w:r>
      <w:bookmarkEnd w:id="287"/>
      <w:r>
        <w:fldChar w:fldCharType="begin"/>
      </w:r>
      <w:r>
        <w:instrText>HYPERLINK "https://orthodoxchristiantheology.com/2015/03/25/christophany-is-jesus-the-angel-of-the-lord/" \h</w:instrText>
      </w:r>
      <w:r>
        <w:fldChar w:fldCharType="separate"/>
      </w:r>
      <w:r>
        <w:rPr>
          <w:color w:val="0563C1"/>
          <w:sz w:val="18"/>
          <w:u w:val="single"/>
        </w:rPr>
        <w:t>survey of the debate over Christophany interpretations of the angel of the LORD</w:t>
      </w:r>
      <w:r>
        <w:fldChar w:fldCharType="end"/>
      </w:r>
    </w:p>
    <w:p w14:paraId="340DACB1" w14:textId="77777777" w:rsidR="009C7F52" w:rsidRDefault="00731002">
      <w:pPr>
        <w:spacing w:after="80" w:line="240" w:lineRule="auto"/>
      </w:pPr>
      <w:bookmarkStart w:id="288" w:name="cite_33"/>
      <w:r>
        <w:rPr>
          <w:sz w:val="16"/>
          <w:vertAlign w:val="superscript"/>
        </w:rPr>
        <w:t>33</w:t>
      </w:r>
      <w:bookmarkEnd w:id="288"/>
      <w:r>
        <w:rPr>
          <w:sz w:val="18"/>
        </w:rPr>
        <w:t>Roy’s Reflections on Genesis 22 and the pre-incarnate Christ; Precept Austin’s survey concludes that “most conservative, evangelical sources interpret the Angel of the LORD as the second member of the Trinity”</w:t>
      </w:r>
      <w:hyperlink r:id="rId12">
        <w:r>
          <w:rPr>
            <w:color w:val="0563C1"/>
            <w:sz w:val="18"/>
            <w:u w:val="single"/>
          </w:rPr>
          <w:t>[Source 1]</w:t>
        </w:r>
      </w:hyperlink>
      <w:hyperlink r:id="rId13">
        <w:r>
          <w:rPr>
            <w:color w:val="0563C1"/>
            <w:sz w:val="18"/>
            <w:u w:val="single"/>
          </w:rPr>
          <w:t>[Source 2]</w:t>
        </w:r>
      </w:hyperlink>
    </w:p>
    <w:p w14:paraId="0BA6C118" w14:textId="77777777" w:rsidR="009C7F52" w:rsidRDefault="00731002">
      <w:pPr>
        <w:spacing w:after="80" w:line="240" w:lineRule="auto"/>
      </w:pPr>
      <w:bookmarkStart w:id="289" w:name="cite_34"/>
      <w:r>
        <w:rPr>
          <w:sz w:val="16"/>
          <w:vertAlign w:val="superscript"/>
        </w:rPr>
        <w:t>34</w:t>
      </w:r>
      <w:bookmarkEnd w:id="289"/>
      <w:r>
        <w:fldChar w:fldCharType="begin"/>
      </w:r>
      <w:r>
        <w:instrText>HYPERLINK "https://the-scriptures.co.uk/studies/topical-bible-studies/bible-studies-by-mike-glover/studies-from-both-testaments/angels/the-angel-of-the-lord/" \h</w:instrText>
      </w:r>
      <w:r>
        <w:fldChar w:fldCharType="separate"/>
      </w:r>
      <w:r>
        <w:rPr>
          <w:color w:val="0563C1"/>
          <w:sz w:val="18"/>
          <w:u w:val="single"/>
        </w:rPr>
        <w:t>The Scriptures UK, survey of views on the angel of the LORD</w:t>
      </w:r>
      <w:r>
        <w:fldChar w:fldCharType="end"/>
      </w:r>
    </w:p>
    <w:p w14:paraId="174A7170" w14:textId="77777777" w:rsidR="009C7F52" w:rsidRDefault="00731002">
      <w:pPr>
        <w:spacing w:after="80" w:line="240" w:lineRule="auto"/>
      </w:pPr>
      <w:bookmarkStart w:id="290" w:name="cite_35"/>
      <w:r>
        <w:rPr>
          <w:sz w:val="16"/>
          <w:vertAlign w:val="superscript"/>
        </w:rPr>
        <w:t>35</w:t>
      </w:r>
      <w:bookmarkEnd w:id="290"/>
      <w:r>
        <w:fldChar w:fldCharType="begin"/>
      </w:r>
      <w:r>
        <w:instrText>HYPERLINK "https://cdn.centrowhite.org.br/home/uploads/2022/11/AND002.pdf" \h</w:instrText>
      </w:r>
      <w:r>
        <w:fldChar w:fldCharType="separate"/>
      </w:r>
      <w:r>
        <w:rPr>
          <w:color w:val="0563C1"/>
          <w:sz w:val="18"/>
          <w:u w:val="single"/>
        </w:rPr>
        <w:t>Andrews University dissertation on Daniel 7’s “Son of Man”</w:t>
      </w:r>
      <w:r>
        <w:fldChar w:fldCharType="end"/>
      </w:r>
    </w:p>
    <w:p w14:paraId="1DEEA69D" w14:textId="77777777" w:rsidR="009C7F52" w:rsidRDefault="00731002">
      <w:pPr>
        <w:spacing w:after="80" w:line="240" w:lineRule="auto"/>
      </w:pPr>
      <w:bookmarkStart w:id="291" w:name="cite_36"/>
      <w:r>
        <w:rPr>
          <w:sz w:val="16"/>
          <w:vertAlign w:val="superscript"/>
        </w:rPr>
        <w:t>36</w:t>
      </w:r>
      <w:bookmarkEnd w:id="291"/>
      <w:r>
        <w:fldChar w:fldCharType="begin"/>
      </w:r>
      <w:r>
        <w:instrText>HYPERLINK "https://etsjets.org/wp-content/uploads/JETS_65.2_307-17_Barnes.pdf" \h</w:instrText>
      </w:r>
      <w:r>
        <w:fldChar w:fldCharType="separate"/>
      </w:r>
      <w:r>
        <w:rPr>
          <w:color w:val="0563C1"/>
          <w:sz w:val="18"/>
          <w:u w:val="single"/>
        </w:rPr>
        <w:t>Journal of the Evangelical Theological Society, exploration of Daniel 7:1-14</w:t>
      </w:r>
      <w:r>
        <w:fldChar w:fldCharType="end"/>
      </w:r>
    </w:p>
    <w:p w14:paraId="677A8F1A" w14:textId="77777777" w:rsidR="009C7F52" w:rsidRDefault="00731002">
      <w:pPr>
        <w:spacing w:after="80" w:line="240" w:lineRule="auto"/>
      </w:pPr>
      <w:bookmarkStart w:id="292" w:name="cite_37"/>
      <w:r>
        <w:rPr>
          <w:sz w:val="16"/>
          <w:vertAlign w:val="superscript"/>
        </w:rPr>
        <w:t>37</w:t>
      </w:r>
      <w:bookmarkEnd w:id="292"/>
      <w:r>
        <w:fldChar w:fldCharType="begin"/>
      </w:r>
      <w:r>
        <w:instrText>HYPERLINK "https://www.gotquestions.org/Lord-said-to-my-Lord.html" \h</w:instrText>
      </w:r>
      <w:r>
        <w:fldChar w:fldCharType="separate"/>
      </w:r>
      <w:r>
        <w:rPr>
          <w:color w:val="0563C1"/>
          <w:sz w:val="18"/>
          <w:u w:val="single"/>
        </w:rPr>
        <w:t>GotQuestions.org on Psalm 110:1</w:t>
      </w:r>
      <w:r>
        <w:fldChar w:fldCharType="end"/>
      </w:r>
    </w:p>
    <w:p w14:paraId="63D0CFE1" w14:textId="77777777" w:rsidR="009C7F52" w:rsidRDefault="00731002">
      <w:pPr>
        <w:spacing w:after="80" w:line="240" w:lineRule="auto"/>
      </w:pPr>
      <w:bookmarkStart w:id="293" w:name="cite_38"/>
      <w:r>
        <w:rPr>
          <w:sz w:val="16"/>
          <w:vertAlign w:val="superscript"/>
        </w:rPr>
        <w:t>38</w:t>
      </w:r>
      <w:bookmarkEnd w:id="293"/>
      <w:r>
        <w:rPr>
          <w:sz w:val="18"/>
        </w:rPr>
        <w:t>Segal’s full text as archived by the Internet Archive; Brill/Google Books summary of the study</w:t>
      </w:r>
      <w:hyperlink r:id="rId14">
        <w:r>
          <w:rPr>
            <w:color w:val="0563C1"/>
            <w:sz w:val="18"/>
            <w:u w:val="single"/>
          </w:rPr>
          <w:t>[Source 1]</w:t>
        </w:r>
      </w:hyperlink>
      <w:hyperlink r:id="rId15">
        <w:r>
          <w:rPr>
            <w:color w:val="0563C1"/>
            <w:sz w:val="18"/>
            <w:u w:val="single"/>
          </w:rPr>
          <w:t>[Source 2]</w:t>
        </w:r>
      </w:hyperlink>
    </w:p>
    <w:p w14:paraId="5CC3D91B" w14:textId="77777777" w:rsidR="009C7F52" w:rsidRDefault="00731002">
      <w:pPr>
        <w:spacing w:after="80" w:line="240" w:lineRule="auto"/>
      </w:pPr>
      <w:bookmarkStart w:id="294" w:name="cite_39"/>
      <w:r>
        <w:rPr>
          <w:sz w:val="16"/>
          <w:vertAlign w:val="superscript"/>
        </w:rPr>
        <w:t>39</w:t>
      </w:r>
      <w:bookmarkEnd w:id="294"/>
      <w:r>
        <w:rPr>
          <w:sz w:val="18"/>
        </w:rPr>
        <w:t>Goodreads summary noting the rabbinic heretics at the center of Segal’s study; Amazon’s publisher description of the volume, calling it “his now classic” study</w:t>
      </w:r>
      <w:hyperlink r:id="rId16">
        <w:r>
          <w:rPr>
            <w:color w:val="0563C1"/>
            <w:sz w:val="18"/>
            <w:u w:val="single"/>
          </w:rPr>
          <w:t>[Source 1]</w:t>
        </w:r>
      </w:hyperlink>
      <w:hyperlink r:id="rId17">
        <w:r>
          <w:rPr>
            <w:color w:val="0563C1"/>
            <w:sz w:val="18"/>
            <w:u w:val="single"/>
          </w:rPr>
          <w:t>[Source 2]</w:t>
        </w:r>
      </w:hyperlink>
    </w:p>
    <w:p w14:paraId="606CD000" w14:textId="77777777" w:rsidR="009C7F52" w:rsidRDefault="00731002">
      <w:pPr>
        <w:spacing w:after="80" w:line="240" w:lineRule="auto"/>
      </w:pPr>
      <w:bookmarkStart w:id="295" w:name="cite_40"/>
      <w:r>
        <w:rPr>
          <w:sz w:val="16"/>
          <w:vertAlign w:val="superscript"/>
        </w:rPr>
        <w:t>40</w:t>
      </w:r>
      <w:bookmarkEnd w:id="295"/>
      <w:r>
        <w:rPr>
          <w:sz w:val="18"/>
        </w:rPr>
        <w:t>Larry Hurtado, One God, One Lord: Early Christian Devotion and Ancient Jewish Monotheism, full text; Hurtado’s own summary of the book’s argument</w:t>
      </w:r>
      <w:hyperlink r:id="rId18">
        <w:r>
          <w:rPr>
            <w:color w:val="0563C1"/>
            <w:sz w:val="18"/>
            <w:u w:val="single"/>
          </w:rPr>
          <w:t>[Source 1]</w:t>
        </w:r>
      </w:hyperlink>
      <w:hyperlink r:id="rId19">
        <w:r>
          <w:rPr>
            <w:color w:val="0563C1"/>
            <w:sz w:val="18"/>
            <w:u w:val="single"/>
          </w:rPr>
          <w:t>[Source 2]</w:t>
        </w:r>
      </w:hyperlink>
    </w:p>
    <w:p w14:paraId="49747F1E" w14:textId="77777777" w:rsidR="009C7F52" w:rsidRDefault="00731002">
      <w:pPr>
        <w:spacing w:after="80" w:line="240" w:lineRule="auto"/>
      </w:pPr>
      <w:bookmarkStart w:id="296" w:name="cite_41"/>
      <w:r>
        <w:rPr>
          <w:sz w:val="16"/>
          <w:vertAlign w:val="superscript"/>
        </w:rPr>
        <w:t>41</w:t>
      </w:r>
      <w:bookmarkEnd w:id="296"/>
      <w:r>
        <w:fldChar w:fldCharType="begin"/>
      </w:r>
      <w:r>
        <w:instrText>HYPERLINK "https://larryhurtado.wordpress.com/wp-content/uploads/2018/05/monotheism-in-nt-lausanne.pdf" \h</w:instrText>
      </w:r>
      <w:r>
        <w:fldChar w:fldCharType="separate"/>
      </w:r>
      <w:r>
        <w:rPr>
          <w:color w:val="0563C1"/>
          <w:sz w:val="18"/>
          <w:u w:val="single"/>
        </w:rPr>
        <w:t>Hurtado, Lausanne lecture text on monotheism in the New Testament</w:t>
      </w:r>
      <w:r>
        <w:fldChar w:fldCharType="end"/>
      </w:r>
    </w:p>
    <w:p w14:paraId="153D8A0D" w14:textId="77777777" w:rsidR="009C7F52" w:rsidRDefault="00731002">
      <w:pPr>
        <w:spacing w:after="80" w:line="240" w:lineRule="auto"/>
      </w:pPr>
      <w:bookmarkStart w:id="297" w:name="cite_42"/>
      <w:r>
        <w:rPr>
          <w:sz w:val="16"/>
          <w:vertAlign w:val="superscript"/>
        </w:rPr>
        <w:t>42</w:t>
      </w:r>
      <w:bookmarkEnd w:id="297"/>
      <w:r>
        <w:fldChar w:fldCharType="begin"/>
      </w:r>
      <w:r>
        <w:instrText>HYPERLINK "https://www.historicalchristian.faith/doctrine/doctrines/enoch/3-enoch.html" \h</w:instrText>
      </w:r>
      <w:r>
        <w:fldChar w:fldCharType="separate"/>
      </w:r>
      <w:r>
        <w:rPr>
          <w:color w:val="0563C1"/>
          <w:sz w:val="18"/>
          <w:u w:val="single"/>
        </w:rPr>
        <w:t>Historical Christian Faith’s survey of 3 Enoch’s traditions about Enoch-Metatron</w:t>
      </w:r>
      <w:r>
        <w:fldChar w:fldCharType="end"/>
      </w:r>
    </w:p>
    <w:p w14:paraId="74E5DAA1" w14:textId="77777777" w:rsidR="009C7F52" w:rsidRDefault="00731002">
      <w:pPr>
        <w:spacing w:after="80" w:line="240" w:lineRule="auto"/>
      </w:pPr>
      <w:bookmarkStart w:id="298" w:name="cite_43"/>
      <w:r>
        <w:rPr>
          <w:sz w:val="16"/>
          <w:vertAlign w:val="superscript"/>
        </w:rPr>
        <w:t>43</w:t>
      </w:r>
      <w:bookmarkEnd w:id="298"/>
      <w:r>
        <w:fldChar w:fldCharType="begin"/>
      </w:r>
      <w:r>
        <w:instrText>HYPERLINK "https://www.marquette.edu/maqom/metatron99.html" \h</w:instrText>
      </w:r>
      <w:r>
        <w:fldChar w:fldCharType="separate"/>
      </w:r>
      <w:r>
        <w:rPr>
          <w:color w:val="0563C1"/>
          <w:sz w:val="18"/>
          <w:u w:val="single"/>
        </w:rPr>
        <w:t>Marquette University’s academic study, “Metatron as the Mediator of the Divine Name”</w:t>
      </w:r>
      <w:r>
        <w:fldChar w:fldCharType="end"/>
      </w:r>
    </w:p>
    <w:p w14:paraId="31013E63" w14:textId="77777777" w:rsidR="009C7F52" w:rsidRDefault="00731002">
      <w:pPr>
        <w:spacing w:after="80" w:line="240" w:lineRule="auto"/>
      </w:pPr>
      <w:bookmarkStart w:id="299" w:name="cite_44"/>
      <w:r>
        <w:rPr>
          <w:sz w:val="16"/>
          <w:vertAlign w:val="superscript"/>
        </w:rPr>
        <w:t>44</w:t>
      </w:r>
      <w:bookmarkEnd w:id="299"/>
      <w:r>
        <w:rPr>
          <w:sz w:val="18"/>
        </w:rPr>
        <w:t>Stanford Encyclopedia of Philosophy’s entry on Philo of Alexandria and his Logos doctrine; Internet Encyclopedia of Philosophy on Philo’s treatment of the Logos as the utterance of God</w:t>
      </w:r>
      <w:hyperlink r:id="rId20">
        <w:r>
          <w:rPr>
            <w:color w:val="0563C1"/>
            <w:sz w:val="18"/>
            <w:u w:val="single"/>
          </w:rPr>
          <w:t>[Source 1]</w:t>
        </w:r>
      </w:hyperlink>
      <w:hyperlink r:id="rId21">
        <w:r>
          <w:rPr>
            <w:color w:val="0563C1"/>
            <w:sz w:val="18"/>
            <w:u w:val="single"/>
          </w:rPr>
          <w:t>[Source 2]</w:t>
        </w:r>
      </w:hyperlink>
    </w:p>
    <w:p w14:paraId="17C32506" w14:textId="77777777" w:rsidR="009C7F52" w:rsidRDefault="00731002">
      <w:pPr>
        <w:spacing w:after="80" w:line="240" w:lineRule="auto"/>
      </w:pPr>
      <w:bookmarkStart w:id="300" w:name="cite_45"/>
      <w:r>
        <w:rPr>
          <w:sz w:val="16"/>
          <w:vertAlign w:val="superscript"/>
        </w:rPr>
        <w:t>45</w:t>
      </w:r>
      <w:bookmarkEnd w:id="300"/>
      <w:r>
        <w:fldChar w:fldCharType="begin"/>
      </w:r>
      <w:r>
        <w:instrText>HYPERLINK "https://www.marquette.edu/maqom/camaldoli.html" \h</w:instrText>
      </w:r>
      <w:r>
        <w:fldChar w:fldCharType="separate"/>
      </w:r>
      <w:r>
        <w:rPr>
          <w:color w:val="0563C1"/>
          <w:sz w:val="18"/>
          <w:u w:val="single"/>
        </w:rPr>
        <w:t>Andrei Orlov’s scholarship on Enoch-Metatron traditions, Marquette University</w:t>
      </w:r>
      <w:r>
        <w:fldChar w:fldCharType="end"/>
      </w:r>
    </w:p>
    <w:p w14:paraId="34700E7A" w14:textId="77777777" w:rsidR="009C7F52" w:rsidRDefault="00731002">
      <w:pPr>
        <w:spacing w:after="80" w:line="240" w:lineRule="auto"/>
      </w:pPr>
      <w:bookmarkStart w:id="301" w:name="cite_46"/>
      <w:r>
        <w:rPr>
          <w:sz w:val="16"/>
          <w:vertAlign w:val="superscript"/>
        </w:rPr>
        <w:t>46</w:t>
      </w:r>
      <w:bookmarkEnd w:id="301"/>
      <w:r>
        <w:fldChar w:fldCharType="begin"/>
      </w:r>
      <w:r>
        <w:instrText>HYPERLINK "https://digitalcommons.andrews.edu/cgi/viewcontent.cgi?article=1180&amp;context=jats" \h</w:instrText>
      </w:r>
      <w:r>
        <w:fldChar w:fldCharType="separate"/>
      </w:r>
      <w:r>
        <w:rPr>
          <w:color w:val="0563C1"/>
          <w:sz w:val="18"/>
          <w:u w:val="single"/>
        </w:rPr>
        <w:t>Andrews University Seminary Studies, “Proverbs 8 and the Place of Christ in the Trinity,” surveying three major lines of interpretation</w:t>
      </w:r>
      <w:r>
        <w:fldChar w:fldCharType="end"/>
      </w:r>
    </w:p>
    <w:p w14:paraId="49E83A1B" w14:textId="77777777" w:rsidR="009C7F52" w:rsidRDefault="00731002">
      <w:pPr>
        <w:spacing w:after="80" w:line="240" w:lineRule="auto"/>
      </w:pPr>
      <w:bookmarkStart w:id="302" w:name="cite_47"/>
      <w:r>
        <w:rPr>
          <w:sz w:val="16"/>
          <w:vertAlign w:val="superscript"/>
        </w:rPr>
        <w:t>47</w:t>
      </w:r>
      <w:bookmarkEnd w:id="302"/>
      <w:r>
        <w:fldChar w:fldCharType="begin"/>
      </w:r>
      <w:r>
        <w:instrText>HYPERLINK "https://www.academia.edu/48263857/My_Fair_Lady_An_Analysis_and_Exposition_of_Lady_Wisdom_in_Proverbs_8_22_31" \h</w:instrText>
      </w:r>
      <w:r>
        <w:fldChar w:fldCharType="separate"/>
      </w:r>
      <w:r>
        <w:rPr>
          <w:color w:val="0563C1"/>
          <w:sz w:val="18"/>
          <w:u w:val="single"/>
        </w:rPr>
        <w:t>Academia.edu, “My Fair Lady: An Analysis and Exposition of Lady Wisdom in Proverbs 8:22-31”</w:t>
      </w:r>
      <w:r>
        <w:fldChar w:fldCharType="end"/>
      </w:r>
    </w:p>
    <w:p w14:paraId="6D0A0B34" w14:textId="77777777" w:rsidR="009C7F52" w:rsidRDefault="00731002">
      <w:pPr>
        <w:spacing w:after="80" w:line="240" w:lineRule="auto"/>
      </w:pPr>
      <w:bookmarkStart w:id="303" w:name="cite_48"/>
      <w:r>
        <w:rPr>
          <w:sz w:val="16"/>
          <w:vertAlign w:val="superscript"/>
        </w:rPr>
        <w:t>48</w:t>
      </w:r>
      <w:bookmarkEnd w:id="303"/>
      <w:r>
        <w:fldChar w:fldCharType="begin"/>
      </w:r>
      <w:r>
        <w:instrText>HYPERLINK "https://christadelphianbooks.org/agora/comm/20_prov/prov09.html" \h</w:instrText>
      </w:r>
      <w:r>
        <w:fldChar w:fldCharType="separate"/>
      </w:r>
      <w:r>
        <w:rPr>
          <w:color w:val="0563C1"/>
          <w:sz w:val="18"/>
          <w:u w:val="single"/>
        </w:rPr>
        <w:t>Christadelphian Bible Commentary on Proverbs 8</w:t>
      </w:r>
      <w:r>
        <w:fldChar w:fldCharType="end"/>
      </w:r>
    </w:p>
    <w:p w14:paraId="355CAB39" w14:textId="77777777" w:rsidR="009C7F52" w:rsidRDefault="00731002">
      <w:pPr>
        <w:spacing w:after="80" w:line="240" w:lineRule="auto"/>
      </w:pPr>
      <w:bookmarkStart w:id="304" w:name="cite_49"/>
      <w:r>
        <w:rPr>
          <w:sz w:val="16"/>
          <w:vertAlign w:val="superscript"/>
        </w:rPr>
        <w:t>49</w:t>
      </w:r>
      <w:bookmarkEnd w:id="304"/>
      <w:r>
        <w:fldChar w:fldCharType="begin"/>
      </w:r>
      <w:r>
        <w:instrText>HYPERLINK "https://biblehub.com/apocrypha/wisdom_of_solomon/7-25.htm" \h</w:instrText>
      </w:r>
      <w:r>
        <w:fldChar w:fldCharType="separate"/>
      </w:r>
      <w:r>
        <w:rPr>
          <w:color w:val="0563C1"/>
          <w:sz w:val="18"/>
          <w:u w:val="single"/>
        </w:rPr>
        <w:t>Bible Hub’s text of Wisdom of Solomon 7:25</w:t>
      </w:r>
      <w:r>
        <w:fldChar w:fldCharType="end"/>
      </w:r>
    </w:p>
    <w:p w14:paraId="3F2181C0" w14:textId="77777777" w:rsidR="009C7F52" w:rsidRDefault="00731002">
      <w:pPr>
        <w:spacing w:after="80" w:line="240" w:lineRule="auto"/>
      </w:pPr>
      <w:bookmarkStart w:id="305" w:name="cite_50"/>
      <w:r>
        <w:rPr>
          <w:sz w:val="16"/>
          <w:vertAlign w:val="superscript"/>
        </w:rPr>
        <w:t>50</w:t>
      </w:r>
      <w:bookmarkEnd w:id="305"/>
      <w:r>
        <w:fldChar w:fldCharType="begin"/>
      </w:r>
      <w:r>
        <w:instrText>HYPERLINK "https://www.britannica.com/topic/Wisdom-of-Solomon" \h</w:instrText>
      </w:r>
      <w:r>
        <w:fldChar w:fldCharType="separate"/>
      </w:r>
      <w:r>
        <w:rPr>
          <w:color w:val="0563C1"/>
          <w:sz w:val="18"/>
          <w:u w:val="single"/>
        </w:rPr>
        <w:t>Encyclopaedia Britannica’s entry on the Wisdom of Solomon</w:t>
      </w:r>
      <w:r>
        <w:fldChar w:fldCharType="end"/>
      </w:r>
    </w:p>
    <w:p w14:paraId="037B66A4" w14:textId="77777777" w:rsidR="009C7F52" w:rsidRDefault="00731002">
      <w:pPr>
        <w:spacing w:after="80" w:line="240" w:lineRule="auto"/>
      </w:pPr>
      <w:bookmarkStart w:id="306" w:name="cite_51"/>
      <w:r>
        <w:rPr>
          <w:sz w:val="16"/>
          <w:vertAlign w:val="superscript"/>
        </w:rPr>
        <w:t>51</w:t>
      </w:r>
      <w:bookmarkEnd w:id="306"/>
      <w:r>
        <w:fldChar w:fldCharType="begin"/>
      </w:r>
      <w:r>
        <w:instrText>HYPERLINK "https://biblehub.com/q/Isaiah_48_16_and_the_Trinity_link.htm" \h</w:instrText>
      </w:r>
      <w:r>
        <w:fldChar w:fldCharType="separate"/>
      </w:r>
      <w:r>
        <w:rPr>
          <w:color w:val="0563C1"/>
          <w:sz w:val="18"/>
          <w:u w:val="single"/>
        </w:rPr>
        <w:t>Bible Hub’s exegetical discussion, “How does Isaiah 48:16 support the concept of the Trinity?”</w:t>
      </w:r>
      <w:r>
        <w:fldChar w:fldCharType="end"/>
      </w:r>
    </w:p>
    <w:p w14:paraId="301D446C" w14:textId="77777777" w:rsidR="009C7F52" w:rsidRDefault="00731002">
      <w:pPr>
        <w:spacing w:after="80" w:line="240" w:lineRule="auto"/>
      </w:pPr>
      <w:bookmarkStart w:id="307" w:name="cite_52"/>
      <w:r>
        <w:rPr>
          <w:sz w:val="16"/>
          <w:vertAlign w:val="superscript"/>
        </w:rPr>
        <w:t>52</w:t>
      </w:r>
      <w:bookmarkEnd w:id="307"/>
      <w:r>
        <w:fldChar w:fldCharType="begin"/>
      </w:r>
      <w:r>
        <w:instrText>HYPERLINK "https://gospelmount.org/verses/genesis-1-2/study/" \h</w:instrText>
      </w:r>
      <w:r>
        <w:fldChar w:fldCharType="separate"/>
      </w:r>
      <w:r>
        <w:rPr>
          <w:color w:val="0563C1"/>
          <w:sz w:val="18"/>
          <w:u w:val="single"/>
        </w:rPr>
        <w:t>commentary noting the ornithological background of the term, Gospel Mount on Genesis 1:2</w:t>
      </w:r>
      <w:r>
        <w:fldChar w:fldCharType="end"/>
      </w:r>
    </w:p>
    <w:p w14:paraId="6DD6A877" w14:textId="77777777" w:rsidR="009C7F52" w:rsidRDefault="00731002">
      <w:pPr>
        <w:spacing w:after="80" w:line="240" w:lineRule="auto"/>
      </w:pPr>
      <w:bookmarkStart w:id="308" w:name="cite_53"/>
      <w:r>
        <w:rPr>
          <w:sz w:val="16"/>
          <w:vertAlign w:val="superscript"/>
        </w:rPr>
        <w:t>53</w:t>
      </w:r>
      <w:bookmarkEnd w:id="308"/>
      <w:r>
        <w:fldChar w:fldCharType="begin"/>
      </w:r>
      <w:r>
        <w:instrText>HYPERLINK "https://www.desiringgod.org/articles/in-the-beginning-was-the-spirit" \h</w:instrText>
      </w:r>
      <w:r>
        <w:fldChar w:fldCharType="separate"/>
      </w:r>
      <w:r>
        <w:rPr>
          <w:color w:val="0563C1"/>
          <w:sz w:val="18"/>
          <w:u w:val="single"/>
        </w:rPr>
        <w:t>Desiring God, “In the Beginning Was the Spirit: The Third Person in Genesis 1”</w:t>
      </w:r>
      <w:r>
        <w:fldChar w:fldCharType="end"/>
      </w:r>
    </w:p>
    <w:p w14:paraId="5F09D723" w14:textId="77777777" w:rsidR="009C7F52" w:rsidRDefault="00731002">
      <w:pPr>
        <w:spacing w:after="80" w:line="240" w:lineRule="auto"/>
      </w:pPr>
      <w:bookmarkStart w:id="309" w:name="cite_54"/>
      <w:r>
        <w:rPr>
          <w:sz w:val="16"/>
          <w:vertAlign w:val="superscript"/>
        </w:rPr>
        <w:t>54</w:t>
      </w:r>
      <w:bookmarkEnd w:id="309"/>
      <w:r>
        <w:fldChar w:fldCharType="begin"/>
      </w:r>
      <w:r>
        <w:instrText>HYPERLINK "https://www.jewishencyclopedia.com/articles/10618-memra" \h</w:instrText>
      </w:r>
      <w:r>
        <w:fldChar w:fldCharType="separate"/>
      </w:r>
      <w:r>
        <w:rPr>
          <w:color w:val="0563C1"/>
          <w:sz w:val="18"/>
          <w:u w:val="single"/>
        </w:rPr>
        <w:t>Jewish Encyclopedia, “Memra”</w:t>
      </w:r>
      <w:r>
        <w:fldChar w:fldCharType="end"/>
      </w:r>
    </w:p>
    <w:p w14:paraId="178F47F0" w14:textId="77777777" w:rsidR="009C7F52" w:rsidRDefault="00731002">
      <w:pPr>
        <w:spacing w:after="80" w:line="240" w:lineRule="auto"/>
      </w:pPr>
      <w:bookmarkStart w:id="310" w:name="cite_55"/>
      <w:r>
        <w:rPr>
          <w:sz w:val="16"/>
          <w:vertAlign w:val="superscript"/>
        </w:rPr>
        <w:t>55</w:t>
      </w:r>
      <w:bookmarkEnd w:id="310"/>
      <w:r>
        <w:fldChar w:fldCharType="begin"/>
      </w:r>
      <w:r>
        <w:instrText>HYPERLINK "https://www.jewishencyclopedia.com/articles/10618-memra" \h</w:instrText>
      </w:r>
      <w:r>
        <w:fldChar w:fldCharType="separate"/>
      </w:r>
      <w:r>
        <w:rPr>
          <w:color w:val="0563C1"/>
          <w:sz w:val="18"/>
          <w:u w:val="single"/>
        </w:rPr>
        <w:t>overview of Philo’s Logos concept and its Jewish intellectual context</w:t>
      </w:r>
      <w:r>
        <w:fldChar w:fldCharType="end"/>
      </w:r>
    </w:p>
    <w:p w14:paraId="6EC77D14" w14:textId="77777777" w:rsidR="009C7F52" w:rsidRDefault="00731002">
      <w:pPr>
        <w:spacing w:after="80" w:line="240" w:lineRule="auto"/>
      </w:pPr>
      <w:bookmarkStart w:id="311" w:name="cite_56"/>
      <w:r>
        <w:rPr>
          <w:sz w:val="16"/>
          <w:vertAlign w:val="superscript"/>
        </w:rPr>
        <w:t>56</w:t>
      </w:r>
      <w:bookmarkEnd w:id="311"/>
      <w:r>
        <w:fldChar w:fldCharType="begin"/>
      </w:r>
      <w:r>
        <w:instrText>HYPERLINK "https://archive.org/details/twopowersinheave0000sega" \h</w:instrText>
      </w:r>
      <w:r>
        <w:fldChar w:fldCharType="separate"/>
      </w:r>
      <w:r>
        <w:rPr>
          <w:color w:val="0563C1"/>
          <w:sz w:val="18"/>
          <w:u w:val="single"/>
        </w:rPr>
        <w:t>Alan Segal’s foundational historical study of this rabbinic controversy</w:t>
      </w:r>
      <w:r>
        <w:fldChar w:fldCharType="end"/>
      </w:r>
    </w:p>
    <w:p w14:paraId="76165FA0" w14:textId="77777777" w:rsidR="009C7F52" w:rsidRDefault="00731002">
      <w:pPr>
        <w:spacing w:after="80" w:line="240" w:lineRule="auto"/>
      </w:pPr>
      <w:bookmarkStart w:id="312" w:name="cite_57"/>
      <w:r>
        <w:rPr>
          <w:sz w:val="16"/>
          <w:vertAlign w:val="superscript"/>
        </w:rPr>
        <w:t>57</w:t>
      </w:r>
      <w:bookmarkEnd w:id="312"/>
      <w:r>
        <w:fldChar w:fldCharType="begin"/>
      </w:r>
      <w:r>
        <w:instrText>HYPERLINK "https://en.wikipedia.org/wiki/Progressive_revelation_(Christianity)" \h</w:instrText>
      </w:r>
      <w:r>
        <w:fldChar w:fldCharType="separate"/>
      </w:r>
      <w:r>
        <w:rPr>
          <w:color w:val="0563C1"/>
          <w:sz w:val="18"/>
          <w:u w:val="single"/>
        </w:rPr>
        <w:t>Wikipedia’s summary of the doctrine notes explicitly that “progressive revelation does not mean to say that the Old Testament is somehow less true than the New Testament”</w:t>
      </w:r>
      <w:r>
        <w:fldChar w:fldCharType="end"/>
      </w:r>
    </w:p>
    <w:p w14:paraId="535F649A" w14:textId="77777777" w:rsidR="009C7F52" w:rsidRDefault="00731002">
      <w:pPr>
        <w:spacing w:after="80" w:line="240" w:lineRule="auto"/>
      </w:pPr>
      <w:bookmarkStart w:id="313" w:name="cite_58"/>
      <w:r>
        <w:rPr>
          <w:sz w:val="16"/>
          <w:vertAlign w:val="superscript"/>
        </w:rPr>
        <w:t>58</w:t>
      </w:r>
      <w:bookmarkEnd w:id="313"/>
      <w:r>
        <w:fldChar w:fldCharType="begin"/>
      </w:r>
      <w:r>
        <w:instrText>HYPERLINK "https://www.spiritandtruth.org/teaching/documents/articles/156/156.htm?x=x" \h</w:instrText>
      </w:r>
      <w:r>
        <w:fldChar w:fldCharType="separate"/>
      </w:r>
      <w:r>
        <w:rPr>
          <w:color w:val="0563C1"/>
          <w:sz w:val="18"/>
          <w:u w:val="single"/>
        </w:rPr>
        <w:t>Spirit &amp; Truth Fellowship’s working definition of progressive revelation</w:t>
      </w:r>
      <w:r>
        <w:fldChar w:fldCharType="end"/>
      </w:r>
    </w:p>
    <w:p w14:paraId="0DA33BF1" w14:textId="77777777" w:rsidR="009C7F52" w:rsidRDefault="00731002">
      <w:pPr>
        <w:spacing w:after="80" w:line="240" w:lineRule="auto"/>
      </w:pPr>
      <w:bookmarkStart w:id="314" w:name="cite_59"/>
      <w:r>
        <w:rPr>
          <w:sz w:val="16"/>
          <w:vertAlign w:val="superscript"/>
        </w:rPr>
        <w:t>59</w:t>
      </w:r>
      <w:bookmarkEnd w:id="314"/>
      <w:r>
        <w:fldChar w:fldCharType="begin"/>
      </w:r>
      <w:r>
        <w:instrText>HYPERLINK "https://www.bibleref.com/Mark/14/Mark-14-36.html" \h</w:instrText>
      </w:r>
      <w:r>
        <w:fldChar w:fldCharType="separate"/>
      </w:r>
      <w:r>
        <w:rPr>
          <w:color w:val="0563C1"/>
          <w:sz w:val="18"/>
          <w:u w:val="single"/>
        </w:rPr>
        <w:t>Mark 14:36; commentary discussion of Mark 14:36 and the intimacy of Jesus’s Abba address</w:t>
      </w:r>
      <w:r>
        <w:fldChar w:fldCharType="end"/>
      </w:r>
    </w:p>
    <w:p w14:paraId="4A3F57C7" w14:textId="77777777" w:rsidR="009C7F52" w:rsidRDefault="00731002">
      <w:pPr>
        <w:spacing w:after="80" w:line="240" w:lineRule="auto"/>
      </w:pPr>
      <w:bookmarkStart w:id="315" w:name="cite_60"/>
      <w:r>
        <w:rPr>
          <w:sz w:val="16"/>
          <w:vertAlign w:val="superscript"/>
        </w:rPr>
        <w:t>60</w:t>
      </w:r>
      <w:bookmarkEnd w:id="315"/>
      <w:r>
        <w:fldChar w:fldCharType="begin"/>
      </w:r>
      <w:r>
        <w:instrText>HYPERLINK "https://biblehub.com/john/20-28.htm" \h</w:instrText>
      </w:r>
      <w:r>
        <w:fldChar w:fldCharType="separate"/>
      </w:r>
      <w:r>
        <w:rPr>
          <w:color w:val="0563C1"/>
          <w:sz w:val="18"/>
          <w:u w:val="single"/>
        </w:rPr>
        <w:t>Bible Hub on the Father-Son language of the Gospels</w:t>
      </w:r>
      <w:r>
        <w:fldChar w:fldCharType="end"/>
      </w:r>
    </w:p>
    <w:p w14:paraId="7B175537" w14:textId="77777777" w:rsidR="009C7F52" w:rsidRDefault="00731002">
      <w:pPr>
        <w:spacing w:after="80" w:line="240" w:lineRule="auto"/>
      </w:pPr>
      <w:bookmarkStart w:id="316" w:name="cite_61"/>
      <w:r>
        <w:rPr>
          <w:sz w:val="16"/>
          <w:vertAlign w:val="superscript"/>
        </w:rPr>
        <w:t>61</w:t>
      </w:r>
      <w:bookmarkEnd w:id="316"/>
      <w:r>
        <w:fldChar w:fldCharType="begin"/>
      </w:r>
      <w:r>
        <w:instrText>HYPERLINK "https://biblehub.com/q/Who_is_the_Son_of_Man_in_Daniel_7_13.htm" \h</w:instrText>
      </w:r>
      <w:r>
        <w:fldChar w:fldCharType="separate"/>
      </w:r>
      <w:r>
        <w:rPr>
          <w:color w:val="0563C1"/>
          <w:sz w:val="18"/>
          <w:u w:val="single"/>
        </w:rPr>
        <w:t>commentary discussion of John 5:19-23 and divine authority</w:t>
      </w:r>
      <w:r>
        <w:fldChar w:fldCharType="end"/>
      </w:r>
    </w:p>
    <w:p w14:paraId="492D1CB6" w14:textId="77777777" w:rsidR="009C7F52" w:rsidRDefault="00731002">
      <w:pPr>
        <w:spacing w:after="80" w:line="240" w:lineRule="auto"/>
      </w:pPr>
      <w:bookmarkStart w:id="317" w:name="cite_62"/>
      <w:r>
        <w:rPr>
          <w:sz w:val="16"/>
          <w:vertAlign w:val="superscript"/>
        </w:rPr>
        <w:t>62</w:t>
      </w:r>
      <w:bookmarkEnd w:id="317"/>
      <w:r>
        <w:fldChar w:fldCharType="begin"/>
      </w:r>
      <w:r>
        <w:instrText>HYPERLINK "https://www.bibliaplus.org/en/commentaries/156/the-preachers-complete-homiletical-commentary/john/1/1-18" \h</w:instrText>
      </w:r>
      <w:r>
        <w:fldChar w:fldCharType="separate"/>
      </w:r>
      <w:r>
        <w:rPr>
          <w:color w:val="0563C1"/>
          <w:sz w:val="18"/>
          <w:u w:val="single"/>
        </w:rPr>
        <w:t>Bible commentary discussion of John’s prologue Christology</w:t>
      </w:r>
      <w:r>
        <w:fldChar w:fldCharType="end"/>
      </w:r>
    </w:p>
    <w:p w14:paraId="62B34403" w14:textId="77777777" w:rsidR="009C7F52" w:rsidRDefault="00731002">
      <w:pPr>
        <w:spacing w:after="80" w:line="240" w:lineRule="auto"/>
      </w:pPr>
      <w:bookmarkStart w:id="318" w:name="cite_63"/>
      <w:r>
        <w:rPr>
          <w:sz w:val="16"/>
          <w:vertAlign w:val="superscript"/>
        </w:rPr>
        <w:t>63</w:t>
      </w:r>
      <w:bookmarkEnd w:id="318"/>
      <w:r>
        <w:fldChar w:fldCharType="begin"/>
      </w:r>
      <w:r>
        <w:instrText>HYPERLINK "https://tips.translation.bible/story/translation-commentary-on-mark-1436/" \h</w:instrText>
      </w:r>
      <w:r>
        <w:fldChar w:fldCharType="separate"/>
      </w:r>
      <w:r>
        <w:rPr>
          <w:color w:val="0563C1"/>
          <w:sz w:val="18"/>
          <w:u w:val="single"/>
        </w:rPr>
        <w:t>translation and exegetical notes on the Gethsemane prayer and its address to the Father</w:t>
      </w:r>
      <w:r>
        <w:fldChar w:fldCharType="end"/>
      </w:r>
    </w:p>
    <w:p w14:paraId="12451563" w14:textId="77777777" w:rsidR="009C7F52" w:rsidRDefault="00731002">
      <w:pPr>
        <w:spacing w:after="80" w:line="240" w:lineRule="auto"/>
      </w:pPr>
      <w:bookmarkStart w:id="319" w:name="cite_64"/>
      <w:r>
        <w:rPr>
          <w:sz w:val="16"/>
          <w:vertAlign w:val="superscript"/>
        </w:rPr>
        <w:t>64</w:t>
      </w:r>
      <w:bookmarkEnd w:id="319"/>
      <w:r>
        <w:fldChar w:fldCharType="begin"/>
      </w:r>
      <w:r>
        <w:instrText>HYPERLINK "https://www.gotquestions.org/all-things-were-made-through-Him.html" \h</w:instrText>
      </w:r>
      <w:r>
        <w:fldChar w:fldCharType="separate"/>
      </w:r>
      <w:r>
        <w:rPr>
          <w:color w:val="0563C1"/>
          <w:sz w:val="18"/>
          <w:u w:val="single"/>
        </w:rPr>
        <w:t>John 1:3; commentary noting that the Creator of all things must himself be uncreated</w:t>
      </w:r>
      <w:r>
        <w:fldChar w:fldCharType="end"/>
      </w:r>
    </w:p>
    <w:p w14:paraId="7F5238D3" w14:textId="77777777" w:rsidR="009C7F52" w:rsidRDefault="00731002">
      <w:pPr>
        <w:spacing w:after="80" w:line="240" w:lineRule="auto"/>
      </w:pPr>
      <w:bookmarkStart w:id="320" w:name="cite_65"/>
      <w:r>
        <w:rPr>
          <w:sz w:val="16"/>
          <w:vertAlign w:val="superscript"/>
        </w:rPr>
        <w:t>65</w:t>
      </w:r>
      <w:bookmarkEnd w:id="320"/>
      <w:r>
        <w:fldChar w:fldCharType="begin"/>
      </w:r>
      <w:r>
        <w:instrText>HYPERLINK "https://sermonindex.net/commentary/abc/JHN/20" \h</w:instrText>
      </w:r>
      <w:r>
        <w:fldChar w:fldCharType="separate"/>
      </w:r>
      <w:r>
        <w:rPr>
          <w:color w:val="0563C1"/>
          <w:sz w:val="18"/>
          <w:u w:val="single"/>
        </w:rPr>
        <w:t>commentary on the grammar of John 20:28</w:t>
      </w:r>
      <w:r>
        <w:fldChar w:fldCharType="end"/>
      </w:r>
    </w:p>
    <w:p w14:paraId="105AE9E5" w14:textId="77777777" w:rsidR="009C7F52" w:rsidRDefault="00731002">
      <w:pPr>
        <w:spacing w:after="80" w:line="240" w:lineRule="auto"/>
      </w:pPr>
      <w:bookmarkStart w:id="321" w:name="cite_66"/>
      <w:r>
        <w:rPr>
          <w:sz w:val="16"/>
          <w:vertAlign w:val="superscript"/>
        </w:rPr>
        <w:t>66</w:t>
      </w:r>
      <w:bookmarkEnd w:id="321"/>
      <w:r>
        <w:fldChar w:fldCharType="begin"/>
      </w:r>
      <w:r>
        <w:instrText>HYPERLINK "https://biblehub.com/commentaries/john/20-28.htm" \h</w:instrText>
      </w:r>
      <w:r>
        <w:fldChar w:fldCharType="separate"/>
      </w:r>
      <w:r>
        <w:rPr>
          <w:color w:val="0563C1"/>
          <w:sz w:val="18"/>
          <w:u w:val="single"/>
        </w:rPr>
        <w:t>Bible Hub commentary on John 20:28</w:t>
      </w:r>
      <w:r>
        <w:fldChar w:fldCharType="end"/>
      </w:r>
    </w:p>
    <w:p w14:paraId="0ACBB79B" w14:textId="77777777" w:rsidR="009C7F52" w:rsidRDefault="00731002">
      <w:pPr>
        <w:spacing w:after="80" w:line="240" w:lineRule="auto"/>
      </w:pPr>
      <w:bookmarkStart w:id="322" w:name="cite_67"/>
      <w:r>
        <w:rPr>
          <w:sz w:val="16"/>
          <w:vertAlign w:val="superscript"/>
        </w:rPr>
        <w:t>67</w:t>
      </w:r>
      <w:bookmarkEnd w:id="322"/>
      <w:r>
        <w:fldChar w:fldCharType="begin"/>
      </w:r>
      <w:r>
        <w:instrText>HYPERLINK "https://enduringword.com/bible-commentary/mark-2/" \h</w:instrText>
      </w:r>
      <w:r>
        <w:fldChar w:fldCharType="separate"/>
      </w:r>
      <w:r>
        <w:rPr>
          <w:color w:val="0563C1"/>
          <w:sz w:val="18"/>
          <w:u w:val="single"/>
        </w:rPr>
        <w:t>commentary on Mark 2 and the forgiveness controversy</w:t>
      </w:r>
      <w:r>
        <w:fldChar w:fldCharType="end"/>
      </w:r>
    </w:p>
    <w:p w14:paraId="444F7EBD" w14:textId="77777777" w:rsidR="009C7F52" w:rsidRDefault="00731002">
      <w:pPr>
        <w:spacing w:after="80" w:line="240" w:lineRule="auto"/>
      </w:pPr>
      <w:bookmarkStart w:id="323" w:name="cite_68"/>
      <w:r>
        <w:rPr>
          <w:sz w:val="16"/>
          <w:vertAlign w:val="superscript"/>
        </w:rPr>
        <w:t>68</w:t>
      </w:r>
      <w:bookmarkEnd w:id="323"/>
      <w:r>
        <w:fldChar w:fldCharType="begin"/>
      </w:r>
      <w:r>
        <w:instrText>HYPERLINK "https://biblehub.com/q/Who_is_the_Son_of_Man_in_Daniel_7_13.htm" \h</w:instrText>
      </w:r>
      <w:r>
        <w:fldChar w:fldCharType="separate"/>
      </w:r>
      <w:r>
        <w:rPr>
          <w:color w:val="0563C1"/>
          <w:sz w:val="18"/>
          <w:u w:val="single"/>
        </w:rPr>
        <w:t>discussion of the trial scene and Daniel 7</w:t>
      </w:r>
      <w:r>
        <w:fldChar w:fldCharType="end"/>
      </w:r>
    </w:p>
    <w:p w14:paraId="38BDF2CD" w14:textId="77777777" w:rsidR="009C7F52" w:rsidRDefault="00731002">
      <w:pPr>
        <w:spacing w:after="80" w:line="240" w:lineRule="auto"/>
      </w:pPr>
      <w:bookmarkStart w:id="324" w:name="cite_69"/>
      <w:r>
        <w:rPr>
          <w:sz w:val="16"/>
          <w:vertAlign w:val="superscript"/>
        </w:rPr>
        <w:t>69</w:t>
      </w:r>
      <w:bookmarkEnd w:id="324"/>
      <w:r>
        <w:fldChar w:fldCharType="begin"/>
      </w:r>
      <w:r>
        <w:instrText>HYPERLINK "https://www.dennyburk.com/making-himself-equal-with-god-part-2-john-519-23/" \h</w:instrText>
      </w:r>
      <w:r>
        <w:fldChar w:fldCharType="separate"/>
      </w:r>
      <w:r>
        <w:rPr>
          <w:color w:val="0563C1"/>
          <w:sz w:val="18"/>
          <w:u w:val="single"/>
        </w:rPr>
        <w:t>Denny Burk’s exegesis of John 5:19-23 and the Son’s equality with the Father</w:t>
      </w:r>
      <w:r>
        <w:fldChar w:fldCharType="end"/>
      </w:r>
    </w:p>
    <w:p w14:paraId="6A1869A7" w14:textId="77777777" w:rsidR="009C7F52" w:rsidRDefault="00731002">
      <w:pPr>
        <w:spacing w:after="80" w:line="240" w:lineRule="auto"/>
      </w:pPr>
      <w:bookmarkStart w:id="325" w:name="cite_70"/>
      <w:r>
        <w:rPr>
          <w:sz w:val="16"/>
          <w:vertAlign w:val="superscript"/>
        </w:rPr>
        <w:t>70</w:t>
      </w:r>
      <w:bookmarkEnd w:id="325"/>
      <w:r>
        <w:fldChar w:fldCharType="begin"/>
      </w:r>
      <w:r>
        <w:instrText>HYPERLINK "https://medium.com/interfaith-now/daniel-7-is-the-son-of-man-divine-human-or-both-27708b23d89c" \h</w:instrText>
      </w:r>
      <w:r>
        <w:fldChar w:fldCharType="separate"/>
      </w:r>
      <w:r>
        <w:rPr>
          <w:color w:val="0563C1"/>
          <w:sz w:val="18"/>
          <w:u w:val="single"/>
        </w:rPr>
        <w:t>discussion of Son of Man in Daniel 7 and Second Temple background</w:t>
      </w:r>
      <w:r>
        <w:fldChar w:fldCharType="end"/>
      </w:r>
    </w:p>
    <w:p w14:paraId="459A1AF0" w14:textId="77777777" w:rsidR="009C7F52" w:rsidRDefault="00731002">
      <w:pPr>
        <w:spacing w:after="80" w:line="240" w:lineRule="auto"/>
      </w:pPr>
      <w:bookmarkStart w:id="326" w:name="cite_71"/>
      <w:r>
        <w:rPr>
          <w:sz w:val="16"/>
          <w:vertAlign w:val="superscript"/>
        </w:rPr>
        <w:t>71</w:t>
      </w:r>
      <w:bookmarkEnd w:id="326"/>
      <w:r>
        <w:fldChar w:fldCharType="begin"/>
      </w:r>
      <w:r>
        <w:instrText>HYPERLINK "https://www.studylight.org/commentary/mark/4-39.html" \h</w:instrText>
      </w:r>
      <w:r>
        <w:fldChar w:fldCharType="separate"/>
      </w:r>
      <w:r>
        <w:rPr>
          <w:color w:val="0563C1"/>
          <w:sz w:val="18"/>
          <w:u w:val="single"/>
        </w:rPr>
        <w:t>commentary noting that none but God himself could still the storm by a bare word of command</w:t>
      </w:r>
      <w:r>
        <w:fldChar w:fldCharType="end"/>
      </w:r>
    </w:p>
    <w:p w14:paraId="440838E9" w14:textId="77777777" w:rsidR="009C7F52" w:rsidRDefault="00731002">
      <w:pPr>
        <w:spacing w:after="80" w:line="240" w:lineRule="auto"/>
      </w:pPr>
      <w:bookmarkStart w:id="327" w:name="cite_72"/>
      <w:r>
        <w:rPr>
          <w:sz w:val="16"/>
          <w:vertAlign w:val="superscript"/>
        </w:rPr>
        <w:t>72</w:t>
      </w:r>
      <w:bookmarkEnd w:id="327"/>
      <w:r>
        <w:fldChar w:fldCharType="begin"/>
      </w:r>
      <w:r>
        <w:instrText>HYPERLINK "https://www.gotquestions.org/grieve-Holy-Spirit.html" \h</w:instrText>
      </w:r>
      <w:r>
        <w:fldChar w:fldCharType="separate"/>
      </w:r>
      <w:r>
        <w:rPr>
          <w:color w:val="0563C1"/>
          <w:sz w:val="18"/>
          <w:u w:val="single"/>
        </w:rPr>
        <w:t>discussion of Ephesians 4:30 and the Spirit’s personhood</w:t>
      </w:r>
      <w:r>
        <w:fldChar w:fldCharType="end"/>
      </w:r>
    </w:p>
    <w:p w14:paraId="0A7C26AD" w14:textId="77777777" w:rsidR="009C7F52" w:rsidRDefault="00731002">
      <w:pPr>
        <w:spacing w:after="80" w:line="240" w:lineRule="auto"/>
      </w:pPr>
      <w:bookmarkStart w:id="328" w:name="cite_73"/>
      <w:r>
        <w:rPr>
          <w:sz w:val="16"/>
          <w:vertAlign w:val="superscript"/>
        </w:rPr>
        <w:t>73</w:t>
      </w:r>
      <w:bookmarkEnd w:id="328"/>
      <w:r>
        <w:fldChar w:fldCharType="begin"/>
      </w:r>
      <w:r>
        <w:instrText>HYPERLINK "https://enduringword.com/bible-commentary/1-corinthians-12/" \h</w:instrText>
      </w:r>
      <w:r>
        <w:fldChar w:fldCharType="separate"/>
      </w:r>
      <w:r>
        <w:rPr>
          <w:color w:val="0563C1"/>
          <w:sz w:val="18"/>
          <w:u w:val="single"/>
        </w:rPr>
        <w:t>commentary on 1 Corinthians 12:11 and the Spirit’s sovereign distribution of gifts</w:t>
      </w:r>
      <w:r>
        <w:fldChar w:fldCharType="end"/>
      </w:r>
    </w:p>
    <w:p w14:paraId="57E48121" w14:textId="77777777" w:rsidR="009C7F52" w:rsidRDefault="00731002">
      <w:pPr>
        <w:spacing w:after="80" w:line="240" w:lineRule="auto"/>
      </w:pPr>
      <w:bookmarkStart w:id="329" w:name="cite_74"/>
      <w:r>
        <w:rPr>
          <w:sz w:val="16"/>
          <w:vertAlign w:val="superscript"/>
        </w:rPr>
        <w:t>74</w:t>
      </w:r>
      <w:bookmarkEnd w:id="329"/>
      <w:r>
        <w:fldChar w:fldCharType="begin"/>
      </w:r>
      <w:r>
        <w:instrText>HYPERLINK "https://www.sacredtextsguide.com/commentary/john/16/8-11" \h</w:instrText>
      </w:r>
      <w:r>
        <w:fldChar w:fldCharType="separate"/>
      </w:r>
      <w:r>
        <w:rPr>
          <w:color w:val="0563C1"/>
          <w:sz w:val="18"/>
          <w:u w:val="single"/>
        </w:rPr>
        <w:t>commentary on John 16:8-11 and the Spirit’s convicting work</w:t>
      </w:r>
      <w:r>
        <w:fldChar w:fldCharType="end"/>
      </w:r>
    </w:p>
    <w:p w14:paraId="743AB75C" w14:textId="77777777" w:rsidR="009C7F52" w:rsidRDefault="00731002">
      <w:pPr>
        <w:spacing w:after="80" w:line="240" w:lineRule="auto"/>
      </w:pPr>
      <w:bookmarkStart w:id="330" w:name="cite_75"/>
      <w:r>
        <w:rPr>
          <w:sz w:val="16"/>
          <w:vertAlign w:val="superscript"/>
        </w:rPr>
        <w:t>75</w:t>
      </w:r>
      <w:bookmarkEnd w:id="330"/>
      <w:r>
        <w:fldChar w:fldCharType="begin"/>
      </w:r>
      <w:r>
        <w:instrText>HYPERLINK "https://www.preceptaustin.org/ephesians_430_commentary" \h</w:instrText>
      </w:r>
      <w:r>
        <w:fldChar w:fldCharType="separate"/>
      </w:r>
      <w:r>
        <w:rPr>
          <w:color w:val="0563C1"/>
          <w:sz w:val="18"/>
          <w:u w:val="single"/>
        </w:rPr>
        <w:t>discussion of Ephesians 4:30 and adjacent Spirit texts</w:t>
      </w:r>
      <w:r>
        <w:fldChar w:fldCharType="end"/>
      </w:r>
    </w:p>
    <w:p w14:paraId="0B99459A" w14:textId="77777777" w:rsidR="009C7F52" w:rsidRDefault="00731002">
      <w:pPr>
        <w:spacing w:after="80" w:line="240" w:lineRule="auto"/>
      </w:pPr>
      <w:bookmarkStart w:id="331" w:name="cite_76"/>
      <w:r>
        <w:rPr>
          <w:sz w:val="16"/>
          <w:vertAlign w:val="superscript"/>
        </w:rPr>
        <w:t>76</w:t>
      </w:r>
      <w:bookmarkEnd w:id="331"/>
      <w:r>
        <w:fldChar w:fldCharType="begin"/>
      </w:r>
      <w:r>
        <w:instrText>HYPERLINK "https://www.gotquestions.org/the-wind-blows-where-it-wishes.html" \h</w:instrText>
      </w:r>
      <w:r>
        <w:fldChar w:fldCharType="separate"/>
      </w:r>
      <w:r>
        <w:rPr>
          <w:color w:val="0563C1"/>
          <w:sz w:val="18"/>
          <w:u w:val="single"/>
        </w:rPr>
        <w:t>discussion of the wind/Spirit wordplay and its meaning in John 3:8</w:t>
      </w:r>
      <w:r>
        <w:fldChar w:fldCharType="end"/>
      </w:r>
    </w:p>
    <w:p w14:paraId="120FDE1E" w14:textId="77777777" w:rsidR="009C7F52" w:rsidRDefault="00731002">
      <w:pPr>
        <w:spacing w:after="80" w:line="240" w:lineRule="auto"/>
      </w:pPr>
      <w:bookmarkStart w:id="332" w:name="cite_77"/>
      <w:r>
        <w:rPr>
          <w:sz w:val="16"/>
          <w:vertAlign w:val="superscript"/>
        </w:rPr>
        <w:t>77</w:t>
      </w:r>
      <w:bookmarkEnd w:id="332"/>
      <w:r>
        <w:fldChar w:fldCharType="begin"/>
      </w:r>
      <w:r>
        <w:instrText>HYPERLINK "https://biblehub.com/greek/728.htm" \h</w:instrText>
      </w:r>
      <w:r>
        <w:fldChar w:fldCharType="separate"/>
      </w:r>
      <w:r>
        <w:rPr>
          <w:color w:val="0563C1"/>
          <w:sz w:val="18"/>
          <w:u w:val="single"/>
        </w:rPr>
        <w:t>2 Corinthians 1:21-22; Strong’s Concordance entry on arrabōn and its commercial background</w:t>
      </w:r>
      <w:r>
        <w:fldChar w:fldCharType="end"/>
      </w:r>
    </w:p>
    <w:p w14:paraId="05C8EF15" w14:textId="77777777" w:rsidR="009C7F52" w:rsidRDefault="00731002">
      <w:pPr>
        <w:spacing w:after="80" w:line="240" w:lineRule="auto"/>
      </w:pPr>
      <w:bookmarkStart w:id="333" w:name="cite_78"/>
      <w:r>
        <w:rPr>
          <w:sz w:val="16"/>
          <w:vertAlign w:val="superscript"/>
        </w:rPr>
        <w:t>78</w:t>
      </w:r>
      <w:bookmarkEnd w:id="333"/>
      <w:r>
        <w:fldChar w:fldCharType="begin"/>
      </w:r>
      <w:r>
        <w:instrText>HYPERLINK "https://www.sacredtextsguide.com/commentary/1-corinthians/8/4-6" \h</w:instrText>
      </w:r>
      <w:r>
        <w:fldChar w:fldCharType="separate"/>
      </w:r>
      <w:r>
        <w:rPr>
          <w:color w:val="0563C1"/>
          <w:sz w:val="18"/>
          <w:u w:val="single"/>
        </w:rPr>
        <w:t>discussion of 1 Corinthians 8:6 as the “Christological Shema”</w:t>
      </w:r>
      <w:r>
        <w:fldChar w:fldCharType="end"/>
      </w:r>
    </w:p>
    <w:p w14:paraId="0888A55D" w14:textId="77777777" w:rsidR="009C7F52" w:rsidRDefault="00731002">
      <w:pPr>
        <w:spacing w:after="80" w:line="240" w:lineRule="auto"/>
      </w:pPr>
      <w:bookmarkStart w:id="334" w:name="cite_79"/>
      <w:r>
        <w:rPr>
          <w:sz w:val="16"/>
          <w:vertAlign w:val="superscript"/>
        </w:rPr>
        <w:t>79</w:t>
      </w:r>
      <w:bookmarkEnd w:id="334"/>
      <w:r>
        <w:fldChar w:fldCharType="begin"/>
      </w:r>
      <w:r>
        <w:instrText>HYPERLINK "https://www.thegospelcoalition.org/reviews/jesus-god-israel/" \h</w:instrText>
      </w:r>
      <w:r>
        <w:fldChar w:fldCharType="separate"/>
      </w:r>
      <w:r>
        <w:rPr>
          <w:color w:val="0563C1"/>
          <w:sz w:val="18"/>
          <w:u w:val="single"/>
        </w:rPr>
        <w:t>The Gospel Coalition’s review of Bauckham’s Jesus and the God of Israel</w:t>
      </w:r>
      <w:r>
        <w:fldChar w:fldCharType="end"/>
      </w:r>
    </w:p>
    <w:p w14:paraId="7D3CA51E" w14:textId="77777777" w:rsidR="009C7F52" w:rsidRDefault="00731002">
      <w:pPr>
        <w:spacing w:after="80" w:line="240" w:lineRule="auto"/>
      </w:pPr>
      <w:bookmarkStart w:id="335" w:name="cite_80"/>
      <w:r>
        <w:rPr>
          <w:sz w:val="16"/>
          <w:vertAlign w:val="superscript"/>
        </w:rPr>
        <w:t>80</w:t>
      </w:r>
      <w:bookmarkEnd w:id="335"/>
      <w:r>
        <w:fldChar w:fldCharType="begin"/>
      </w:r>
      <w:r>
        <w:instrText>HYPERLINK "https://www.thegospelcoalition.org/themelios/review/lord-jesus-christ-devotion-to-jesus-in-earliest-christianity/" \h</w:instrText>
      </w:r>
      <w:r>
        <w:fldChar w:fldCharType="separate"/>
      </w:r>
      <w:r>
        <w:rPr>
          <w:color w:val="0563C1"/>
          <w:sz w:val="18"/>
          <w:u w:val="single"/>
        </w:rPr>
        <w:t>Themelios review of Hurtado’s Lord Jesus Christ</w:t>
      </w:r>
      <w:r>
        <w:fldChar w:fldCharType="end"/>
      </w:r>
    </w:p>
    <w:p w14:paraId="1A9762EA" w14:textId="77777777" w:rsidR="009C7F52" w:rsidRDefault="00731002">
      <w:pPr>
        <w:spacing w:after="80" w:line="240" w:lineRule="auto"/>
      </w:pPr>
      <w:bookmarkStart w:id="336" w:name="cite_81"/>
      <w:r>
        <w:rPr>
          <w:sz w:val="16"/>
          <w:vertAlign w:val="superscript"/>
        </w:rPr>
        <w:t>81</w:t>
      </w:r>
      <w:bookmarkEnd w:id="336"/>
      <w:r>
        <w:fldChar w:fldCharType="begin"/>
      </w:r>
      <w:r>
        <w:instrText>HYPERLINK "https://en.wikipedia.org/wiki/God_manifested_in_the_flesh" \h</w:instrText>
      </w:r>
      <w:r>
        <w:fldChar w:fldCharType="separate"/>
      </w:r>
      <w:r>
        <w:rPr>
          <w:color w:val="0563C1"/>
          <w:sz w:val="18"/>
          <w:u w:val="single"/>
        </w:rPr>
        <w:t>Wikipedia’s overview of the Christological monotheism debate and its major contributors</w:t>
      </w:r>
      <w:r>
        <w:fldChar w:fldCharType="end"/>
      </w:r>
    </w:p>
    <w:p w14:paraId="3CBA7DF4" w14:textId="77777777" w:rsidR="009C7F52" w:rsidRDefault="00731002">
      <w:pPr>
        <w:spacing w:after="80" w:line="240" w:lineRule="auto"/>
      </w:pPr>
      <w:bookmarkStart w:id="337" w:name="cite_82"/>
      <w:r>
        <w:rPr>
          <w:sz w:val="16"/>
          <w:vertAlign w:val="superscript"/>
        </w:rPr>
        <w:t>82</w:t>
      </w:r>
      <w:bookmarkEnd w:id="337"/>
      <w:r>
        <w:fldChar w:fldCharType="begin"/>
      </w:r>
      <w:r>
        <w:instrText>HYPERLINK "https://www.sacredtextsguide.com/commentary/2-corinthians/13/14-14" \h</w:instrText>
      </w:r>
      <w:r>
        <w:fldChar w:fldCharType="separate"/>
      </w:r>
      <w:r>
        <w:rPr>
          <w:color w:val="0563C1"/>
          <w:sz w:val="18"/>
          <w:u w:val="single"/>
        </w:rPr>
        <w:t>commentary on the trinitarian structure and theological weight of 2 Corinthians 13:14</w:t>
      </w:r>
      <w:r>
        <w:fldChar w:fldCharType="end"/>
      </w:r>
    </w:p>
    <w:p w14:paraId="597ED667" w14:textId="77777777" w:rsidR="009C7F52" w:rsidRDefault="00731002">
      <w:pPr>
        <w:spacing w:after="80" w:line="240" w:lineRule="auto"/>
      </w:pPr>
      <w:bookmarkStart w:id="338" w:name="cite_83"/>
      <w:r>
        <w:rPr>
          <w:sz w:val="16"/>
          <w:vertAlign w:val="superscript"/>
        </w:rPr>
        <w:t>83</w:t>
      </w:r>
      <w:bookmarkEnd w:id="338"/>
      <w:r>
        <w:rPr>
          <w:sz w:val="18"/>
        </w:rPr>
        <w:t>William Mounce’s grammatical discussion of Romans 9:5 and the deity of Christ; a doctoral-level grammatical study of the “Christ is God over all” reading of Romans 9:5</w:t>
      </w:r>
      <w:hyperlink r:id="rId22">
        <w:r>
          <w:rPr>
            <w:color w:val="0563C1"/>
            <w:sz w:val="18"/>
            <w:u w:val="single"/>
          </w:rPr>
          <w:t>[Source 1]</w:t>
        </w:r>
      </w:hyperlink>
      <w:hyperlink r:id="rId23">
        <w:r>
          <w:rPr>
            <w:color w:val="0563C1"/>
            <w:sz w:val="18"/>
            <w:u w:val="single"/>
          </w:rPr>
          <w:t>[Source 2]</w:t>
        </w:r>
      </w:hyperlink>
    </w:p>
    <w:p w14:paraId="71F4024F" w14:textId="77777777" w:rsidR="009C7F52" w:rsidRDefault="00731002">
      <w:pPr>
        <w:spacing w:after="80" w:line="240" w:lineRule="auto"/>
      </w:pPr>
      <w:bookmarkStart w:id="339" w:name="cite_84"/>
      <w:r>
        <w:rPr>
          <w:sz w:val="16"/>
          <w:vertAlign w:val="superscript"/>
        </w:rPr>
        <w:t>84</w:t>
      </w:r>
      <w:bookmarkEnd w:id="339"/>
      <w:r>
        <w:fldChar w:fldCharType="begin"/>
      </w:r>
      <w:r>
        <w:instrText>HYPERLINK "https://www.bibliaplus.org/en/commentaries/156/the-preachers-complete-homiletical-commentary/john/1/1-18" \h</w:instrText>
      </w:r>
      <w:r>
        <w:fldChar w:fldCharType="separate"/>
      </w:r>
      <w:r>
        <w:rPr>
          <w:color w:val="0563C1"/>
          <w:sz w:val="18"/>
          <w:u w:val="single"/>
        </w:rPr>
        <w:t>commentary discussion of John’s prologue</w:t>
      </w:r>
      <w:r>
        <w:fldChar w:fldCharType="end"/>
      </w:r>
    </w:p>
    <w:p w14:paraId="3909892F" w14:textId="77777777" w:rsidR="009C7F52" w:rsidRDefault="00731002">
      <w:pPr>
        <w:spacing w:after="80" w:line="240" w:lineRule="auto"/>
      </w:pPr>
      <w:bookmarkStart w:id="340" w:name="cite_85"/>
      <w:r>
        <w:rPr>
          <w:sz w:val="16"/>
          <w:vertAlign w:val="superscript"/>
        </w:rPr>
        <w:t>85</w:t>
      </w:r>
      <w:bookmarkEnd w:id="340"/>
      <w:r>
        <w:fldChar w:fldCharType="begin"/>
      </w:r>
      <w:r>
        <w:instrText>HYPERLINK "https://www.preceptaustin.org/hebrews_64-5" \h</w:instrText>
      </w:r>
      <w:r>
        <w:fldChar w:fldCharType="separate"/>
      </w:r>
      <w:r>
        <w:rPr>
          <w:color w:val="0563C1"/>
          <w:sz w:val="18"/>
          <w:u w:val="single"/>
        </w:rPr>
        <w:t>Hebrews 6:4-6; Precept Austin’s commentary on Hebrews 6:4-6 and the seriousness of apostasy against the Spirit</w:t>
      </w:r>
      <w:r>
        <w:fldChar w:fldCharType="end"/>
      </w:r>
    </w:p>
    <w:p w14:paraId="3DE0ACE9" w14:textId="77777777" w:rsidR="009C7F52" w:rsidRDefault="00731002">
      <w:pPr>
        <w:spacing w:after="80" w:line="240" w:lineRule="auto"/>
      </w:pPr>
      <w:bookmarkStart w:id="341" w:name="cite_86"/>
      <w:r>
        <w:rPr>
          <w:sz w:val="16"/>
          <w:vertAlign w:val="superscript"/>
        </w:rPr>
        <w:t>86</w:t>
      </w:r>
      <w:bookmarkEnd w:id="341"/>
      <w:r>
        <w:fldChar w:fldCharType="begin"/>
      </w:r>
      <w:r>
        <w:instrText>HYPERLINK "https://biblehub.com/commentaries/hebrews/1-8.htm" \h</w:instrText>
      </w:r>
      <w:r>
        <w:fldChar w:fldCharType="separate"/>
      </w:r>
      <w:r>
        <w:rPr>
          <w:color w:val="0563C1"/>
          <w:sz w:val="18"/>
          <w:u w:val="single"/>
        </w:rPr>
        <w:t>Hebrews 1:8, quoting Psalm 45:6; commentary discussing the application of the royal psalm’s address to God as a direct address to the Son</w:t>
      </w:r>
      <w:r>
        <w:fldChar w:fldCharType="end"/>
      </w:r>
    </w:p>
    <w:p w14:paraId="6F564281" w14:textId="77777777" w:rsidR="009C7F52" w:rsidRDefault="00731002">
      <w:pPr>
        <w:spacing w:after="80" w:line="240" w:lineRule="auto"/>
      </w:pPr>
      <w:bookmarkStart w:id="342" w:name="cite_87"/>
      <w:r>
        <w:rPr>
          <w:sz w:val="16"/>
          <w:vertAlign w:val="superscript"/>
        </w:rPr>
        <w:t>87</w:t>
      </w:r>
      <w:bookmarkEnd w:id="342"/>
      <w:r>
        <w:fldChar w:fldCharType="begin"/>
      </w:r>
      <w:r>
        <w:instrText>HYPERLINK "https://en.wikipedia.org/wiki/Alpha_and_Omega" \h</w:instrText>
      </w:r>
      <w:r>
        <w:fldChar w:fldCharType="separate"/>
      </w:r>
      <w:r>
        <w:rPr>
          <w:color w:val="0563C1"/>
          <w:sz w:val="18"/>
          <w:u w:val="single"/>
        </w:rPr>
        <w:t>Revelation 21:6; overview of the Alpha and Omega title and its shared application to the Father and Christ in Revelation</w:t>
      </w:r>
      <w:r>
        <w:fldChar w:fldCharType="end"/>
      </w:r>
    </w:p>
    <w:p w14:paraId="5B42433A" w14:textId="77777777" w:rsidR="009C7F52" w:rsidRDefault="00731002">
      <w:pPr>
        <w:spacing w:after="80" w:line="240" w:lineRule="auto"/>
      </w:pPr>
      <w:bookmarkStart w:id="343" w:name="cite_88"/>
      <w:r>
        <w:rPr>
          <w:sz w:val="16"/>
          <w:vertAlign w:val="superscript"/>
        </w:rPr>
        <w:t>88</w:t>
      </w:r>
      <w:bookmarkEnd w:id="343"/>
      <w:r>
        <w:fldChar w:fldCharType="begin"/>
      </w:r>
      <w:r>
        <w:instrText>HYPERLINK "https://biblehub.com/commentaries/isaiah/44-6.htm" \h</w:instrText>
      </w:r>
      <w:r>
        <w:fldChar w:fldCharType="separate"/>
      </w:r>
      <w:r>
        <w:rPr>
          <w:color w:val="0563C1"/>
          <w:sz w:val="18"/>
          <w:u w:val="single"/>
        </w:rPr>
        <w:t>Isaiah 44:6; commentary on Isaiah 44:6 and its exclusive claim to sole and absolute deity</w:t>
      </w:r>
      <w:r>
        <w:fldChar w:fldCharType="end"/>
      </w:r>
    </w:p>
    <w:p w14:paraId="1819E55C" w14:textId="77777777" w:rsidR="009C7F52" w:rsidRDefault="00731002">
      <w:pPr>
        <w:spacing w:after="80" w:line="240" w:lineRule="auto"/>
      </w:pPr>
      <w:bookmarkStart w:id="344" w:name="cite_89"/>
      <w:r>
        <w:rPr>
          <w:sz w:val="16"/>
          <w:vertAlign w:val="superscript"/>
        </w:rPr>
        <w:t>89</w:t>
      </w:r>
      <w:bookmarkEnd w:id="344"/>
      <w:r>
        <w:fldChar w:fldCharType="begin"/>
      </w:r>
      <w:r>
        <w:instrText>HYPERLINK "https://www.studylight.org/commentary/1-peter/1-2.html" \h</w:instrText>
      </w:r>
      <w:r>
        <w:fldChar w:fldCharType="separate"/>
      </w:r>
      <w:r>
        <w:rPr>
          <w:color w:val="0563C1"/>
          <w:sz w:val="18"/>
          <w:u w:val="single"/>
        </w:rPr>
        <w:t>verse-by-verse commentary noting the deliberate reference to all three persons of the Trinity in 1 Peter 1:2</w:t>
      </w:r>
      <w:r>
        <w:fldChar w:fldCharType="end"/>
      </w:r>
    </w:p>
    <w:p w14:paraId="3480B35E" w14:textId="77777777" w:rsidR="009C7F52" w:rsidRDefault="00731002">
      <w:pPr>
        <w:spacing w:after="80" w:line="240" w:lineRule="auto"/>
      </w:pPr>
      <w:bookmarkStart w:id="345" w:name="cite_90"/>
      <w:r>
        <w:rPr>
          <w:sz w:val="16"/>
          <w:vertAlign w:val="superscript"/>
        </w:rPr>
        <w:t>90</w:t>
      </w:r>
      <w:bookmarkEnd w:id="345"/>
      <w:r>
        <w:fldChar w:fldCharType="begin"/>
      </w:r>
      <w:r>
        <w:instrText>HYPERLINK "https://www.studylight.org/commentary/1-john/5-20.html" \h</w:instrText>
      </w:r>
      <w:r>
        <w:fldChar w:fldCharType="separate"/>
      </w:r>
      <w:r>
        <w:rPr>
          <w:color w:val="0563C1"/>
          <w:sz w:val="18"/>
          <w:u w:val="single"/>
        </w:rPr>
        <w:t>verse-by-verse commentary on the grammatical antecedent question in 1 John 5:20</w:t>
      </w:r>
      <w:r>
        <w:fldChar w:fldCharType="end"/>
      </w:r>
    </w:p>
    <w:p w14:paraId="486DF8C9" w14:textId="77777777" w:rsidR="009C7F52" w:rsidRDefault="00731002">
      <w:pPr>
        <w:spacing w:after="80" w:line="240" w:lineRule="auto"/>
      </w:pPr>
      <w:bookmarkStart w:id="346" w:name="cite_91"/>
      <w:r>
        <w:rPr>
          <w:sz w:val="16"/>
          <w:vertAlign w:val="superscript"/>
        </w:rPr>
        <w:t>91</w:t>
      </w:r>
      <w:bookmarkEnd w:id="346"/>
      <w:r>
        <w:fldChar w:fldCharType="begin"/>
      </w:r>
      <w:r>
        <w:instrText>HYPERLINK "https://biblehub.com/interlinear/john/1-1.htm" \h</w:instrText>
      </w:r>
      <w:r>
        <w:fldChar w:fldCharType="separate"/>
      </w:r>
      <w:r>
        <w:rPr>
          <w:color w:val="0563C1"/>
          <w:sz w:val="18"/>
          <w:u w:val="single"/>
        </w:rPr>
        <w:t>Bible Hub interlinear text of John 1:1</w:t>
      </w:r>
      <w:r>
        <w:fldChar w:fldCharType="end"/>
      </w:r>
    </w:p>
    <w:p w14:paraId="3DEE167B" w14:textId="77777777" w:rsidR="009C7F52" w:rsidRDefault="00731002">
      <w:pPr>
        <w:spacing w:after="80" w:line="240" w:lineRule="auto"/>
      </w:pPr>
      <w:bookmarkStart w:id="347" w:name="cite_92"/>
      <w:r>
        <w:rPr>
          <w:sz w:val="16"/>
          <w:vertAlign w:val="superscript"/>
        </w:rPr>
        <w:t>92</w:t>
      </w:r>
      <w:bookmarkEnd w:id="347"/>
      <w:r>
        <w:fldChar w:fldCharType="begin"/>
      </w:r>
      <w:r>
        <w:instrText>HYPERLINK "http://www.areopage.net/PDF/Wallace.pdf" \h</w:instrText>
      </w:r>
      <w:r>
        <w:fldChar w:fldCharType="separate"/>
      </w:r>
      <w:r>
        <w:rPr>
          <w:color w:val="0563C1"/>
          <w:sz w:val="18"/>
          <w:u w:val="single"/>
        </w:rPr>
        <w:t>Daniel Wallace’s detailed treatment of Colwell’s Rule and the Greek article</w:t>
      </w:r>
      <w:r>
        <w:fldChar w:fldCharType="end"/>
      </w:r>
    </w:p>
    <w:p w14:paraId="71E12FE4" w14:textId="77777777" w:rsidR="009C7F52" w:rsidRDefault="00731002">
      <w:pPr>
        <w:spacing w:after="80" w:line="240" w:lineRule="auto"/>
      </w:pPr>
      <w:bookmarkStart w:id="348" w:name="cite_93"/>
      <w:r>
        <w:rPr>
          <w:sz w:val="16"/>
          <w:vertAlign w:val="superscript"/>
        </w:rPr>
        <w:t>93</w:t>
      </w:r>
      <w:bookmarkEnd w:id="348"/>
      <w:r>
        <w:fldChar w:fldCharType="begin"/>
      </w:r>
      <w:r>
        <w:instrText>HYPERLINK "https://bible.org/seriespage/lesson-2-jesus-revealer-god-john-11-5" \h</w:instrText>
      </w:r>
      <w:r>
        <w:fldChar w:fldCharType="separate"/>
      </w:r>
      <w:r>
        <w:rPr>
          <w:color w:val="0563C1"/>
          <w:sz w:val="18"/>
          <w:u w:val="single"/>
        </w:rPr>
        <w:t>bible.org’s teaching notes quoting Wallace’s Greek Grammar Beyond the Basics, pp. 266–269</w:t>
      </w:r>
      <w:r>
        <w:fldChar w:fldCharType="end"/>
      </w:r>
    </w:p>
    <w:p w14:paraId="66F73B68" w14:textId="77777777" w:rsidR="009C7F52" w:rsidRDefault="00731002">
      <w:pPr>
        <w:spacing w:after="80" w:line="240" w:lineRule="auto"/>
      </w:pPr>
      <w:bookmarkStart w:id="349" w:name="cite_94"/>
      <w:r>
        <w:rPr>
          <w:sz w:val="16"/>
          <w:vertAlign w:val="superscript"/>
        </w:rPr>
        <w:t>94</w:t>
      </w:r>
      <w:bookmarkEnd w:id="349"/>
      <w:r>
        <w:fldChar w:fldCharType="begin"/>
      </w:r>
      <w:r>
        <w:instrText>HYPERLINK "http://www.areopage.net/PDF/Wallace.pdf" \h</w:instrText>
      </w:r>
      <w:r>
        <w:fldChar w:fldCharType="separate"/>
      </w:r>
      <w:r>
        <w:rPr>
          <w:color w:val="0563C1"/>
          <w:sz w:val="18"/>
          <w:u w:val="single"/>
        </w:rPr>
        <w:t>discussion of the BeDuhn exchange over John 1:1 and Colwell’s Rule</w:t>
      </w:r>
      <w:r>
        <w:fldChar w:fldCharType="end"/>
      </w:r>
    </w:p>
    <w:p w14:paraId="35AEEF1B" w14:textId="77777777" w:rsidR="009C7F52" w:rsidRDefault="00731002">
      <w:pPr>
        <w:spacing w:after="80" w:line="240" w:lineRule="auto"/>
      </w:pPr>
      <w:bookmarkStart w:id="350" w:name="cite_95"/>
      <w:r>
        <w:rPr>
          <w:sz w:val="16"/>
          <w:vertAlign w:val="superscript"/>
        </w:rPr>
        <w:t>95</w:t>
      </w:r>
      <w:bookmarkEnd w:id="350"/>
      <w:r>
        <w:fldChar w:fldCharType="begin"/>
      </w:r>
      <w:r>
        <w:instrText>HYPERLINK "https://biblehub.com/interlinear/titus/2-13.htm" \h</w:instrText>
      </w:r>
      <w:r>
        <w:fldChar w:fldCharType="separate"/>
      </w:r>
      <w:r>
        <w:rPr>
          <w:color w:val="0563C1"/>
          <w:sz w:val="18"/>
          <w:u w:val="single"/>
        </w:rPr>
        <w:t>Bible Hub interlinear text of Titus 2:13</w:t>
      </w:r>
      <w:r>
        <w:fldChar w:fldCharType="end"/>
      </w:r>
    </w:p>
    <w:p w14:paraId="1317AEFC" w14:textId="77777777" w:rsidR="009C7F52" w:rsidRDefault="00731002">
      <w:pPr>
        <w:spacing w:after="80" w:line="240" w:lineRule="auto"/>
      </w:pPr>
      <w:bookmarkStart w:id="351" w:name="cite_96"/>
      <w:r>
        <w:rPr>
          <w:sz w:val="16"/>
          <w:vertAlign w:val="superscript"/>
        </w:rPr>
        <w:t>96</w:t>
      </w:r>
      <w:bookmarkEnd w:id="351"/>
      <w:r>
        <w:fldChar w:fldCharType="begin"/>
      </w:r>
      <w:r>
        <w:instrText>HYPERLINK "https://biblehub.com/interlinear/2_peter/1-1.htm" \h</w:instrText>
      </w:r>
      <w:r>
        <w:fldChar w:fldCharType="separate"/>
      </w:r>
      <w:r>
        <w:rPr>
          <w:color w:val="0563C1"/>
          <w:sz w:val="18"/>
          <w:u w:val="single"/>
        </w:rPr>
        <w:t>Bible Hub interlinear text of 2 Peter 1:1</w:t>
      </w:r>
      <w:r>
        <w:fldChar w:fldCharType="end"/>
      </w:r>
    </w:p>
    <w:p w14:paraId="0EA0BAAA" w14:textId="77777777" w:rsidR="009C7F52" w:rsidRDefault="00731002">
      <w:pPr>
        <w:spacing w:after="80" w:line="240" w:lineRule="auto"/>
      </w:pPr>
      <w:bookmarkStart w:id="352" w:name="cite_97"/>
      <w:r>
        <w:rPr>
          <w:sz w:val="16"/>
          <w:vertAlign w:val="superscript"/>
        </w:rPr>
        <w:t>97</w:t>
      </w:r>
      <w:bookmarkEnd w:id="352"/>
      <w:r>
        <w:fldChar w:fldCharType="begin"/>
      </w:r>
      <w:r>
        <w:instrText>HYPERLINK "https://theopedia.com/granville-sharps-rule" \h</w:instrText>
      </w:r>
      <w:r>
        <w:fldChar w:fldCharType="separate"/>
      </w:r>
      <w:r>
        <w:rPr>
          <w:color w:val="0563C1"/>
          <w:sz w:val="18"/>
          <w:u w:val="single"/>
        </w:rPr>
        <w:t>Theopedia’s summary of Granville Sharp’s Rule and its application to Titus 2:13 and 2 Peter 1:1</w:t>
      </w:r>
      <w:r>
        <w:fldChar w:fldCharType="end"/>
      </w:r>
    </w:p>
    <w:p w14:paraId="4725B950" w14:textId="77777777" w:rsidR="009C7F52" w:rsidRDefault="00731002">
      <w:pPr>
        <w:spacing w:after="80" w:line="240" w:lineRule="auto"/>
      </w:pPr>
      <w:bookmarkStart w:id="353" w:name="cite_98"/>
      <w:r>
        <w:rPr>
          <w:sz w:val="16"/>
          <w:vertAlign w:val="superscript"/>
        </w:rPr>
        <w:t>98</w:t>
      </w:r>
      <w:bookmarkEnd w:id="353"/>
      <w:r>
        <w:fldChar w:fldCharType="begin"/>
      </w:r>
      <w:r>
        <w:instrText>HYPERLINK "https://www.tyndalebulletin.org/article/29308-the-christology-of-titus-2-13-and-1-timothy-2-5.pdf" \h</w:instrText>
      </w:r>
      <w:r>
        <w:fldChar w:fldCharType="separate"/>
      </w:r>
      <w:r>
        <w:rPr>
          <w:color w:val="0563C1"/>
          <w:sz w:val="18"/>
          <w:u w:val="single"/>
        </w:rPr>
        <w:t>discussion of Wallace’s statement of Sharp’s Rule and its application to the Pastoral Epistles</w:t>
      </w:r>
      <w:r>
        <w:fldChar w:fldCharType="end"/>
      </w:r>
    </w:p>
    <w:p w14:paraId="0D431CB0" w14:textId="77777777" w:rsidR="009C7F52" w:rsidRDefault="00731002">
      <w:pPr>
        <w:spacing w:after="80" w:line="240" w:lineRule="auto"/>
      </w:pPr>
      <w:bookmarkStart w:id="354" w:name="cite_99"/>
      <w:r>
        <w:rPr>
          <w:sz w:val="16"/>
          <w:vertAlign w:val="superscript"/>
        </w:rPr>
        <w:t>99</w:t>
      </w:r>
      <w:bookmarkEnd w:id="354"/>
      <w:r>
        <w:fldChar w:fldCharType="begin"/>
      </w:r>
      <w:r>
        <w:instrText>HYPERLINK "https://www.postost.net/2017/01/jesus-called-god-titus-213" \h</w:instrText>
      </w:r>
      <w:r>
        <w:fldChar w:fldCharType="separate"/>
      </w:r>
      <w:r>
        <w:rPr>
          <w:color w:val="0563C1"/>
          <w:sz w:val="18"/>
          <w:u w:val="single"/>
        </w:rPr>
        <w:t>summary of Wallace’s Granville Sharp construction survey and its application to Titus 2:13</w:t>
      </w:r>
      <w:r>
        <w:fldChar w:fldCharType="end"/>
      </w:r>
    </w:p>
    <w:p w14:paraId="62B0519E" w14:textId="77777777" w:rsidR="009C7F52" w:rsidRDefault="00731002">
      <w:pPr>
        <w:spacing w:after="80" w:line="240" w:lineRule="auto"/>
      </w:pPr>
      <w:bookmarkStart w:id="355" w:name="cite_100"/>
      <w:r>
        <w:rPr>
          <w:sz w:val="16"/>
          <w:vertAlign w:val="superscript"/>
        </w:rPr>
        <w:t>100</w:t>
      </w:r>
      <w:bookmarkEnd w:id="355"/>
      <w:r>
        <w:fldChar w:fldCharType="begin"/>
      </w:r>
      <w:r>
        <w:instrText>HYPERLINK "https://www.aomin.org/aoblog/general-apologetics/granville-sharps-rule/" \h</w:instrText>
      </w:r>
      <w:r>
        <w:fldChar w:fldCharType="separate"/>
      </w:r>
      <w:r>
        <w:rPr>
          <w:color w:val="0563C1"/>
          <w:sz w:val="18"/>
          <w:u w:val="single"/>
        </w:rPr>
        <w:t>Alpha and Omega Ministries’ discussion of Granville Sharp’s Rule and its application to the deity of Christ</w:t>
      </w:r>
      <w:r>
        <w:fldChar w:fldCharType="end"/>
      </w:r>
    </w:p>
    <w:p w14:paraId="213817C1" w14:textId="77777777" w:rsidR="009C7F52" w:rsidRDefault="00731002">
      <w:pPr>
        <w:spacing w:after="80" w:line="240" w:lineRule="auto"/>
      </w:pPr>
      <w:bookmarkStart w:id="356" w:name="cite_101"/>
      <w:r>
        <w:rPr>
          <w:sz w:val="16"/>
          <w:vertAlign w:val="superscript"/>
        </w:rPr>
        <w:t>101</w:t>
      </w:r>
      <w:bookmarkEnd w:id="356"/>
      <w:r>
        <w:fldChar w:fldCharType="begin"/>
      </w:r>
      <w:r>
        <w:instrText>HYPERLINK "https://biblehub.com/interlinear/philippians/2-6.htm" \h</w:instrText>
      </w:r>
      <w:r>
        <w:fldChar w:fldCharType="separate"/>
      </w:r>
      <w:r>
        <w:rPr>
          <w:color w:val="0563C1"/>
          <w:sz w:val="18"/>
          <w:u w:val="single"/>
        </w:rPr>
        <w:t>Bible Hub interlinear text of Philippians 2:6</w:t>
      </w:r>
      <w:r>
        <w:fldChar w:fldCharType="end"/>
      </w:r>
    </w:p>
    <w:p w14:paraId="7FF41C87" w14:textId="77777777" w:rsidR="009C7F52" w:rsidRDefault="00731002">
      <w:pPr>
        <w:spacing w:after="80" w:line="240" w:lineRule="auto"/>
      </w:pPr>
      <w:bookmarkStart w:id="357" w:name="cite_102"/>
      <w:r>
        <w:rPr>
          <w:sz w:val="16"/>
          <w:vertAlign w:val="superscript"/>
        </w:rPr>
        <w:t>102</w:t>
      </w:r>
      <w:bookmarkEnd w:id="357"/>
      <w:r>
        <w:fldChar w:fldCharType="begin"/>
      </w:r>
      <w:r>
        <w:instrText>HYPERLINK "https://biblehub.com/interlinear/philippians/2-7.htm" \h</w:instrText>
      </w:r>
      <w:r>
        <w:fldChar w:fldCharType="separate"/>
      </w:r>
      <w:r>
        <w:rPr>
          <w:color w:val="0563C1"/>
          <w:sz w:val="18"/>
          <w:u w:val="single"/>
        </w:rPr>
        <w:t>Bible Hub interlinear text of Philippians 2:7</w:t>
      </w:r>
      <w:r>
        <w:fldChar w:fldCharType="end"/>
      </w:r>
    </w:p>
    <w:p w14:paraId="52F769F1" w14:textId="77777777" w:rsidR="009C7F52" w:rsidRDefault="00731002">
      <w:pPr>
        <w:spacing w:after="80" w:line="240" w:lineRule="auto"/>
      </w:pPr>
      <w:bookmarkStart w:id="358" w:name="cite_103"/>
      <w:r>
        <w:rPr>
          <w:sz w:val="16"/>
          <w:vertAlign w:val="superscript"/>
        </w:rPr>
        <w:t>103</w:t>
      </w:r>
      <w:bookmarkEnd w:id="358"/>
      <w:r>
        <w:fldChar w:fldCharType="begin"/>
      </w:r>
      <w:r>
        <w:instrText>HYPERLINK "https://biblehub.com/interlinear/colossians/2-9.htm" \h</w:instrText>
      </w:r>
      <w:r>
        <w:fldChar w:fldCharType="separate"/>
      </w:r>
      <w:r>
        <w:rPr>
          <w:color w:val="0563C1"/>
          <w:sz w:val="18"/>
          <w:u w:val="single"/>
        </w:rPr>
        <w:t>Bible Hub interlinear text of Colossians 2:9</w:t>
      </w:r>
      <w:r>
        <w:fldChar w:fldCharType="end"/>
      </w:r>
    </w:p>
    <w:p w14:paraId="78A828FA" w14:textId="77777777" w:rsidR="009C7F52" w:rsidRDefault="00731002">
      <w:pPr>
        <w:spacing w:after="80" w:line="240" w:lineRule="auto"/>
      </w:pPr>
      <w:bookmarkStart w:id="359" w:name="cite_104"/>
      <w:r>
        <w:rPr>
          <w:sz w:val="16"/>
          <w:vertAlign w:val="superscript"/>
        </w:rPr>
        <w:t>104</w:t>
      </w:r>
      <w:bookmarkEnd w:id="359"/>
      <w:r>
        <w:fldChar w:fldCharType="begin"/>
      </w:r>
      <w:r>
        <w:instrText>HYPERLINK "https://biblehub.com/interlinear/hebrews/1-3.htm" \h</w:instrText>
      </w:r>
      <w:r>
        <w:fldChar w:fldCharType="separate"/>
      </w:r>
      <w:r>
        <w:rPr>
          <w:color w:val="0563C1"/>
          <w:sz w:val="18"/>
          <w:u w:val="single"/>
        </w:rPr>
        <w:t>Bible Hub interlinear text of Hebrews 1:3</w:t>
      </w:r>
      <w:r>
        <w:fldChar w:fldCharType="end"/>
      </w:r>
    </w:p>
    <w:p w14:paraId="6638E445" w14:textId="77777777" w:rsidR="009C7F52" w:rsidRDefault="00731002">
      <w:pPr>
        <w:spacing w:after="80" w:line="240" w:lineRule="auto"/>
      </w:pPr>
      <w:bookmarkStart w:id="360" w:name="cite_105"/>
      <w:r>
        <w:rPr>
          <w:sz w:val="16"/>
          <w:vertAlign w:val="superscript"/>
        </w:rPr>
        <w:t>105</w:t>
      </w:r>
      <w:bookmarkEnd w:id="360"/>
      <w:r>
        <w:fldChar w:fldCharType="begin"/>
      </w:r>
      <w:r>
        <w:instrText>HYPERLINK "https://biblehub.com/text/john/20-28.htm" \h</w:instrText>
      </w:r>
      <w:r>
        <w:fldChar w:fldCharType="separate"/>
      </w:r>
      <w:r>
        <w:rPr>
          <w:color w:val="0563C1"/>
          <w:sz w:val="18"/>
          <w:u w:val="single"/>
        </w:rPr>
        <w:t>Bible Hub’s Greek text of John 20:28</w:t>
      </w:r>
      <w:r>
        <w:fldChar w:fldCharType="end"/>
      </w:r>
    </w:p>
    <w:p w14:paraId="2F9A2906" w14:textId="77777777" w:rsidR="009C7F52" w:rsidRDefault="00731002">
      <w:pPr>
        <w:spacing w:after="80" w:line="240" w:lineRule="auto"/>
      </w:pPr>
      <w:bookmarkStart w:id="361" w:name="cite_106"/>
      <w:r>
        <w:rPr>
          <w:sz w:val="16"/>
          <w:vertAlign w:val="superscript"/>
        </w:rPr>
        <w:t>106</w:t>
      </w:r>
      <w:bookmarkEnd w:id="361"/>
      <w:r>
        <w:rPr>
          <w:sz w:val="18"/>
        </w:rPr>
        <w:t>Phil Gons’s discussion of White’s definition and its theological precision; Books at a Glance summary of The Forgotten Trinity</w:t>
      </w:r>
      <w:hyperlink r:id="rId24">
        <w:r>
          <w:rPr>
            <w:color w:val="0563C1"/>
            <w:sz w:val="18"/>
            <w:u w:val="single"/>
          </w:rPr>
          <w:t>[Source 1]</w:t>
        </w:r>
      </w:hyperlink>
      <w:hyperlink r:id="rId25">
        <w:r>
          <w:rPr>
            <w:color w:val="0563C1"/>
            <w:sz w:val="18"/>
            <w:u w:val="single"/>
          </w:rPr>
          <w:t>[Source 2]</w:t>
        </w:r>
      </w:hyperlink>
    </w:p>
    <w:p w14:paraId="48248B9E" w14:textId="77777777" w:rsidR="009C7F52" w:rsidRDefault="00731002">
      <w:pPr>
        <w:spacing w:after="80" w:line="240" w:lineRule="auto"/>
      </w:pPr>
      <w:bookmarkStart w:id="362" w:name="cite_107"/>
      <w:r>
        <w:rPr>
          <w:sz w:val="16"/>
          <w:vertAlign w:val="superscript"/>
        </w:rPr>
        <w:t>107</w:t>
      </w:r>
      <w:bookmarkEnd w:id="362"/>
      <w:r>
        <w:fldChar w:fldCharType="begin"/>
      </w:r>
      <w:r>
        <w:instrText>HYPERLINK "https://philgons.com/2008/04/is-the-trinity-one-what-and-three-whos/" \h</w:instrText>
      </w:r>
      <w:r>
        <w:fldChar w:fldCharType="separate"/>
      </w:r>
      <w:r>
        <w:rPr>
          <w:color w:val="0563C1"/>
          <w:sz w:val="18"/>
          <w:u w:val="single"/>
        </w:rPr>
        <w:t>Phil Gons on White’s clarification of the “one Being” clause</w:t>
      </w:r>
      <w:r>
        <w:fldChar w:fldCharType="end"/>
      </w:r>
    </w:p>
    <w:p w14:paraId="3D0D0E55" w14:textId="77777777" w:rsidR="009C7F52" w:rsidRDefault="00731002">
      <w:pPr>
        <w:spacing w:after="80" w:line="240" w:lineRule="auto"/>
      </w:pPr>
      <w:bookmarkStart w:id="363" w:name="cite_108"/>
      <w:r>
        <w:rPr>
          <w:sz w:val="16"/>
          <w:vertAlign w:val="superscript"/>
        </w:rPr>
        <w:t>108</w:t>
      </w:r>
      <w:bookmarkEnd w:id="363"/>
      <w:r>
        <w:fldChar w:fldCharType="begin"/>
      </w:r>
      <w:r>
        <w:instrText>HYPERLINK "https://www.encyclopedia.com/religion/encyclopedias-almanacs-transcripts-and-maps/modalism" \h</w:instrText>
      </w:r>
      <w:r>
        <w:fldChar w:fldCharType="separate"/>
      </w:r>
      <w:r>
        <w:rPr>
          <w:color w:val="0563C1"/>
          <w:sz w:val="18"/>
          <w:u w:val="single"/>
        </w:rPr>
        <w:t>Encyclopedia.com’s entry on modalism and its historical development as Patripassianism and Sabellianism</w:t>
      </w:r>
      <w:r>
        <w:fldChar w:fldCharType="end"/>
      </w:r>
    </w:p>
    <w:p w14:paraId="38EB95DE" w14:textId="77777777" w:rsidR="009C7F52" w:rsidRDefault="00731002">
      <w:pPr>
        <w:spacing w:after="80" w:line="240" w:lineRule="auto"/>
      </w:pPr>
      <w:bookmarkStart w:id="364" w:name="cite_109"/>
      <w:r>
        <w:rPr>
          <w:sz w:val="16"/>
          <w:vertAlign w:val="superscript"/>
        </w:rPr>
        <w:t>109</w:t>
      </w:r>
      <w:bookmarkEnd w:id="364"/>
      <w:r>
        <w:fldChar w:fldCharType="begin"/>
      </w:r>
      <w:r>
        <w:instrText>HYPERLINK "https://en.wikipedia.org/wiki/Subordinationism" \h</w:instrText>
      </w:r>
      <w:r>
        <w:fldChar w:fldCharType="separate"/>
      </w:r>
      <w:r>
        <w:rPr>
          <w:color w:val="0563C1"/>
          <w:sz w:val="18"/>
          <w:u w:val="single"/>
        </w:rPr>
        <w:t>overview of subordinationism as a historical christological error</w:t>
      </w:r>
      <w:r>
        <w:fldChar w:fldCharType="end"/>
      </w:r>
    </w:p>
    <w:p w14:paraId="40E127F6" w14:textId="77777777" w:rsidR="009C7F52" w:rsidRDefault="00731002">
      <w:pPr>
        <w:spacing w:after="80" w:line="240" w:lineRule="auto"/>
      </w:pPr>
      <w:bookmarkStart w:id="365" w:name="cite_110"/>
      <w:r>
        <w:rPr>
          <w:sz w:val="16"/>
          <w:vertAlign w:val="superscript"/>
        </w:rPr>
        <w:t>110</w:t>
      </w:r>
      <w:bookmarkEnd w:id="365"/>
      <w:r>
        <w:fldChar w:fldCharType="begin"/>
      </w:r>
      <w:r>
        <w:instrText>HYPERLINK "https://en.wikipedia.org/wiki/Tritheism" \h</w:instrText>
      </w:r>
      <w:r>
        <w:fldChar w:fldCharType="separate"/>
      </w:r>
      <w:r>
        <w:rPr>
          <w:color w:val="0563C1"/>
          <w:sz w:val="18"/>
          <w:u w:val="single"/>
        </w:rPr>
        <w:t>definition and history of tritheism as a departure from historic Trinitarian doctrine</w:t>
      </w:r>
      <w:r>
        <w:fldChar w:fldCharType="end"/>
      </w:r>
    </w:p>
    <w:p w14:paraId="18C6D8B1" w14:textId="77777777" w:rsidR="009C7F52" w:rsidRDefault="00731002">
      <w:pPr>
        <w:spacing w:after="80" w:line="240" w:lineRule="auto"/>
      </w:pPr>
      <w:bookmarkStart w:id="366" w:name="cite_111"/>
      <w:r>
        <w:rPr>
          <w:sz w:val="16"/>
          <w:vertAlign w:val="superscript"/>
        </w:rPr>
        <w:t>111</w:t>
      </w:r>
      <w:bookmarkEnd w:id="366"/>
      <w:r>
        <w:fldChar w:fldCharType="begin"/>
      </w:r>
      <w:r>
        <w:instrText>HYPERLINK "https://christianity.stackexchange.com/questions/78627/why-were-ousia-and-hypostasis-synonymous-in-the-nicene-creed" \h</w:instrText>
      </w:r>
      <w:r>
        <w:fldChar w:fldCharType="separate"/>
      </w:r>
      <w:r>
        <w:rPr>
          <w:color w:val="0563C1"/>
          <w:sz w:val="18"/>
          <w:u w:val="single"/>
        </w:rPr>
        <w:t>discussion of the historical relationship and eventual technical distinction between ousia and hypostasis at Nicaea</w:t>
      </w:r>
      <w:r>
        <w:fldChar w:fldCharType="end"/>
      </w:r>
    </w:p>
    <w:p w14:paraId="1F73CD5A" w14:textId="77777777" w:rsidR="009C7F52" w:rsidRDefault="00731002">
      <w:pPr>
        <w:spacing w:after="80" w:line="240" w:lineRule="auto"/>
      </w:pPr>
      <w:bookmarkStart w:id="367" w:name="cite_112"/>
      <w:r>
        <w:rPr>
          <w:sz w:val="16"/>
          <w:vertAlign w:val="superscript"/>
        </w:rPr>
        <w:t>112</w:t>
      </w:r>
      <w:bookmarkEnd w:id="367"/>
      <w:r>
        <w:fldChar w:fldCharType="begin"/>
      </w:r>
      <w:r>
        <w:instrText>HYPERLINK "https://en.wikipedia.org/wiki/Clement_of_Rome" \h</w:instrText>
      </w:r>
      <w:r>
        <w:fldChar w:fldCharType="separate"/>
      </w:r>
      <w:r>
        <w:rPr>
          <w:color w:val="0563C1"/>
          <w:sz w:val="18"/>
          <w:u w:val="single"/>
        </w:rPr>
        <w:t>Clement of Rome, Wikipedia</w:t>
      </w:r>
      <w:r>
        <w:fldChar w:fldCharType="end"/>
      </w:r>
    </w:p>
    <w:p w14:paraId="3899C160" w14:textId="77777777" w:rsidR="009C7F52" w:rsidRDefault="00731002">
      <w:pPr>
        <w:spacing w:after="80" w:line="240" w:lineRule="auto"/>
      </w:pPr>
      <w:bookmarkStart w:id="368" w:name="cite_113"/>
      <w:r>
        <w:rPr>
          <w:sz w:val="16"/>
          <w:vertAlign w:val="superscript"/>
        </w:rPr>
        <w:t>113</w:t>
      </w:r>
      <w:bookmarkEnd w:id="368"/>
      <w:r>
        <w:fldChar w:fldCharType="begin"/>
      </w:r>
      <w:r>
        <w:instrText>HYPERLINK "https://www.newadvent.org/fathers/1010.htm" \h</w:instrText>
      </w:r>
      <w:r>
        <w:fldChar w:fldCharType="separate"/>
      </w:r>
      <w:r>
        <w:rPr>
          <w:color w:val="0563C1"/>
          <w:sz w:val="18"/>
          <w:u w:val="single"/>
        </w:rPr>
        <w:t>1 Clement, New Advent</w:t>
      </w:r>
      <w:r>
        <w:fldChar w:fldCharType="end"/>
      </w:r>
    </w:p>
    <w:p w14:paraId="7D9C44E1" w14:textId="77777777" w:rsidR="009C7F52" w:rsidRDefault="00731002">
      <w:pPr>
        <w:spacing w:after="80" w:line="240" w:lineRule="auto"/>
      </w:pPr>
      <w:bookmarkStart w:id="369" w:name="cite_114"/>
      <w:r>
        <w:rPr>
          <w:sz w:val="16"/>
          <w:vertAlign w:val="superscript"/>
        </w:rPr>
        <w:t>114</w:t>
      </w:r>
      <w:bookmarkEnd w:id="369"/>
      <w:r>
        <w:fldChar w:fldCharType="begin"/>
      </w:r>
      <w:r>
        <w:instrText>HYPERLINK "https://www.newadvent.org/fathers/1010.htm" \h</w:instrText>
      </w:r>
      <w:r>
        <w:fldChar w:fldCharType="separate"/>
      </w:r>
      <w:r>
        <w:rPr>
          <w:color w:val="0563C1"/>
          <w:sz w:val="18"/>
          <w:u w:val="single"/>
        </w:rPr>
        <w:t>1 Clement, New Advent</w:t>
      </w:r>
      <w:r>
        <w:fldChar w:fldCharType="end"/>
      </w:r>
    </w:p>
    <w:p w14:paraId="6F0B771A" w14:textId="77777777" w:rsidR="009C7F52" w:rsidRDefault="00731002">
      <w:pPr>
        <w:spacing w:after="80" w:line="240" w:lineRule="auto"/>
      </w:pPr>
      <w:bookmarkStart w:id="370" w:name="cite_115"/>
      <w:r>
        <w:rPr>
          <w:sz w:val="16"/>
          <w:vertAlign w:val="superscript"/>
        </w:rPr>
        <w:t>115</w:t>
      </w:r>
      <w:bookmarkEnd w:id="370"/>
      <w:r>
        <w:fldChar w:fldCharType="begin"/>
      </w:r>
      <w:r>
        <w:instrText>HYPERLINK "https://en.wikipedia.org/wiki/Ignatius_of_Antioch" \h</w:instrText>
      </w:r>
      <w:r>
        <w:fldChar w:fldCharType="separate"/>
      </w:r>
      <w:r>
        <w:rPr>
          <w:color w:val="0563C1"/>
          <w:sz w:val="18"/>
          <w:u w:val="single"/>
        </w:rPr>
        <w:t>Ignatius of Antioch, Wikipedia</w:t>
      </w:r>
      <w:r>
        <w:fldChar w:fldCharType="end"/>
      </w:r>
    </w:p>
    <w:p w14:paraId="25E51AF4" w14:textId="77777777" w:rsidR="009C7F52" w:rsidRDefault="00731002">
      <w:pPr>
        <w:spacing w:after="80" w:line="240" w:lineRule="auto"/>
      </w:pPr>
      <w:bookmarkStart w:id="371" w:name="cite_116"/>
      <w:r>
        <w:rPr>
          <w:sz w:val="16"/>
          <w:vertAlign w:val="superscript"/>
        </w:rPr>
        <w:t>116</w:t>
      </w:r>
      <w:bookmarkEnd w:id="371"/>
      <w:r>
        <w:fldChar w:fldCharType="begin"/>
      </w:r>
      <w:r>
        <w:instrText>HYPERLINK "https://preachersinstitute.com/2010/10/17/the-trinity-in-the-writings-of-ignatius-of-antioch/" \h</w:instrText>
      </w:r>
      <w:r>
        <w:fldChar w:fldCharType="separate"/>
      </w:r>
      <w:r>
        <w:rPr>
          <w:color w:val="0563C1"/>
          <w:sz w:val="18"/>
          <w:u w:val="single"/>
        </w:rPr>
        <w:t>Trinity in the Writings of Ignatius of Antioch, Preachers Institute</w:t>
      </w:r>
      <w:r>
        <w:fldChar w:fldCharType="end"/>
      </w:r>
    </w:p>
    <w:p w14:paraId="6147DBE1" w14:textId="77777777" w:rsidR="009C7F52" w:rsidRDefault="00731002">
      <w:pPr>
        <w:spacing w:after="80" w:line="240" w:lineRule="auto"/>
      </w:pPr>
      <w:bookmarkStart w:id="372" w:name="cite_117"/>
      <w:r>
        <w:rPr>
          <w:sz w:val="16"/>
          <w:vertAlign w:val="superscript"/>
        </w:rPr>
        <w:t>117</w:t>
      </w:r>
      <w:bookmarkEnd w:id="372"/>
      <w:r>
        <w:fldChar w:fldCharType="begin"/>
      </w:r>
      <w:r>
        <w:instrText>HYPERLINK "https://www.newadvent.org/fathers/0104.htm" \h</w:instrText>
      </w:r>
      <w:r>
        <w:fldChar w:fldCharType="separate"/>
      </w:r>
      <w:r>
        <w:rPr>
          <w:color w:val="0563C1"/>
          <w:sz w:val="18"/>
          <w:u w:val="single"/>
        </w:rPr>
        <w:t>Epistle to the Ephesians, New Advent</w:t>
      </w:r>
      <w:r>
        <w:fldChar w:fldCharType="end"/>
      </w:r>
    </w:p>
    <w:p w14:paraId="1CCB2D64" w14:textId="77777777" w:rsidR="009C7F52" w:rsidRDefault="00731002">
      <w:pPr>
        <w:spacing w:after="80" w:line="240" w:lineRule="auto"/>
      </w:pPr>
      <w:bookmarkStart w:id="373" w:name="cite_118"/>
      <w:r>
        <w:rPr>
          <w:sz w:val="16"/>
          <w:vertAlign w:val="superscript"/>
        </w:rPr>
        <w:t>118</w:t>
      </w:r>
      <w:bookmarkEnd w:id="373"/>
      <w:r>
        <w:fldChar w:fldCharType="begin"/>
      </w:r>
      <w:r>
        <w:instrText>HYPERLINK "https://en.wikipedia.org/wiki/Trinitarianism_in_the_Church_Fathers" \h</w:instrText>
      </w:r>
      <w:r>
        <w:fldChar w:fldCharType="separate"/>
      </w:r>
      <w:r>
        <w:rPr>
          <w:color w:val="0563C1"/>
          <w:sz w:val="18"/>
          <w:u w:val="single"/>
        </w:rPr>
        <w:t>Trinitarianism in the Church Fathers, Wikipedia</w:t>
      </w:r>
      <w:r>
        <w:fldChar w:fldCharType="end"/>
      </w:r>
    </w:p>
    <w:p w14:paraId="39992953" w14:textId="77777777" w:rsidR="009C7F52" w:rsidRDefault="00731002">
      <w:pPr>
        <w:spacing w:after="80" w:line="240" w:lineRule="auto"/>
      </w:pPr>
      <w:bookmarkStart w:id="374" w:name="cite_119"/>
      <w:r>
        <w:rPr>
          <w:sz w:val="16"/>
          <w:vertAlign w:val="superscript"/>
        </w:rPr>
        <w:t>119</w:t>
      </w:r>
      <w:bookmarkEnd w:id="374"/>
      <w:r>
        <w:fldChar w:fldCharType="begin"/>
      </w:r>
      <w:r>
        <w:instrText>HYPERLINK "https://en.wikipedia.org/wiki/First_Apology_of_Justin_Martyr" \h</w:instrText>
      </w:r>
      <w:r>
        <w:fldChar w:fldCharType="separate"/>
      </w:r>
      <w:r>
        <w:rPr>
          <w:color w:val="0563C1"/>
          <w:sz w:val="18"/>
          <w:u w:val="single"/>
        </w:rPr>
        <w:t>First Apology of Justin Martyr, Wikipedia</w:t>
      </w:r>
      <w:r>
        <w:fldChar w:fldCharType="end"/>
      </w:r>
    </w:p>
    <w:p w14:paraId="43D32061" w14:textId="77777777" w:rsidR="009C7F52" w:rsidRDefault="00731002">
      <w:pPr>
        <w:spacing w:after="80" w:line="240" w:lineRule="auto"/>
      </w:pPr>
      <w:bookmarkStart w:id="375" w:name="cite_120"/>
      <w:r>
        <w:rPr>
          <w:sz w:val="16"/>
          <w:vertAlign w:val="superscript"/>
        </w:rPr>
        <w:t>120</w:t>
      </w:r>
      <w:bookmarkEnd w:id="375"/>
      <w:r>
        <w:fldChar w:fldCharType="begin"/>
      </w:r>
      <w:r>
        <w:instrText>HYPERLINK "https://en.wikipedia.org/wiki/First_Apology_of_Justin_Martyr" \h</w:instrText>
      </w:r>
      <w:r>
        <w:fldChar w:fldCharType="separate"/>
      </w:r>
      <w:r>
        <w:rPr>
          <w:color w:val="0563C1"/>
          <w:sz w:val="18"/>
          <w:u w:val="single"/>
        </w:rPr>
        <w:t>First Apology of Justin Martyr, Wikipedia</w:t>
      </w:r>
      <w:r>
        <w:fldChar w:fldCharType="end"/>
      </w:r>
    </w:p>
    <w:p w14:paraId="158E112B" w14:textId="77777777" w:rsidR="009C7F52" w:rsidRDefault="00731002">
      <w:pPr>
        <w:spacing w:after="80" w:line="240" w:lineRule="auto"/>
      </w:pPr>
      <w:bookmarkStart w:id="376" w:name="cite_121"/>
      <w:r>
        <w:rPr>
          <w:sz w:val="16"/>
          <w:vertAlign w:val="superscript"/>
        </w:rPr>
        <w:t>121</w:t>
      </w:r>
      <w:bookmarkEnd w:id="376"/>
      <w:r>
        <w:fldChar w:fldCharType="begin"/>
      </w:r>
      <w:r>
        <w:instrText>HYPERLINK "https://www.newadvent.org/fathers/0126.htm" \h</w:instrText>
      </w:r>
      <w:r>
        <w:fldChar w:fldCharType="separate"/>
      </w:r>
      <w:r>
        <w:rPr>
          <w:color w:val="0563C1"/>
          <w:sz w:val="18"/>
          <w:u w:val="single"/>
        </w:rPr>
        <w:t>First Apology, New Advent</w:t>
      </w:r>
      <w:r>
        <w:fldChar w:fldCharType="end"/>
      </w:r>
    </w:p>
    <w:p w14:paraId="06354FA1" w14:textId="77777777" w:rsidR="009C7F52" w:rsidRDefault="00731002">
      <w:pPr>
        <w:spacing w:after="80" w:line="240" w:lineRule="auto"/>
      </w:pPr>
      <w:bookmarkStart w:id="377" w:name="cite_122"/>
      <w:r>
        <w:rPr>
          <w:sz w:val="16"/>
          <w:vertAlign w:val="superscript"/>
        </w:rPr>
        <w:t>122</w:t>
      </w:r>
      <w:bookmarkEnd w:id="377"/>
      <w:r>
        <w:fldChar w:fldCharType="begin"/>
      </w:r>
      <w:r>
        <w:instrText>HYPERLINK "https://www.newadvent.org/fathers/0128.htm" \h</w:instrText>
      </w:r>
      <w:r>
        <w:fldChar w:fldCharType="separate"/>
      </w:r>
      <w:r>
        <w:rPr>
          <w:color w:val="0563C1"/>
          <w:sz w:val="18"/>
          <w:u w:val="single"/>
        </w:rPr>
        <w:t>Dialogue with Trypho, New Advent</w:t>
      </w:r>
      <w:r>
        <w:fldChar w:fldCharType="end"/>
      </w:r>
    </w:p>
    <w:p w14:paraId="463C7F06" w14:textId="77777777" w:rsidR="009C7F52" w:rsidRDefault="00731002">
      <w:pPr>
        <w:spacing w:after="80" w:line="240" w:lineRule="auto"/>
      </w:pPr>
      <w:bookmarkStart w:id="378" w:name="cite_123"/>
      <w:r>
        <w:rPr>
          <w:sz w:val="16"/>
          <w:vertAlign w:val="superscript"/>
        </w:rPr>
        <w:t>123</w:t>
      </w:r>
      <w:bookmarkEnd w:id="378"/>
      <w:r>
        <w:fldChar w:fldCharType="begin"/>
      </w:r>
      <w:r>
        <w:instrText>HYPERLINK "https://solafidebibleschool.com/church-irenaeus.html" \h</w:instrText>
      </w:r>
      <w:r>
        <w:fldChar w:fldCharType="separate"/>
      </w:r>
      <w:r>
        <w:rPr>
          <w:color w:val="0563C1"/>
          <w:sz w:val="18"/>
          <w:u w:val="single"/>
        </w:rPr>
        <w:t>Irenaeus of Lyons, Sola Fide Bible School</w:t>
      </w:r>
      <w:r>
        <w:fldChar w:fldCharType="end"/>
      </w:r>
    </w:p>
    <w:p w14:paraId="19E1D11D" w14:textId="77777777" w:rsidR="009C7F52" w:rsidRDefault="00731002">
      <w:pPr>
        <w:spacing w:after="80" w:line="240" w:lineRule="auto"/>
      </w:pPr>
      <w:bookmarkStart w:id="379" w:name="cite_124"/>
      <w:r>
        <w:rPr>
          <w:sz w:val="16"/>
          <w:vertAlign w:val="superscript"/>
        </w:rPr>
        <w:t>124</w:t>
      </w:r>
      <w:bookmarkEnd w:id="379"/>
      <w:r>
        <w:fldChar w:fldCharType="begin"/>
      </w:r>
      <w:r>
        <w:instrText>HYPERLINK "https://www.newadvent.org/fathers/0103.htm" \h</w:instrText>
      </w:r>
      <w:r>
        <w:fldChar w:fldCharType="separate"/>
      </w:r>
      <w:r>
        <w:rPr>
          <w:color w:val="0563C1"/>
          <w:sz w:val="18"/>
          <w:u w:val="single"/>
        </w:rPr>
        <w:t>Against Heresies, New Advent</w:t>
      </w:r>
      <w:r>
        <w:fldChar w:fldCharType="end"/>
      </w:r>
    </w:p>
    <w:p w14:paraId="07200767" w14:textId="77777777" w:rsidR="009C7F52" w:rsidRDefault="00731002">
      <w:pPr>
        <w:spacing w:after="80" w:line="240" w:lineRule="auto"/>
      </w:pPr>
      <w:bookmarkStart w:id="380" w:name="cite_125"/>
      <w:r>
        <w:rPr>
          <w:sz w:val="16"/>
          <w:vertAlign w:val="superscript"/>
        </w:rPr>
        <w:t>125</w:t>
      </w:r>
      <w:bookmarkEnd w:id="380"/>
      <w:r>
        <w:fldChar w:fldCharType="begin"/>
      </w:r>
      <w:r>
        <w:instrText>HYPERLINK "https://www.newadvent.org/fathers/0103.htm" \h</w:instrText>
      </w:r>
      <w:r>
        <w:fldChar w:fldCharType="separate"/>
      </w:r>
      <w:r>
        <w:rPr>
          <w:color w:val="0563C1"/>
          <w:sz w:val="18"/>
          <w:u w:val="single"/>
        </w:rPr>
        <w:t>Against Heresies, Book III, New Advent</w:t>
      </w:r>
      <w:r>
        <w:fldChar w:fldCharType="end"/>
      </w:r>
    </w:p>
    <w:p w14:paraId="72C8A0EE" w14:textId="77777777" w:rsidR="009C7F52" w:rsidRDefault="00731002">
      <w:pPr>
        <w:spacing w:after="80" w:line="240" w:lineRule="auto"/>
      </w:pPr>
      <w:bookmarkStart w:id="381" w:name="cite_126"/>
      <w:r>
        <w:rPr>
          <w:sz w:val="16"/>
          <w:vertAlign w:val="superscript"/>
        </w:rPr>
        <w:t>126</w:t>
      </w:r>
      <w:bookmarkEnd w:id="381"/>
      <w:r>
        <w:fldChar w:fldCharType="begin"/>
      </w:r>
      <w:r>
        <w:instrText>HYPERLINK "https://en.wikipedia.org/wiki/Trinitarianism_in_the_Church_Fathers" \h</w:instrText>
      </w:r>
      <w:r>
        <w:fldChar w:fldCharType="separate"/>
      </w:r>
      <w:r>
        <w:rPr>
          <w:color w:val="0563C1"/>
          <w:sz w:val="18"/>
          <w:u w:val="single"/>
        </w:rPr>
        <w:t>Trinitarianism in the Church Fathers, Wikipedia</w:t>
      </w:r>
      <w:r>
        <w:fldChar w:fldCharType="end"/>
      </w:r>
    </w:p>
    <w:p w14:paraId="15D2B23D" w14:textId="77777777" w:rsidR="009C7F52" w:rsidRDefault="00731002">
      <w:pPr>
        <w:spacing w:after="80" w:line="240" w:lineRule="auto"/>
      </w:pPr>
      <w:bookmarkStart w:id="382" w:name="cite_127"/>
      <w:r>
        <w:rPr>
          <w:sz w:val="16"/>
          <w:vertAlign w:val="superscript"/>
        </w:rPr>
        <w:t>127</w:t>
      </w:r>
      <w:bookmarkEnd w:id="382"/>
      <w:r>
        <w:fldChar w:fldCharType="begin"/>
      </w:r>
      <w:r>
        <w:instrText>HYPERLINK "https://en.wikipedia.org/wiki/Ebionites" \h</w:instrText>
      </w:r>
      <w:r>
        <w:fldChar w:fldCharType="separate"/>
      </w:r>
      <w:r>
        <w:rPr>
          <w:color w:val="0563C1"/>
          <w:sz w:val="18"/>
          <w:u w:val="single"/>
        </w:rPr>
        <w:t>Ebionites, Wikipedia</w:t>
      </w:r>
      <w:r>
        <w:fldChar w:fldCharType="end"/>
      </w:r>
    </w:p>
    <w:p w14:paraId="4F0C97AA" w14:textId="77777777" w:rsidR="009C7F52" w:rsidRDefault="00731002">
      <w:pPr>
        <w:spacing w:after="80" w:line="240" w:lineRule="auto"/>
      </w:pPr>
      <w:bookmarkStart w:id="383" w:name="cite_128"/>
      <w:r>
        <w:rPr>
          <w:sz w:val="16"/>
          <w:vertAlign w:val="superscript"/>
        </w:rPr>
        <w:t>128</w:t>
      </w:r>
      <w:bookmarkEnd w:id="383"/>
      <w:r>
        <w:fldChar w:fldCharType="begin"/>
      </w:r>
      <w:r>
        <w:instrText>HYPERLINK "https://en.wikipedia.org/wiki/Ebionites" \h</w:instrText>
      </w:r>
      <w:r>
        <w:fldChar w:fldCharType="separate"/>
      </w:r>
      <w:r>
        <w:rPr>
          <w:color w:val="0563C1"/>
          <w:sz w:val="18"/>
          <w:u w:val="single"/>
        </w:rPr>
        <w:t>Ebionites, Wikipedia</w:t>
      </w:r>
      <w:r>
        <w:fldChar w:fldCharType="end"/>
      </w:r>
    </w:p>
    <w:p w14:paraId="312335DE" w14:textId="77777777" w:rsidR="009C7F52" w:rsidRDefault="00731002">
      <w:pPr>
        <w:spacing w:after="80" w:line="240" w:lineRule="auto"/>
      </w:pPr>
      <w:bookmarkStart w:id="384" w:name="cite_129"/>
      <w:r>
        <w:rPr>
          <w:sz w:val="16"/>
          <w:vertAlign w:val="superscript"/>
        </w:rPr>
        <w:t>129</w:t>
      </w:r>
      <w:bookmarkEnd w:id="384"/>
      <w:r>
        <w:fldChar w:fldCharType="begin"/>
      </w:r>
      <w:r>
        <w:instrText>HYPERLINK "https://en.wikipedia.org/wiki/Ebionites" \h</w:instrText>
      </w:r>
      <w:r>
        <w:fldChar w:fldCharType="separate"/>
      </w:r>
      <w:r>
        <w:rPr>
          <w:color w:val="0563C1"/>
          <w:sz w:val="18"/>
          <w:u w:val="single"/>
        </w:rPr>
        <w:t>Ebionites, Wikipedia</w:t>
      </w:r>
      <w:r>
        <w:fldChar w:fldCharType="end"/>
      </w:r>
    </w:p>
    <w:p w14:paraId="2ED648B6" w14:textId="77777777" w:rsidR="009C7F52" w:rsidRDefault="00731002">
      <w:pPr>
        <w:spacing w:after="80" w:line="240" w:lineRule="auto"/>
      </w:pPr>
      <w:bookmarkStart w:id="385" w:name="cite_130"/>
      <w:r>
        <w:rPr>
          <w:sz w:val="16"/>
          <w:vertAlign w:val="superscript"/>
        </w:rPr>
        <w:t>130</w:t>
      </w:r>
      <w:bookmarkEnd w:id="385"/>
      <w:r>
        <w:fldChar w:fldCharType="begin"/>
      </w:r>
      <w:r>
        <w:instrText>HYPERLINK "https://en.wikipedia.org/wiki/Ebionites" \h</w:instrText>
      </w:r>
      <w:r>
        <w:fldChar w:fldCharType="separate"/>
      </w:r>
      <w:r>
        <w:rPr>
          <w:color w:val="0563C1"/>
          <w:sz w:val="18"/>
          <w:u w:val="single"/>
        </w:rPr>
        <w:t>Ebionites, Wikipedia</w:t>
      </w:r>
      <w:r>
        <w:fldChar w:fldCharType="end"/>
      </w:r>
    </w:p>
    <w:p w14:paraId="6DB03765" w14:textId="77777777" w:rsidR="009C7F52" w:rsidRDefault="00731002">
      <w:pPr>
        <w:spacing w:after="80" w:line="240" w:lineRule="auto"/>
      </w:pPr>
      <w:bookmarkStart w:id="386" w:name="cite_131"/>
      <w:r>
        <w:rPr>
          <w:sz w:val="16"/>
          <w:vertAlign w:val="superscript"/>
        </w:rPr>
        <w:t>131</w:t>
      </w:r>
      <w:bookmarkEnd w:id="386"/>
      <w:r>
        <w:fldChar w:fldCharType="begin"/>
      </w:r>
      <w:r>
        <w:instrText>HYPERLINK "https://en.wikipedia.org/wiki/Docetism" \h</w:instrText>
      </w:r>
      <w:r>
        <w:fldChar w:fldCharType="separate"/>
      </w:r>
      <w:r>
        <w:rPr>
          <w:color w:val="0563C1"/>
          <w:sz w:val="18"/>
          <w:u w:val="single"/>
        </w:rPr>
        <w:t>Docetism, Wikipedia</w:t>
      </w:r>
      <w:r>
        <w:fldChar w:fldCharType="end"/>
      </w:r>
    </w:p>
    <w:p w14:paraId="1C4A1042" w14:textId="77777777" w:rsidR="009C7F52" w:rsidRDefault="00731002">
      <w:pPr>
        <w:spacing w:after="80" w:line="240" w:lineRule="auto"/>
      </w:pPr>
      <w:bookmarkStart w:id="387" w:name="cite_132"/>
      <w:r>
        <w:rPr>
          <w:sz w:val="16"/>
          <w:vertAlign w:val="superscript"/>
        </w:rPr>
        <w:t>132</w:t>
      </w:r>
      <w:bookmarkEnd w:id="387"/>
      <w:r>
        <w:fldChar w:fldCharType="begin"/>
      </w:r>
      <w:r>
        <w:instrText>HYPERLINK "https://www.earlychristianwritings.com/text/ignatius-smyrnaeans-roberts.html" \h</w:instrText>
      </w:r>
      <w:r>
        <w:fldChar w:fldCharType="separate"/>
      </w:r>
      <w:r>
        <w:rPr>
          <w:color w:val="0563C1"/>
          <w:sz w:val="18"/>
          <w:u w:val="single"/>
        </w:rPr>
        <w:t>Letter to the Smyrnaeans, Early Christian Writings</w:t>
      </w:r>
      <w:r>
        <w:fldChar w:fldCharType="end"/>
      </w:r>
    </w:p>
    <w:p w14:paraId="605E8379" w14:textId="77777777" w:rsidR="009C7F52" w:rsidRDefault="00731002">
      <w:pPr>
        <w:spacing w:after="80" w:line="240" w:lineRule="auto"/>
      </w:pPr>
      <w:bookmarkStart w:id="388" w:name="cite_133"/>
      <w:r>
        <w:rPr>
          <w:sz w:val="16"/>
          <w:vertAlign w:val="superscript"/>
        </w:rPr>
        <w:t>133</w:t>
      </w:r>
      <w:bookmarkEnd w:id="388"/>
      <w:r>
        <w:fldChar w:fldCharType="begin"/>
      </w:r>
      <w:r>
        <w:instrText>HYPERLINK "https://en.wikipedia.org/wiki/Marcion_of_Sinope" \h</w:instrText>
      </w:r>
      <w:r>
        <w:fldChar w:fldCharType="separate"/>
      </w:r>
      <w:r>
        <w:rPr>
          <w:color w:val="0563C1"/>
          <w:sz w:val="18"/>
          <w:u w:val="single"/>
        </w:rPr>
        <w:t>Marcion of Sinope, Wikipedia</w:t>
      </w:r>
      <w:r>
        <w:fldChar w:fldCharType="end"/>
      </w:r>
    </w:p>
    <w:p w14:paraId="24E6AE72" w14:textId="77777777" w:rsidR="009C7F52" w:rsidRDefault="00731002">
      <w:pPr>
        <w:spacing w:after="80" w:line="240" w:lineRule="auto"/>
      </w:pPr>
      <w:bookmarkStart w:id="389" w:name="cite_134"/>
      <w:r>
        <w:rPr>
          <w:sz w:val="16"/>
          <w:vertAlign w:val="superscript"/>
        </w:rPr>
        <w:t>134</w:t>
      </w:r>
      <w:bookmarkEnd w:id="389"/>
      <w:r>
        <w:fldChar w:fldCharType="begin"/>
      </w:r>
      <w:r>
        <w:instrText>HYPERLINK "https://www.newadvent.org/cathen/09645c.htm" \h</w:instrText>
      </w:r>
      <w:r>
        <w:fldChar w:fldCharType="separate"/>
      </w:r>
      <w:r>
        <w:rPr>
          <w:color w:val="0563C1"/>
          <w:sz w:val="18"/>
          <w:u w:val="single"/>
        </w:rPr>
        <w:t>Marcionites, New Advent Catholic Encyclopedia</w:t>
      </w:r>
      <w:r>
        <w:fldChar w:fldCharType="end"/>
      </w:r>
    </w:p>
    <w:p w14:paraId="40BF1E0F" w14:textId="77777777" w:rsidR="009C7F52" w:rsidRDefault="00731002">
      <w:pPr>
        <w:spacing w:after="80" w:line="240" w:lineRule="auto"/>
      </w:pPr>
      <w:bookmarkStart w:id="390" w:name="cite_135"/>
      <w:r>
        <w:rPr>
          <w:sz w:val="16"/>
          <w:vertAlign w:val="superscript"/>
        </w:rPr>
        <w:t>135</w:t>
      </w:r>
      <w:bookmarkEnd w:id="390"/>
      <w:r>
        <w:fldChar w:fldCharType="begin"/>
      </w:r>
      <w:r>
        <w:instrText>HYPERLINK "https://en.wikipedia.org/wiki/Cerinthus" \h</w:instrText>
      </w:r>
      <w:r>
        <w:fldChar w:fldCharType="separate"/>
      </w:r>
      <w:r>
        <w:rPr>
          <w:color w:val="0563C1"/>
          <w:sz w:val="18"/>
          <w:u w:val="single"/>
        </w:rPr>
        <w:t>Cerinthus, Wikipedia</w:t>
      </w:r>
      <w:r>
        <w:fldChar w:fldCharType="end"/>
      </w:r>
    </w:p>
    <w:p w14:paraId="7EF10CB2" w14:textId="77777777" w:rsidR="009C7F52" w:rsidRDefault="00731002">
      <w:pPr>
        <w:spacing w:after="80" w:line="240" w:lineRule="auto"/>
      </w:pPr>
      <w:bookmarkStart w:id="391" w:name="cite_136"/>
      <w:r>
        <w:rPr>
          <w:sz w:val="16"/>
          <w:vertAlign w:val="superscript"/>
        </w:rPr>
        <w:t>136</w:t>
      </w:r>
      <w:bookmarkEnd w:id="391"/>
      <w:r>
        <w:fldChar w:fldCharType="begin"/>
      </w:r>
      <w:r>
        <w:instrText>HYPERLINK "https://en.wikipedia.org/wiki/Valentinus_%28Gnostic%29" \h</w:instrText>
      </w:r>
      <w:r>
        <w:fldChar w:fldCharType="separate"/>
      </w:r>
      <w:r>
        <w:rPr>
          <w:color w:val="0563C1"/>
          <w:sz w:val="18"/>
          <w:u w:val="single"/>
        </w:rPr>
        <w:t>Valentinus, Wikipedia</w:t>
      </w:r>
      <w:r>
        <w:fldChar w:fldCharType="end"/>
      </w:r>
    </w:p>
    <w:p w14:paraId="00811469" w14:textId="77777777" w:rsidR="009C7F52" w:rsidRDefault="00731002">
      <w:pPr>
        <w:spacing w:after="80" w:line="240" w:lineRule="auto"/>
      </w:pPr>
      <w:bookmarkStart w:id="392" w:name="cite_137"/>
      <w:r>
        <w:rPr>
          <w:sz w:val="16"/>
          <w:vertAlign w:val="superscript"/>
        </w:rPr>
        <w:t>137</w:t>
      </w:r>
      <w:bookmarkEnd w:id="392"/>
      <w:r>
        <w:fldChar w:fldCharType="begin"/>
      </w:r>
      <w:r>
        <w:instrText>HYPERLINK "https://www.newadvent.org/fathers/0103.htm" \h</w:instrText>
      </w:r>
      <w:r>
        <w:fldChar w:fldCharType="separate"/>
      </w:r>
      <w:r>
        <w:rPr>
          <w:color w:val="0563C1"/>
          <w:sz w:val="18"/>
          <w:u w:val="single"/>
        </w:rPr>
        <w:t>Against Heresies, New Advent</w:t>
      </w:r>
      <w:r>
        <w:fldChar w:fldCharType="end"/>
      </w:r>
    </w:p>
    <w:p w14:paraId="72F8AA7A" w14:textId="77777777" w:rsidR="009C7F52" w:rsidRDefault="00731002">
      <w:pPr>
        <w:spacing w:after="80" w:line="240" w:lineRule="auto"/>
      </w:pPr>
      <w:bookmarkStart w:id="393" w:name="cite_138"/>
      <w:r>
        <w:rPr>
          <w:sz w:val="16"/>
          <w:vertAlign w:val="superscript"/>
        </w:rPr>
        <w:t>138</w:t>
      </w:r>
      <w:bookmarkEnd w:id="393"/>
      <w:r>
        <w:fldChar w:fldCharType="begin"/>
      </w:r>
      <w:r>
        <w:instrText>HYPERLINK "https://www.britannica.com/biography/Paul-of-Samosata" \h</w:instrText>
      </w:r>
      <w:r>
        <w:fldChar w:fldCharType="separate"/>
      </w:r>
      <w:r>
        <w:rPr>
          <w:color w:val="0563C1"/>
          <w:sz w:val="18"/>
          <w:u w:val="single"/>
        </w:rPr>
        <w:t>Paul of Samosata, Britannica</w:t>
      </w:r>
      <w:r>
        <w:fldChar w:fldCharType="end"/>
      </w:r>
    </w:p>
    <w:p w14:paraId="48B0FC36" w14:textId="77777777" w:rsidR="009C7F52" w:rsidRDefault="00731002">
      <w:pPr>
        <w:spacing w:after="80" w:line="240" w:lineRule="auto"/>
      </w:pPr>
      <w:bookmarkStart w:id="394" w:name="cite_139"/>
      <w:r>
        <w:rPr>
          <w:sz w:val="16"/>
          <w:vertAlign w:val="superscript"/>
        </w:rPr>
        <w:t>139</w:t>
      </w:r>
      <w:bookmarkEnd w:id="394"/>
      <w:r>
        <w:fldChar w:fldCharType="begin"/>
      </w:r>
      <w:r>
        <w:instrText>HYPERLINK "https://www.earlychurchtexts.com/public/creed_of_nicaea_325.htm" \h</w:instrText>
      </w:r>
      <w:r>
        <w:fldChar w:fldCharType="separate"/>
      </w:r>
      <w:r>
        <w:rPr>
          <w:color w:val="0563C1"/>
          <w:sz w:val="18"/>
          <w:u w:val="single"/>
        </w:rPr>
        <w:t>Creed of Nicaea, 325, Early Church Texts</w:t>
      </w:r>
      <w:r>
        <w:fldChar w:fldCharType="end"/>
      </w:r>
    </w:p>
    <w:p w14:paraId="48C88C97" w14:textId="77777777" w:rsidR="009C7F52" w:rsidRDefault="00731002">
      <w:pPr>
        <w:spacing w:after="80" w:line="240" w:lineRule="auto"/>
      </w:pPr>
      <w:bookmarkStart w:id="395" w:name="cite_140"/>
      <w:r>
        <w:rPr>
          <w:sz w:val="16"/>
          <w:vertAlign w:val="superscript"/>
        </w:rPr>
        <w:t>140</w:t>
      </w:r>
      <w:bookmarkEnd w:id="395"/>
      <w:r>
        <w:fldChar w:fldCharType="begin"/>
      </w:r>
      <w:r>
        <w:instrText>HYPERLINK "https://www.newadvent.org/fathers/0317.htm" \h</w:instrText>
      </w:r>
      <w:r>
        <w:fldChar w:fldCharType="separate"/>
      </w:r>
      <w:r>
        <w:rPr>
          <w:color w:val="0563C1"/>
          <w:sz w:val="18"/>
          <w:u w:val="single"/>
        </w:rPr>
        <w:t>Against Praxeas, New Advent</w:t>
      </w:r>
      <w:r>
        <w:fldChar w:fldCharType="end"/>
      </w:r>
    </w:p>
    <w:p w14:paraId="50C6690D" w14:textId="77777777" w:rsidR="009C7F52" w:rsidRDefault="00731002">
      <w:pPr>
        <w:spacing w:after="80" w:line="240" w:lineRule="auto"/>
      </w:pPr>
      <w:bookmarkStart w:id="396" w:name="cite_141"/>
      <w:r>
        <w:rPr>
          <w:sz w:val="16"/>
          <w:vertAlign w:val="superscript"/>
        </w:rPr>
        <w:t>141</w:t>
      </w:r>
      <w:bookmarkEnd w:id="396"/>
      <w:r>
        <w:fldChar w:fldCharType="begin"/>
      </w:r>
      <w:r>
        <w:instrText>HYPERLINK "https://en.wikipedia.org/wiki/Sabellius" \h</w:instrText>
      </w:r>
      <w:r>
        <w:fldChar w:fldCharType="separate"/>
      </w:r>
      <w:r>
        <w:rPr>
          <w:color w:val="0563C1"/>
          <w:sz w:val="18"/>
          <w:u w:val="single"/>
        </w:rPr>
        <w:t>Sabellius, Wikipedia</w:t>
      </w:r>
      <w:r>
        <w:fldChar w:fldCharType="end"/>
      </w:r>
    </w:p>
    <w:p w14:paraId="66B8FCA6" w14:textId="77777777" w:rsidR="009C7F52" w:rsidRDefault="00731002">
      <w:pPr>
        <w:spacing w:after="80" w:line="240" w:lineRule="auto"/>
      </w:pPr>
      <w:bookmarkStart w:id="397" w:name="cite_142"/>
      <w:r>
        <w:rPr>
          <w:sz w:val="16"/>
          <w:vertAlign w:val="superscript"/>
        </w:rPr>
        <w:t>142</w:t>
      </w:r>
      <w:bookmarkEnd w:id="397"/>
      <w:r>
        <w:fldChar w:fldCharType="begin"/>
      </w:r>
      <w:r>
        <w:instrText>HYPERLINK "https://www.newadvent.org/fathers/0317.htm" \h</w:instrText>
      </w:r>
      <w:r>
        <w:fldChar w:fldCharType="separate"/>
      </w:r>
      <w:r>
        <w:rPr>
          <w:color w:val="0563C1"/>
          <w:sz w:val="18"/>
          <w:u w:val="single"/>
        </w:rPr>
        <w:t>Against Praxeas, New Advent</w:t>
      </w:r>
      <w:r>
        <w:fldChar w:fldCharType="end"/>
      </w:r>
    </w:p>
    <w:p w14:paraId="61C15FD8" w14:textId="77777777" w:rsidR="009C7F52" w:rsidRDefault="00731002">
      <w:pPr>
        <w:spacing w:after="80" w:line="240" w:lineRule="auto"/>
      </w:pPr>
      <w:bookmarkStart w:id="398" w:name="cite_143"/>
      <w:r>
        <w:rPr>
          <w:sz w:val="16"/>
          <w:vertAlign w:val="superscript"/>
        </w:rPr>
        <w:t>143</w:t>
      </w:r>
      <w:bookmarkEnd w:id="398"/>
      <w:r>
        <w:fldChar w:fldCharType="begin"/>
      </w:r>
      <w:r>
        <w:instrText>HYPERLINK "https://en.wikipedia.org/wiki/Arius" \h</w:instrText>
      </w:r>
      <w:r>
        <w:fldChar w:fldCharType="separate"/>
      </w:r>
      <w:r>
        <w:rPr>
          <w:color w:val="0563C1"/>
          <w:sz w:val="18"/>
          <w:u w:val="single"/>
        </w:rPr>
        <w:t>Arius, Wikipedia</w:t>
      </w:r>
      <w:r>
        <w:fldChar w:fldCharType="end"/>
      </w:r>
    </w:p>
    <w:p w14:paraId="5286BEC1" w14:textId="77777777" w:rsidR="009C7F52" w:rsidRDefault="00731002">
      <w:pPr>
        <w:spacing w:after="80" w:line="240" w:lineRule="auto"/>
      </w:pPr>
      <w:bookmarkStart w:id="399" w:name="cite_144"/>
      <w:r>
        <w:rPr>
          <w:sz w:val="16"/>
          <w:vertAlign w:val="superscript"/>
        </w:rPr>
        <w:t>144</w:t>
      </w:r>
      <w:bookmarkEnd w:id="399"/>
      <w:r>
        <w:fldChar w:fldCharType="begin"/>
      </w:r>
      <w:r>
        <w:instrText>HYPERLINK "https://en.wikipedia.org/wiki/Arian_controversy" \h</w:instrText>
      </w:r>
      <w:r>
        <w:fldChar w:fldCharType="separate"/>
      </w:r>
      <w:r>
        <w:rPr>
          <w:color w:val="0563C1"/>
          <w:sz w:val="18"/>
          <w:u w:val="single"/>
        </w:rPr>
        <w:t>Arian controversy, Wikipedia</w:t>
      </w:r>
      <w:r>
        <w:fldChar w:fldCharType="end"/>
      </w:r>
    </w:p>
    <w:p w14:paraId="1650D16D" w14:textId="77777777" w:rsidR="009C7F52" w:rsidRDefault="00731002">
      <w:pPr>
        <w:spacing w:after="80" w:line="240" w:lineRule="auto"/>
      </w:pPr>
      <w:bookmarkStart w:id="400" w:name="cite_145"/>
      <w:r>
        <w:rPr>
          <w:sz w:val="16"/>
          <w:vertAlign w:val="superscript"/>
        </w:rPr>
        <w:t>145</w:t>
      </w:r>
      <w:bookmarkEnd w:id="400"/>
      <w:r>
        <w:fldChar w:fldCharType="begin"/>
      </w:r>
      <w:r>
        <w:instrText>HYPERLINK "https://www.fourthcentury.com/urkunde-4b/" \h</w:instrText>
      </w:r>
      <w:r>
        <w:fldChar w:fldCharType="separate"/>
      </w:r>
      <w:r>
        <w:rPr>
          <w:color w:val="0563C1"/>
          <w:sz w:val="18"/>
          <w:u w:val="single"/>
        </w:rPr>
        <w:t>Letter of Alexander of Alexandria, Fourth Century</w:t>
      </w:r>
      <w:r>
        <w:fldChar w:fldCharType="end"/>
      </w:r>
    </w:p>
    <w:p w14:paraId="357EF7DF" w14:textId="77777777" w:rsidR="009C7F52" w:rsidRDefault="00731002">
      <w:pPr>
        <w:spacing w:after="80" w:line="240" w:lineRule="auto"/>
      </w:pPr>
      <w:bookmarkStart w:id="401" w:name="cite_146"/>
      <w:r>
        <w:rPr>
          <w:sz w:val="16"/>
          <w:vertAlign w:val="superscript"/>
        </w:rPr>
        <w:t>146</w:t>
      </w:r>
      <w:bookmarkEnd w:id="401"/>
      <w:r>
        <w:fldChar w:fldCharType="begin"/>
      </w:r>
      <w:r>
        <w:instrText>HYPERLINK "https://en.wikipedia.org/wiki/Athanasius_of_Alexandria" \h</w:instrText>
      </w:r>
      <w:r>
        <w:fldChar w:fldCharType="separate"/>
      </w:r>
      <w:r>
        <w:rPr>
          <w:color w:val="0563C1"/>
          <w:sz w:val="18"/>
          <w:u w:val="single"/>
        </w:rPr>
        <w:t>Athanasius of Alexandria, Wikipedia</w:t>
      </w:r>
      <w:r>
        <w:fldChar w:fldCharType="end"/>
      </w:r>
    </w:p>
    <w:p w14:paraId="62F80578" w14:textId="77777777" w:rsidR="009C7F52" w:rsidRDefault="00731002">
      <w:pPr>
        <w:spacing w:after="80" w:line="240" w:lineRule="auto"/>
      </w:pPr>
      <w:bookmarkStart w:id="402" w:name="cite_147"/>
      <w:r>
        <w:rPr>
          <w:sz w:val="16"/>
          <w:vertAlign w:val="superscript"/>
        </w:rPr>
        <w:t>147</w:t>
      </w:r>
      <w:bookmarkEnd w:id="402"/>
      <w:r>
        <w:fldChar w:fldCharType="begin"/>
      </w:r>
      <w:r>
        <w:instrText>HYPERLINK "https://en.wikipedia.org/wiki/Arian_controversy" \h</w:instrText>
      </w:r>
      <w:r>
        <w:fldChar w:fldCharType="separate"/>
      </w:r>
      <w:r>
        <w:rPr>
          <w:color w:val="0563C1"/>
          <w:sz w:val="18"/>
          <w:u w:val="single"/>
        </w:rPr>
        <w:t>Arian controversy, Wikipedia</w:t>
      </w:r>
      <w:r>
        <w:fldChar w:fldCharType="end"/>
      </w:r>
    </w:p>
    <w:p w14:paraId="5FF6B62B" w14:textId="77777777" w:rsidR="009C7F52" w:rsidRDefault="00731002">
      <w:pPr>
        <w:spacing w:after="80" w:line="240" w:lineRule="auto"/>
      </w:pPr>
      <w:bookmarkStart w:id="403" w:name="cite_148"/>
      <w:r>
        <w:rPr>
          <w:sz w:val="16"/>
          <w:vertAlign w:val="superscript"/>
        </w:rPr>
        <w:t>148</w:t>
      </w:r>
      <w:bookmarkEnd w:id="403"/>
      <w:r>
        <w:fldChar w:fldCharType="begin"/>
      </w:r>
      <w:r>
        <w:instrText>HYPERLINK "https://en.wikipedia.org/wiki/Arian_controversy" \h</w:instrText>
      </w:r>
      <w:r>
        <w:fldChar w:fldCharType="separate"/>
      </w:r>
      <w:r>
        <w:rPr>
          <w:color w:val="0563C1"/>
          <w:sz w:val="18"/>
          <w:u w:val="single"/>
        </w:rPr>
        <w:t>Arian controversy, Wikipedia</w:t>
      </w:r>
      <w:r>
        <w:fldChar w:fldCharType="end"/>
      </w:r>
    </w:p>
    <w:p w14:paraId="16B766D7" w14:textId="77777777" w:rsidR="009C7F52" w:rsidRDefault="00731002">
      <w:pPr>
        <w:spacing w:after="80" w:line="240" w:lineRule="auto"/>
      </w:pPr>
      <w:bookmarkStart w:id="404" w:name="cite_149"/>
      <w:r>
        <w:rPr>
          <w:sz w:val="16"/>
          <w:vertAlign w:val="superscript"/>
        </w:rPr>
        <w:t>149</w:t>
      </w:r>
      <w:bookmarkEnd w:id="404"/>
      <w:r>
        <w:fldChar w:fldCharType="begin"/>
      </w:r>
      <w:r>
        <w:instrText>HYPERLINK "https://en.wikipedia.org/wiki/First_Council_of_Nicaea" \h</w:instrText>
      </w:r>
      <w:r>
        <w:fldChar w:fldCharType="separate"/>
      </w:r>
      <w:r>
        <w:rPr>
          <w:color w:val="0563C1"/>
          <w:sz w:val="18"/>
          <w:u w:val="single"/>
        </w:rPr>
        <w:t>First Council of Nicaea, Wikipedia</w:t>
      </w:r>
      <w:r>
        <w:fldChar w:fldCharType="end"/>
      </w:r>
    </w:p>
    <w:p w14:paraId="14F10A12" w14:textId="77777777" w:rsidR="009C7F52" w:rsidRDefault="00731002">
      <w:pPr>
        <w:spacing w:after="80" w:line="240" w:lineRule="auto"/>
      </w:pPr>
      <w:bookmarkStart w:id="405" w:name="cite_150"/>
      <w:r>
        <w:rPr>
          <w:sz w:val="16"/>
          <w:vertAlign w:val="superscript"/>
        </w:rPr>
        <w:t>150</w:t>
      </w:r>
      <w:bookmarkEnd w:id="405"/>
      <w:r>
        <w:fldChar w:fldCharType="begin"/>
      </w:r>
      <w:r>
        <w:instrText>HYPERLINK "https://en.wikipedia.org/wiki/First_Council_of_Nicaea" \h</w:instrText>
      </w:r>
      <w:r>
        <w:fldChar w:fldCharType="separate"/>
      </w:r>
      <w:r>
        <w:rPr>
          <w:color w:val="0563C1"/>
          <w:sz w:val="18"/>
          <w:u w:val="single"/>
        </w:rPr>
        <w:t>First Council of Nicaea, Wikipedia</w:t>
      </w:r>
      <w:r>
        <w:fldChar w:fldCharType="end"/>
      </w:r>
    </w:p>
    <w:p w14:paraId="7E1BFE58" w14:textId="77777777" w:rsidR="009C7F52" w:rsidRDefault="00731002">
      <w:pPr>
        <w:spacing w:after="80" w:line="240" w:lineRule="auto"/>
      </w:pPr>
      <w:bookmarkStart w:id="406" w:name="cite_151"/>
      <w:r>
        <w:rPr>
          <w:sz w:val="16"/>
          <w:vertAlign w:val="superscript"/>
        </w:rPr>
        <w:t>151</w:t>
      </w:r>
      <w:bookmarkEnd w:id="406"/>
      <w:r>
        <w:fldChar w:fldCharType="begin"/>
      </w:r>
      <w:r>
        <w:instrText>HYPERLINK "https://www.thecollector.com/emperor-constantine-at-council-of-nicaea/" \h</w:instrText>
      </w:r>
      <w:r>
        <w:fldChar w:fldCharType="separate"/>
      </w:r>
      <w:r>
        <w:rPr>
          <w:color w:val="0563C1"/>
          <w:sz w:val="18"/>
          <w:u w:val="single"/>
        </w:rPr>
        <w:t>What Did Emperor Constantine Do at the Council of Nicaea?, TheCollector</w:t>
      </w:r>
      <w:r>
        <w:fldChar w:fldCharType="end"/>
      </w:r>
    </w:p>
    <w:p w14:paraId="12F983D0" w14:textId="77777777" w:rsidR="009C7F52" w:rsidRDefault="00731002">
      <w:pPr>
        <w:spacing w:after="80" w:line="240" w:lineRule="auto"/>
      </w:pPr>
      <w:bookmarkStart w:id="407" w:name="cite_152"/>
      <w:r>
        <w:rPr>
          <w:sz w:val="16"/>
          <w:vertAlign w:val="superscript"/>
        </w:rPr>
        <w:t>152</w:t>
      </w:r>
      <w:bookmarkEnd w:id="407"/>
      <w:r>
        <w:fldChar w:fldCharType="begin"/>
      </w:r>
      <w:r>
        <w:instrText>HYPERLINK "https://www.fourthcentury.com/nicaea-from-the-sources-7-eusebius-of-caesareas-creed-and-letter/" \h</w:instrText>
      </w:r>
      <w:r>
        <w:fldChar w:fldCharType="separate"/>
      </w:r>
      <w:r>
        <w:rPr>
          <w:color w:val="0563C1"/>
          <w:sz w:val="18"/>
          <w:u w:val="single"/>
        </w:rPr>
        <w:t>Eusebius of Caesarea’s Creed and Letter, Fourth Century</w:t>
      </w:r>
      <w:r>
        <w:fldChar w:fldCharType="end"/>
      </w:r>
    </w:p>
    <w:p w14:paraId="09427033" w14:textId="77777777" w:rsidR="009C7F52" w:rsidRDefault="00731002">
      <w:pPr>
        <w:spacing w:after="80" w:line="240" w:lineRule="auto"/>
      </w:pPr>
      <w:bookmarkStart w:id="408" w:name="cite_153"/>
      <w:r>
        <w:rPr>
          <w:sz w:val="16"/>
          <w:vertAlign w:val="superscript"/>
        </w:rPr>
        <w:t>153</w:t>
      </w:r>
      <w:bookmarkEnd w:id="408"/>
      <w:r>
        <w:fldChar w:fldCharType="begin"/>
      </w:r>
      <w:r>
        <w:instrText>HYPERLINK "https://www.earlychurchtexts.com/public/creed_of_nicaea_325.htm" \h</w:instrText>
      </w:r>
      <w:r>
        <w:fldChar w:fldCharType="separate"/>
      </w:r>
      <w:r>
        <w:rPr>
          <w:color w:val="0563C1"/>
          <w:sz w:val="18"/>
          <w:u w:val="single"/>
        </w:rPr>
        <w:t>Creed of Nicaea, 325, Early Church Texts</w:t>
      </w:r>
      <w:r>
        <w:fldChar w:fldCharType="end"/>
      </w:r>
    </w:p>
    <w:p w14:paraId="54D6F964" w14:textId="77777777" w:rsidR="009C7F52" w:rsidRDefault="00731002">
      <w:pPr>
        <w:spacing w:after="80" w:line="240" w:lineRule="auto"/>
      </w:pPr>
      <w:bookmarkStart w:id="409" w:name="cite_154"/>
      <w:r>
        <w:rPr>
          <w:sz w:val="16"/>
          <w:vertAlign w:val="superscript"/>
        </w:rPr>
        <w:t>154</w:t>
      </w:r>
      <w:bookmarkEnd w:id="409"/>
      <w:r>
        <w:fldChar w:fldCharType="begin"/>
      </w:r>
      <w:r>
        <w:instrText>HYPERLINK "https://www.booksataglance.com/book-summaries/forgotten-trinity-james-r-white/" \h</w:instrText>
      </w:r>
      <w:r>
        <w:fldChar w:fldCharType="separate"/>
      </w:r>
      <w:r>
        <w:rPr>
          <w:color w:val="0563C1"/>
          <w:sz w:val="18"/>
          <w:u w:val="single"/>
        </w:rPr>
        <w:t>James R. White, The Forgotten Trinity, quoted in Books at a Glance</w:t>
      </w:r>
      <w:r>
        <w:fldChar w:fldCharType="end"/>
      </w:r>
    </w:p>
    <w:p w14:paraId="562A5941" w14:textId="77777777" w:rsidR="009C7F52" w:rsidRDefault="00731002">
      <w:pPr>
        <w:spacing w:after="80" w:line="240" w:lineRule="auto"/>
      </w:pPr>
      <w:bookmarkStart w:id="410" w:name="cite_155"/>
      <w:r>
        <w:rPr>
          <w:sz w:val="16"/>
          <w:vertAlign w:val="superscript"/>
        </w:rPr>
        <w:t>155</w:t>
      </w:r>
      <w:bookmarkEnd w:id="410"/>
      <w:r>
        <w:fldChar w:fldCharType="begin"/>
      </w:r>
      <w:r>
        <w:instrText>HYPERLINK "https://en.wikipedia.org/wiki/First_Council_of_Nicaea" \h</w:instrText>
      </w:r>
      <w:r>
        <w:fldChar w:fldCharType="separate"/>
      </w:r>
      <w:r>
        <w:rPr>
          <w:color w:val="0563C1"/>
          <w:sz w:val="18"/>
          <w:u w:val="single"/>
        </w:rPr>
        <w:t>First Council of Nicaea, Wikipedia</w:t>
      </w:r>
      <w:r>
        <w:fldChar w:fldCharType="end"/>
      </w:r>
    </w:p>
    <w:p w14:paraId="31AEE9FB" w14:textId="77777777" w:rsidR="009C7F52" w:rsidRDefault="00731002">
      <w:pPr>
        <w:spacing w:after="80" w:line="240" w:lineRule="auto"/>
      </w:pPr>
      <w:bookmarkStart w:id="411" w:name="cite_156"/>
      <w:r>
        <w:rPr>
          <w:sz w:val="16"/>
          <w:vertAlign w:val="superscript"/>
        </w:rPr>
        <w:t>156</w:t>
      </w:r>
      <w:bookmarkEnd w:id="411"/>
      <w:r>
        <w:fldChar w:fldCharType="begin"/>
      </w:r>
      <w:r>
        <w:instrText>HYPERLINK "https://en.wikipedia.org/wiki/First_Council_of_Nicaea" \h</w:instrText>
      </w:r>
      <w:r>
        <w:fldChar w:fldCharType="separate"/>
      </w:r>
      <w:r>
        <w:rPr>
          <w:color w:val="0563C1"/>
          <w:sz w:val="18"/>
          <w:u w:val="single"/>
        </w:rPr>
        <w:t>First Council of Nicaea, Wikipedia</w:t>
      </w:r>
      <w:r>
        <w:fldChar w:fldCharType="end"/>
      </w:r>
    </w:p>
    <w:p w14:paraId="1E531415" w14:textId="77777777" w:rsidR="009C7F52" w:rsidRDefault="00731002">
      <w:pPr>
        <w:spacing w:after="80" w:line="240" w:lineRule="auto"/>
      </w:pPr>
      <w:bookmarkStart w:id="412" w:name="cite_157"/>
      <w:r>
        <w:rPr>
          <w:sz w:val="16"/>
          <w:vertAlign w:val="superscript"/>
        </w:rPr>
        <w:t>157</w:t>
      </w:r>
      <w:bookmarkEnd w:id="412"/>
      <w:r>
        <w:fldChar w:fldCharType="begin"/>
      </w:r>
      <w:r>
        <w:instrText>HYPERLINK "https://en.wikipedia.org/wiki/Basil_of_Caesarea" \h</w:instrText>
      </w:r>
      <w:r>
        <w:fldChar w:fldCharType="separate"/>
      </w:r>
      <w:r>
        <w:rPr>
          <w:color w:val="0563C1"/>
          <w:sz w:val="18"/>
          <w:u w:val="single"/>
        </w:rPr>
        <w:t>Basil of Caesarea, Wikipedia</w:t>
      </w:r>
      <w:r>
        <w:fldChar w:fldCharType="end"/>
      </w:r>
    </w:p>
    <w:p w14:paraId="7436318F" w14:textId="77777777" w:rsidR="009C7F52" w:rsidRDefault="00731002">
      <w:pPr>
        <w:spacing w:after="80" w:line="240" w:lineRule="auto"/>
      </w:pPr>
      <w:bookmarkStart w:id="413" w:name="cite_158"/>
      <w:r>
        <w:rPr>
          <w:sz w:val="16"/>
          <w:vertAlign w:val="superscript"/>
        </w:rPr>
        <w:t>158</w:t>
      </w:r>
      <w:bookmarkEnd w:id="413"/>
      <w:r>
        <w:fldChar w:fldCharType="begin"/>
      </w:r>
      <w:r>
        <w:instrText>HYPERLINK "https://www.newadvent.org/fathers/3203.htm" \h</w:instrText>
      </w:r>
      <w:r>
        <w:fldChar w:fldCharType="separate"/>
      </w:r>
      <w:r>
        <w:rPr>
          <w:color w:val="0563C1"/>
          <w:sz w:val="18"/>
          <w:u w:val="single"/>
        </w:rPr>
        <w:t>De Spiritu Sancto, New Advent</w:t>
      </w:r>
      <w:r>
        <w:fldChar w:fldCharType="end"/>
      </w:r>
    </w:p>
    <w:p w14:paraId="5E18232C" w14:textId="77777777" w:rsidR="009C7F52" w:rsidRDefault="00731002">
      <w:pPr>
        <w:spacing w:after="80" w:line="240" w:lineRule="auto"/>
      </w:pPr>
      <w:bookmarkStart w:id="414" w:name="cite_159"/>
      <w:r>
        <w:rPr>
          <w:sz w:val="16"/>
          <w:vertAlign w:val="superscript"/>
        </w:rPr>
        <w:t>159</w:t>
      </w:r>
      <w:bookmarkEnd w:id="414"/>
      <w:r>
        <w:fldChar w:fldCharType="begin"/>
      </w:r>
      <w:r>
        <w:instrText>HYPERLINK "https://www.newadvent.org/fathers/310231.htm" \h</w:instrText>
      </w:r>
      <w:r>
        <w:fldChar w:fldCharType="separate"/>
      </w:r>
      <w:r>
        <w:rPr>
          <w:color w:val="0563C1"/>
          <w:sz w:val="18"/>
          <w:u w:val="single"/>
        </w:rPr>
        <w:t>Oration 31, New Advent</w:t>
      </w:r>
      <w:r>
        <w:fldChar w:fldCharType="end"/>
      </w:r>
    </w:p>
    <w:p w14:paraId="5F0A424C" w14:textId="77777777" w:rsidR="009C7F52" w:rsidRDefault="00731002">
      <w:pPr>
        <w:spacing w:after="80" w:line="240" w:lineRule="auto"/>
      </w:pPr>
      <w:bookmarkStart w:id="415" w:name="cite_160"/>
      <w:r>
        <w:rPr>
          <w:sz w:val="16"/>
          <w:vertAlign w:val="superscript"/>
        </w:rPr>
        <w:t>160</w:t>
      </w:r>
      <w:bookmarkEnd w:id="415"/>
      <w:r>
        <w:fldChar w:fldCharType="begin"/>
      </w:r>
      <w:r>
        <w:instrText>HYPERLINK "https://en.wikipedia.org/wiki/Gregory_of_Nazianzus" \h</w:instrText>
      </w:r>
      <w:r>
        <w:fldChar w:fldCharType="separate"/>
      </w:r>
      <w:r>
        <w:rPr>
          <w:color w:val="0563C1"/>
          <w:sz w:val="18"/>
          <w:u w:val="single"/>
        </w:rPr>
        <w:t>Gregory of Nazianzus, Wikipedia</w:t>
      </w:r>
      <w:r>
        <w:fldChar w:fldCharType="end"/>
      </w:r>
    </w:p>
    <w:p w14:paraId="279E4C5B" w14:textId="77777777" w:rsidR="009C7F52" w:rsidRDefault="00731002">
      <w:pPr>
        <w:spacing w:after="80" w:line="240" w:lineRule="auto"/>
      </w:pPr>
      <w:bookmarkStart w:id="416" w:name="cite_161"/>
      <w:r>
        <w:rPr>
          <w:sz w:val="16"/>
          <w:vertAlign w:val="superscript"/>
        </w:rPr>
        <w:t>161</w:t>
      </w:r>
      <w:bookmarkEnd w:id="416"/>
      <w:r>
        <w:fldChar w:fldCharType="begin"/>
      </w:r>
      <w:r>
        <w:instrText>HYPERLINK "https://en.wikipedia.org/wiki/Gregory_of_Nyssa" \h</w:instrText>
      </w:r>
      <w:r>
        <w:fldChar w:fldCharType="separate"/>
      </w:r>
      <w:r>
        <w:rPr>
          <w:color w:val="0563C1"/>
          <w:sz w:val="18"/>
          <w:u w:val="single"/>
        </w:rPr>
        <w:t>Gregory of Nyssa, Wikipedia</w:t>
      </w:r>
      <w:r>
        <w:fldChar w:fldCharType="end"/>
      </w:r>
    </w:p>
    <w:p w14:paraId="7EE4045D" w14:textId="77777777" w:rsidR="009C7F52" w:rsidRDefault="00731002">
      <w:pPr>
        <w:spacing w:after="80" w:line="240" w:lineRule="auto"/>
      </w:pPr>
      <w:bookmarkStart w:id="417" w:name="cite_162"/>
      <w:r>
        <w:rPr>
          <w:sz w:val="16"/>
          <w:vertAlign w:val="superscript"/>
        </w:rPr>
        <w:t>162</w:t>
      </w:r>
      <w:bookmarkEnd w:id="417"/>
      <w:r>
        <w:fldChar w:fldCharType="begin"/>
      </w:r>
      <w:r>
        <w:instrText>HYPERLINK "https://en.wikipedia.org/wiki/Gregory_of_Nyssa" \h</w:instrText>
      </w:r>
      <w:r>
        <w:fldChar w:fldCharType="separate"/>
      </w:r>
      <w:r>
        <w:rPr>
          <w:color w:val="0563C1"/>
          <w:sz w:val="18"/>
          <w:u w:val="single"/>
        </w:rPr>
        <w:t>Gregory of Nyssa, Wikipedia</w:t>
      </w:r>
      <w:r>
        <w:fldChar w:fldCharType="end"/>
      </w:r>
    </w:p>
    <w:p w14:paraId="0C8864AA" w14:textId="77777777" w:rsidR="009C7F52" w:rsidRDefault="00731002">
      <w:pPr>
        <w:spacing w:after="80" w:line="240" w:lineRule="auto"/>
      </w:pPr>
      <w:bookmarkStart w:id="418" w:name="cite_163"/>
      <w:r>
        <w:rPr>
          <w:sz w:val="16"/>
          <w:vertAlign w:val="superscript"/>
        </w:rPr>
        <w:t>163</w:t>
      </w:r>
      <w:bookmarkEnd w:id="418"/>
      <w:r>
        <w:fldChar w:fldCharType="begin"/>
      </w:r>
      <w:r>
        <w:instrText>HYPERLINK "https://www.fourthcentury.com/constantinople-381-creed-greek-and-english/" \h</w:instrText>
      </w:r>
      <w:r>
        <w:fldChar w:fldCharType="separate"/>
      </w:r>
      <w:r>
        <w:rPr>
          <w:color w:val="0563C1"/>
          <w:sz w:val="18"/>
          <w:u w:val="single"/>
        </w:rPr>
        <w:t>Niceno-Constantinopolitan Creed, 381, Fourth Century</w:t>
      </w:r>
      <w:r>
        <w:fldChar w:fldCharType="end"/>
      </w:r>
    </w:p>
    <w:p w14:paraId="678A916A" w14:textId="77777777" w:rsidR="009C7F52" w:rsidRDefault="00731002">
      <w:pPr>
        <w:spacing w:after="80" w:line="240" w:lineRule="auto"/>
      </w:pPr>
      <w:bookmarkStart w:id="419" w:name="cite_164"/>
      <w:r>
        <w:rPr>
          <w:sz w:val="16"/>
          <w:vertAlign w:val="superscript"/>
        </w:rPr>
        <w:t>164</w:t>
      </w:r>
      <w:bookmarkEnd w:id="419"/>
      <w:r>
        <w:fldChar w:fldCharType="begin"/>
      </w:r>
      <w:r>
        <w:instrText>HYPERLINK "https://www.fourthcentury.com/constantinople-381-creed-greek-and-english/" \h</w:instrText>
      </w:r>
      <w:r>
        <w:fldChar w:fldCharType="separate"/>
      </w:r>
      <w:r>
        <w:rPr>
          <w:color w:val="0563C1"/>
          <w:sz w:val="18"/>
          <w:u w:val="single"/>
        </w:rPr>
        <w:t>Niceno-Constantinopolitan Creed, 381, Fourth Century</w:t>
      </w:r>
      <w:r>
        <w:fldChar w:fldCharType="end"/>
      </w:r>
    </w:p>
    <w:p w14:paraId="49F99089" w14:textId="77777777" w:rsidR="009C7F52" w:rsidRDefault="00731002">
      <w:pPr>
        <w:spacing w:after="80" w:line="240" w:lineRule="auto"/>
      </w:pPr>
      <w:bookmarkStart w:id="420" w:name="cite_165"/>
      <w:r>
        <w:rPr>
          <w:sz w:val="16"/>
          <w:vertAlign w:val="superscript"/>
        </w:rPr>
        <w:t>165</w:t>
      </w:r>
      <w:bookmarkEnd w:id="420"/>
      <w:r>
        <w:fldChar w:fldCharType="begin"/>
      </w:r>
      <w:r>
        <w:instrText>HYPERLINK "https://www.ccel.org/ccel/schaff/npnf103.html" \h</w:instrText>
      </w:r>
      <w:r>
        <w:fldChar w:fldCharType="separate"/>
      </w:r>
      <w:r>
        <w:rPr>
          <w:color w:val="0563C1"/>
          <w:sz w:val="18"/>
          <w:u w:val="single"/>
        </w:rPr>
        <w:t>On the Trinity, Book VII, Logos Library</w:t>
      </w:r>
      <w:r>
        <w:fldChar w:fldCharType="end"/>
      </w:r>
    </w:p>
    <w:p w14:paraId="062AA95F" w14:textId="77777777" w:rsidR="009C7F52" w:rsidRDefault="00731002">
      <w:pPr>
        <w:spacing w:after="80" w:line="240" w:lineRule="auto"/>
      </w:pPr>
      <w:bookmarkStart w:id="421" w:name="cite_166"/>
      <w:r>
        <w:rPr>
          <w:sz w:val="16"/>
          <w:vertAlign w:val="superscript"/>
        </w:rPr>
        <w:t>166</w:t>
      </w:r>
      <w:bookmarkEnd w:id="421"/>
      <w:r>
        <w:fldChar w:fldCharType="begin"/>
      </w:r>
      <w:r>
        <w:instrText>HYPERLINK "https://www.wyattgraham.com/p/augustines-psychological-image-of" \h</w:instrText>
      </w:r>
      <w:r>
        <w:fldChar w:fldCharType="separate"/>
      </w:r>
      <w:r>
        <w:rPr>
          <w:color w:val="0563C1"/>
          <w:sz w:val="18"/>
          <w:u w:val="single"/>
        </w:rPr>
        <w:t>Augustine’s Psychological Image of the Trinity, Wyatt Graham</w:t>
      </w:r>
      <w:r>
        <w:fldChar w:fldCharType="end"/>
      </w:r>
    </w:p>
    <w:p w14:paraId="2DB04D92" w14:textId="77777777" w:rsidR="009C7F52" w:rsidRDefault="00731002">
      <w:pPr>
        <w:spacing w:after="80" w:line="240" w:lineRule="auto"/>
      </w:pPr>
      <w:bookmarkStart w:id="422" w:name="cite_167"/>
      <w:r>
        <w:rPr>
          <w:sz w:val="16"/>
          <w:vertAlign w:val="superscript"/>
        </w:rPr>
        <w:t>167</w:t>
      </w:r>
      <w:bookmarkEnd w:id="422"/>
      <w:r>
        <w:rPr>
          <w:sz w:val="18"/>
        </w:rPr>
        <w:t>Wikipedia, “Apollinaris of Laodicea”; Encyclopaedia Britannica, “Apollinaris the Younger”</w:t>
      </w:r>
      <w:hyperlink r:id="rId26">
        <w:r>
          <w:rPr>
            <w:color w:val="0563C1"/>
            <w:sz w:val="18"/>
            <w:u w:val="single"/>
          </w:rPr>
          <w:t>[Source 1]</w:t>
        </w:r>
      </w:hyperlink>
      <w:hyperlink r:id="rId27">
        <w:r>
          <w:rPr>
            <w:color w:val="0563C1"/>
            <w:sz w:val="18"/>
            <w:u w:val="single"/>
          </w:rPr>
          <w:t>[Source 2]</w:t>
        </w:r>
      </w:hyperlink>
    </w:p>
    <w:p w14:paraId="5F9CAC62" w14:textId="77777777" w:rsidR="009C7F52" w:rsidRDefault="00731002">
      <w:pPr>
        <w:spacing w:after="80" w:line="240" w:lineRule="auto"/>
      </w:pPr>
      <w:bookmarkStart w:id="423" w:name="cite_168"/>
      <w:r>
        <w:rPr>
          <w:sz w:val="16"/>
          <w:vertAlign w:val="superscript"/>
        </w:rPr>
        <w:t>168</w:t>
      </w:r>
      <w:bookmarkEnd w:id="423"/>
      <w:r>
        <w:fldChar w:fldCharType="begin"/>
      </w:r>
      <w:r>
        <w:instrText>HYPERLINK "https://en.wikipedia.org/wiki/Apollinarism" \h</w:instrText>
      </w:r>
      <w:r>
        <w:fldChar w:fldCharType="separate"/>
      </w:r>
      <w:r>
        <w:rPr>
          <w:color w:val="0563C1"/>
          <w:sz w:val="18"/>
          <w:u w:val="single"/>
        </w:rPr>
        <w:t>Wikipedia, “Apollinarism”</w:t>
      </w:r>
      <w:r>
        <w:fldChar w:fldCharType="end"/>
      </w:r>
    </w:p>
    <w:p w14:paraId="188E1D58" w14:textId="77777777" w:rsidR="009C7F52" w:rsidRDefault="00731002">
      <w:pPr>
        <w:spacing w:after="80" w:line="240" w:lineRule="auto"/>
      </w:pPr>
      <w:bookmarkStart w:id="424" w:name="cite_169"/>
      <w:r>
        <w:rPr>
          <w:sz w:val="16"/>
          <w:vertAlign w:val="superscript"/>
        </w:rPr>
        <w:t>169</w:t>
      </w:r>
      <w:bookmarkEnd w:id="424"/>
      <w:r>
        <w:fldChar w:fldCharType="begin"/>
      </w:r>
      <w:r>
        <w:instrText>HYPERLINK "https://en.wikipedia.org/wiki/Apollinarism" \h</w:instrText>
      </w:r>
      <w:r>
        <w:fldChar w:fldCharType="separate"/>
      </w:r>
      <w:r>
        <w:rPr>
          <w:color w:val="0563C1"/>
          <w:sz w:val="18"/>
          <w:u w:val="single"/>
        </w:rPr>
        <w:t>Wikipedia, “Apollinarism”</w:t>
      </w:r>
      <w:r>
        <w:fldChar w:fldCharType="end"/>
      </w:r>
    </w:p>
    <w:p w14:paraId="1F088878" w14:textId="77777777" w:rsidR="009C7F52" w:rsidRDefault="00731002">
      <w:pPr>
        <w:spacing w:after="80" w:line="240" w:lineRule="auto"/>
      </w:pPr>
      <w:bookmarkStart w:id="425" w:name="cite_170"/>
      <w:r>
        <w:rPr>
          <w:sz w:val="16"/>
          <w:vertAlign w:val="superscript"/>
        </w:rPr>
        <w:t>170</w:t>
      </w:r>
      <w:bookmarkEnd w:id="425"/>
      <w:r>
        <w:fldChar w:fldCharType="begin"/>
      </w:r>
      <w:r>
        <w:instrText>HYPERLINK "https://www.anastasis.org.uk/ep101.htm" \h</w:instrText>
      </w:r>
      <w:r>
        <w:fldChar w:fldCharType="separate"/>
      </w:r>
      <w:r>
        <w:rPr>
          <w:color w:val="0563C1"/>
          <w:sz w:val="18"/>
          <w:u w:val="single"/>
        </w:rPr>
        <w:t>Anastasis Center, Gregory of Nazianzus, Epistle 101 to Cledonius</w:t>
      </w:r>
      <w:r>
        <w:fldChar w:fldCharType="end"/>
      </w:r>
    </w:p>
    <w:p w14:paraId="256832B8" w14:textId="77777777" w:rsidR="009C7F52" w:rsidRDefault="00731002">
      <w:pPr>
        <w:spacing w:after="80" w:line="240" w:lineRule="auto"/>
      </w:pPr>
      <w:bookmarkStart w:id="426" w:name="cite_171"/>
      <w:r>
        <w:rPr>
          <w:sz w:val="16"/>
          <w:vertAlign w:val="superscript"/>
        </w:rPr>
        <w:t>171</w:t>
      </w:r>
      <w:bookmarkEnd w:id="426"/>
      <w:r>
        <w:fldChar w:fldCharType="begin"/>
      </w:r>
      <w:r>
        <w:instrText>HYPERLINK "https://en.wikipedia.org/wiki/Apollinarism" \h</w:instrText>
      </w:r>
      <w:r>
        <w:fldChar w:fldCharType="separate"/>
      </w:r>
      <w:r>
        <w:rPr>
          <w:color w:val="0563C1"/>
          <w:sz w:val="18"/>
          <w:u w:val="single"/>
        </w:rPr>
        <w:t>Wikipedia, “Apollinarism”</w:t>
      </w:r>
      <w:r>
        <w:fldChar w:fldCharType="end"/>
      </w:r>
    </w:p>
    <w:p w14:paraId="296E8F7E" w14:textId="77777777" w:rsidR="009C7F52" w:rsidRDefault="00731002">
      <w:pPr>
        <w:spacing w:after="80" w:line="240" w:lineRule="auto"/>
      </w:pPr>
      <w:bookmarkStart w:id="427" w:name="cite_172"/>
      <w:r>
        <w:rPr>
          <w:sz w:val="16"/>
          <w:vertAlign w:val="superscript"/>
        </w:rPr>
        <w:t>172</w:t>
      </w:r>
      <w:bookmarkEnd w:id="427"/>
      <w:r>
        <w:fldChar w:fldCharType="begin"/>
      </w:r>
      <w:r>
        <w:instrText>HYPERLINK "https://en.wikipedia.org/wiki/Apollinarism" \h</w:instrText>
      </w:r>
      <w:r>
        <w:fldChar w:fldCharType="separate"/>
      </w:r>
      <w:r>
        <w:rPr>
          <w:color w:val="0563C1"/>
          <w:sz w:val="18"/>
          <w:u w:val="single"/>
        </w:rPr>
        <w:t>Wikipedia, “Apollinarism”</w:t>
      </w:r>
      <w:r>
        <w:fldChar w:fldCharType="end"/>
      </w:r>
    </w:p>
    <w:p w14:paraId="118395AA" w14:textId="77777777" w:rsidR="009C7F52" w:rsidRDefault="00731002">
      <w:pPr>
        <w:spacing w:after="80" w:line="240" w:lineRule="auto"/>
      </w:pPr>
      <w:bookmarkStart w:id="428" w:name="cite_173"/>
      <w:r>
        <w:rPr>
          <w:sz w:val="16"/>
          <w:vertAlign w:val="superscript"/>
        </w:rPr>
        <w:t>173</w:t>
      </w:r>
      <w:bookmarkEnd w:id="428"/>
      <w:r>
        <w:fldChar w:fldCharType="begin"/>
      </w:r>
      <w:r>
        <w:instrText>HYPERLINK "https://en.wikipedia.org/wiki/Apollinaris_of_Laodicea" \h</w:instrText>
      </w:r>
      <w:r>
        <w:fldChar w:fldCharType="separate"/>
      </w:r>
      <w:r>
        <w:rPr>
          <w:color w:val="0563C1"/>
          <w:sz w:val="18"/>
          <w:u w:val="single"/>
        </w:rPr>
        <w:t>Wikipedia, “Apollinaris of Laodicea”</w:t>
      </w:r>
      <w:r>
        <w:fldChar w:fldCharType="end"/>
      </w:r>
    </w:p>
    <w:p w14:paraId="001159C7" w14:textId="77777777" w:rsidR="009C7F52" w:rsidRDefault="00731002">
      <w:pPr>
        <w:spacing w:after="80" w:line="240" w:lineRule="auto"/>
      </w:pPr>
      <w:bookmarkStart w:id="429" w:name="cite_174"/>
      <w:r>
        <w:rPr>
          <w:sz w:val="16"/>
          <w:vertAlign w:val="superscript"/>
        </w:rPr>
        <w:t>174</w:t>
      </w:r>
      <w:bookmarkEnd w:id="429"/>
      <w:r>
        <w:fldChar w:fldCharType="begin"/>
      </w:r>
      <w:r>
        <w:instrText>HYPERLINK "https://en.wikipedia.org/wiki/Apollinaris_of_Laodicea" \h</w:instrText>
      </w:r>
      <w:r>
        <w:fldChar w:fldCharType="separate"/>
      </w:r>
      <w:r>
        <w:rPr>
          <w:color w:val="0563C1"/>
          <w:sz w:val="18"/>
          <w:u w:val="single"/>
        </w:rPr>
        <w:t>Wikipedia, “Apollinaris of Laodicea”</w:t>
      </w:r>
      <w:r>
        <w:fldChar w:fldCharType="end"/>
      </w:r>
    </w:p>
    <w:p w14:paraId="34ADD18E" w14:textId="77777777" w:rsidR="009C7F52" w:rsidRDefault="00731002">
      <w:pPr>
        <w:spacing w:after="80" w:line="240" w:lineRule="auto"/>
      </w:pPr>
      <w:bookmarkStart w:id="430" w:name="cite_175"/>
      <w:r>
        <w:rPr>
          <w:sz w:val="16"/>
          <w:vertAlign w:val="superscript"/>
        </w:rPr>
        <w:t>175</w:t>
      </w:r>
      <w:bookmarkEnd w:id="430"/>
      <w:r>
        <w:fldChar w:fldCharType="begin"/>
      </w:r>
      <w:r>
        <w:instrText>HYPERLINK "https://en.wikipedia.org/wiki/Apollinaris_of_Laodicea" \h</w:instrText>
      </w:r>
      <w:r>
        <w:fldChar w:fldCharType="separate"/>
      </w:r>
      <w:r>
        <w:rPr>
          <w:color w:val="0563C1"/>
          <w:sz w:val="18"/>
          <w:u w:val="single"/>
        </w:rPr>
        <w:t>Wikipedia, “Apollinaris of Laodicea”</w:t>
      </w:r>
      <w:r>
        <w:fldChar w:fldCharType="end"/>
      </w:r>
    </w:p>
    <w:p w14:paraId="0B4CF926" w14:textId="77777777" w:rsidR="009C7F52" w:rsidRDefault="00731002">
      <w:pPr>
        <w:spacing w:after="80" w:line="240" w:lineRule="auto"/>
      </w:pPr>
      <w:bookmarkStart w:id="431" w:name="cite_176"/>
      <w:r>
        <w:rPr>
          <w:sz w:val="16"/>
          <w:vertAlign w:val="superscript"/>
        </w:rPr>
        <w:t>176</w:t>
      </w:r>
      <w:bookmarkEnd w:id="431"/>
      <w:r>
        <w:rPr>
          <w:sz w:val="18"/>
        </w:rPr>
        <w:t>Wikipedia, “Nestorius”; Wikipedia, “Council of Ephesus”</w:t>
      </w:r>
      <w:hyperlink r:id="rId28">
        <w:r>
          <w:rPr>
            <w:color w:val="0563C1"/>
            <w:sz w:val="18"/>
            <w:u w:val="single"/>
          </w:rPr>
          <w:t>[Source 1]</w:t>
        </w:r>
      </w:hyperlink>
      <w:hyperlink r:id="rId29">
        <w:r>
          <w:rPr>
            <w:color w:val="0563C1"/>
            <w:sz w:val="18"/>
            <w:u w:val="single"/>
          </w:rPr>
          <w:t>[Source 2]</w:t>
        </w:r>
      </w:hyperlink>
    </w:p>
    <w:p w14:paraId="22FEEFA3" w14:textId="77777777" w:rsidR="009C7F52" w:rsidRDefault="00731002">
      <w:pPr>
        <w:spacing w:after="80" w:line="240" w:lineRule="auto"/>
      </w:pPr>
      <w:bookmarkStart w:id="432" w:name="cite_177"/>
      <w:r>
        <w:rPr>
          <w:sz w:val="16"/>
          <w:vertAlign w:val="superscript"/>
        </w:rPr>
        <w:t>177</w:t>
      </w:r>
      <w:bookmarkEnd w:id="432"/>
      <w:r>
        <w:fldChar w:fldCharType="begin"/>
      </w:r>
      <w:r>
        <w:instrText>HYPERLINK "https://en.wikipedia.org/wiki/Nestorius" \h</w:instrText>
      </w:r>
      <w:r>
        <w:fldChar w:fldCharType="separate"/>
      </w:r>
      <w:r>
        <w:rPr>
          <w:color w:val="0563C1"/>
          <w:sz w:val="18"/>
          <w:u w:val="single"/>
        </w:rPr>
        <w:t>Wikipedia, “Nestorius”</w:t>
      </w:r>
      <w:r>
        <w:fldChar w:fldCharType="end"/>
      </w:r>
    </w:p>
    <w:p w14:paraId="293C08F9" w14:textId="77777777" w:rsidR="009C7F52" w:rsidRDefault="00731002">
      <w:pPr>
        <w:spacing w:after="80" w:line="240" w:lineRule="auto"/>
      </w:pPr>
      <w:bookmarkStart w:id="433" w:name="cite_178"/>
      <w:r>
        <w:rPr>
          <w:sz w:val="16"/>
          <w:vertAlign w:val="superscript"/>
        </w:rPr>
        <w:t>178</w:t>
      </w:r>
      <w:bookmarkEnd w:id="433"/>
      <w:r>
        <w:fldChar w:fldCharType="begin"/>
      </w:r>
      <w:r>
        <w:instrText>HYPERLINK "https://en.wikipedia.org/wiki/Cyril_of_Alexandria" \h</w:instrText>
      </w:r>
      <w:r>
        <w:fldChar w:fldCharType="separate"/>
      </w:r>
      <w:r>
        <w:rPr>
          <w:color w:val="0563C1"/>
          <w:sz w:val="18"/>
          <w:u w:val="single"/>
        </w:rPr>
        <w:t>Wikipedia, “Cyril of Alexandria”</w:t>
      </w:r>
      <w:r>
        <w:fldChar w:fldCharType="end"/>
      </w:r>
    </w:p>
    <w:p w14:paraId="7F30FA3E" w14:textId="77777777" w:rsidR="009C7F52" w:rsidRDefault="00731002">
      <w:pPr>
        <w:spacing w:after="80" w:line="240" w:lineRule="auto"/>
      </w:pPr>
      <w:bookmarkStart w:id="434" w:name="cite_179"/>
      <w:r>
        <w:rPr>
          <w:sz w:val="16"/>
          <w:vertAlign w:val="superscript"/>
        </w:rPr>
        <w:t>179</w:t>
      </w:r>
      <w:bookmarkEnd w:id="434"/>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14FD08CC" w14:textId="77777777" w:rsidR="009C7F52" w:rsidRDefault="00731002">
      <w:pPr>
        <w:spacing w:after="80" w:line="240" w:lineRule="auto"/>
      </w:pPr>
      <w:bookmarkStart w:id="435" w:name="cite_180"/>
      <w:r>
        <w:rPr>
          <w:sz w:val="16"/>
          <w:vertAlign w:val="superscript"/>
        </w:rPr>
        <w:t>180</w:t>
      </w:r>
      <w:bookmarkEnd w:id="435"/>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4A473FB8" w14:textId="77777777" w:rsidR="009C7F52" w:rsidRDefault="00731002">
      <w:pPr>
        <w:spacing w:after="80" w:line="240" w:lineRule="auto"/>
      </w:pPr>
      <w:bookmarkStart w:id="436" w:name="cite_181"/>
      <w:r>
        <w:rPr>
          <w:sz w:val="16"/>
          <w:vertAlign w:val="superscript"/>
        </w:rPr>
        <w:t>181</w:t>
      </w:r>
      <w:bookmarkEnd w:id="436"/>
      <w:r>
        <w:fldChar w:fldCharType="begin"/>
      </w:r>
      <w:r>
        <w:instrText>HYPERLINK "https://en.wikipedia.org/wiki/Cyril_of_Alexandria" \h</w:instrText>
      </w:r>
      <w:r>
        <w:fldChar w:fldCharType="separate"/>
      </w:r>
      <w:r>
        <w:rPr>
          <w:color w:val="0563C1"/>
          <w:sz w:val="18"/>
          <w:u w:val="single"/>
        </w:rPr>
        <w:t>Wikipedia, “Cyril of Alexandria”</w:t>
      </w:r>
      <w:r>
        <w:fldChar w:fldCharType="end"/>
      </w:r>
    </w:p>
    <w:p w14:paraId="2A6445DE" w14:textId="77777777" w:rsidR="009C7F52" w:rsidRDefault="00731002">
      <w:pPr>
        <w:spacing w:after="80" w:line="240" w:lineRule="auto"/>
      </w:pPr>
      <w:bookmarkStart w:id="437" w:name="cite_182"/>
      <w:r>
        <w:rPr>
          <w:sz w:val="16"/>
          <w:vertAlign w:val="superscript"/>
        </w:rPr>
        <w:t>182</w:t>
      </w:r>
      <w:bookmarkEnd w:id="437"/>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63D92F30" w14:textId="77777777" w:rsidR="009C7F52" w:rsidRDefault="00731002">
      <w:pPr>
        <w:spacing w:after="80" w:line="240" w:lineRule="auto"/>
      </w:pPr>
      <w:bookmarkStart w:id="438" w:name="cite_183"/>
      <w:r>
        <w:rPr>
          <w:sz w:val="16"/>
          <w:vertAlign w:val="superscript"/>
        </w:rPr>
        <w:t>183</w:t>
      </w:r>
      <w:bookmarkEnd w:id="438"/>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1DF4209A" w14:textId="77777777" w:rsidR="009C7F52" w:rsidRDefault="00731002">
      <w:pPr>
        <w:spacing w:after="80" w:line="240" w:lineRule="auto"/>
      </w:pPr>
      <w:bookmarkStart w:id="439" w:name="cite_184"/>
      <w:r>
        <w:rPr>
          <w:sz w:val="16"/>
          <w:vertAlign w:val="superscript"/>
        </w:rPr>
        <w:t>184</w:t>
      </w:r>
      <w:bookmarkEnd w:id="439"/>
      <w:r>
        <w:rPr>
          <w:sz w:val="18"/>
        </w:rPr>
        <w:t>Wikipedia, “Council of Ephesus”; Wikipedia, “Cyril of Alexandria”</w:t>
      </w:r>
      <w:hyperlink r:id="rId30">
        <w:r>
          <w:rPr>
            <w:color w:val="0563C1"/>
            <w:sz w:val="18"/>
            <w:u w:val="single"/>
          </w:rPr>
          <w:t>[Source 1]</w:t>
        </w:r>
      </w:hyperlink>
      <w:hyperlink r:id="rId31">
        <w:r>
          <w:rPr>
            <w:color w:val="0563C1"/>
            <w:sz w:val="18"/>
            <w:u w:val="single"/>
          </w:rPr>
          <w:t>[Source 2]</w:t>
        </w:r>
      </w:hyperlink>
    </w:p>
    <w:p w14:paraId="39937775" w14:textId="77777777" w:rsidR="009C7F52" w:rsidRDefault="00731002">
      <w:pPr>
        <w:spacing w:after="80" w:line="240" w:lineRule="auto"/>
      </w:pPr>
      <w:bookmarkStart w:id="440" w:name="cite_185"/>
      <w:r>
        <w:rPr>
          <w:sz w:val="16"/>
          <w:vertAlign w:val="superscript"/>
        </w:rPr>
        <w:t>185</w:t>
      </w:r>
      <w:bookmarkEnd w:id="440"/>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695A903A" w14:textId="77777777" w:rsidR="009C7F52" w:rsidRDefault="00731002">
      <w:pPr>
        <w:spacing w:after="80" w:line="240" w:lineRule="auto"/>
      </w:pPr>
      <w:bookmarkStart w:id="441" w:name="cite_186"/>
      <w:r>
        <w:rPr>
          <w:sz w:val="16"/>
          <w:vertAlign w:val="superscript"/>
        </w:rPr>
        <w:t>186</w:t>
      </w:r>
      <w:bookmarkEnd w:id="441"/>
      <w:r>
        <w:rPr>
          <w:sz w:val="18"/>
        </w:rPr>
        <w:t>Wikipedia, “Council of Ephesus”; Wikipedia, “Cyril of Alexandria”</w:t>
      </w:r>
      <w:hyperlink r:id="rId32">
        <w:r>
          <w:rPr>
            <w:color w:val="0563C1"/>
            <w:sz w:val="18"/>
            <w:u w:val="single"/>
          </w:rPr>
          <w:t>[Source 1]</w:t>
        </w:r>
      </w:hyperlink>
      <w:hyperlink r:id="rId33">
        <w:r>
          <w:rPr>
            <w:color w:val="0563C1"/>
            <w:sz w:val="18"/>
            <w:u w:val="single"/>
          </w:rPr>
          <w:t>[Source 2]</w:t>
        </w:r>
      </w:hyperlink>
    </w:p>
    <w:p w14:paraId="525C0146" w14:textId="77777777" w:rsidR="009C7F52" w:rsidRDefault="00731002">
      <w:pPr>
        <w:spacing w:after="80" w:line="240" w:lineRule="auto"/>
      </w:pPr>
      <w:bookmarkStart w:id="442" w:name="cite_187"/>
      <w:r>
        <w:rPr>
          <w:sz w:val="16"/>
          <w:vertAlign w:val="superscript"/>
        </w:rPr>
        <w:t>187</w:t>
      </w:r>
      <w:bookmarkEnd w:id="442"/>
      <w:r>
        <w:fldChar w:fldCharType="begin"/>
      </w:r>
      <w:r>
        <w:instrText>HYPERLINK "https://en.wikipedia.org/wiki/Council_of_Ephesus" \h</w:instrText>
      </w:r>
      <w:r>
        <w:fldChar w:fldCharType="separate"/>
      </w:r>
      <w:r>
        <w:rPr>
          <w:color w:val="0563C1"/>
          <w:sz w:val="18"/>
          <w:u w:val="single"/>
        </w:rPr>
        <w:t>Wikipedia, “Council of Ephesus”</w:t>
      </w:r>
      <w:r>
        <w:fldChar w:fldCharType="end"/>
      </w:r>
    </w:p>
    <w:p w14:paraId="2EA9AC1A" w14:textId="77777777" w:rsidR="009C7F52" w:rsidRDefault="00731002">
      <w:pPr>
        <w:spacing w:after="80" w:line="240" w:lineRule="auto"/>
      </w:pPr>
      <w:bookmarkStart w:id="443" w:name="cite_188"/>
      <w:r>
        <w:rPr>
          <w:sz w:val="16"/>
          <w:vertAlign w:val="superscript"/>
        </w:rPr>
        <w:t>188</w:t>
      </w:r>
      <w:bookmarkEnd w:id="443"/>
      <w:r>
        <w:fldChar w:fldCharType="begin"/>
      </w:r>
      <w:r>
        <w:instrText>HYPERLINK "https://en.wikipedia.org/wiki/Council_of_Chalcedon" \h</w:instrText>
      </w:r>
      <w:r>
        <w:fldChar w:fldCharType="separate"/>
      </w:r>
      <w:r>
        <w:rPr>
          <w:color w:val="0563C1"/>
          <w:sz w:val="18"/>
          <w:u w:val="single"/>
        </w:rPr>
        <w:t>Wikipedia, “Chalcedonian Definition”</w:t>
      </w:r>
      <w:r>
        <w:fldChar w:fldCharType="end"/>
      </w:r>
    </w:p>
    <w:p w14:paraId="3E3C3AD6" w14:textId="77777777" w:rsidR="009C7F52" w:rsidRDefault="00731002">
      <w:pPr>
        <w:spacing w:after="80" w:line="240" w:lineRule="auto"/>
      </w:pPr>
      <w:bookmarkStart w:id="444" w:name="cite_189"/>
      <w:r>
        <w:rPr>
          <w:sz w:val="16"/>
          <w:vertAlign w:val="superscript"/>
        </w:rPr>
        <w:t>189</w:t>
      </w:r>
      <w:bookmarkEnd w:id="444"/>
      <w:r>
        <w:fldChar w:fldCharType="begin"/>
      </w:r>
      <w:r>
        <w:instrText>HYPERLINK "https://en.wikipedia.org/wiki/Nestorius" \h</w:instrText>
      </w:r>
      <w:r>
        <w:fldChar w:fldCharType="separate"/>
      </w:r>
      <w:r>
        <w:rPr>
          <w:color w:val="0563C1"/>
          <w:sz w:val="18"/>
          <w:u w:val="single"/>
        </w:rPr>
        <w:t>Wikipedia, “Nestorius”</w:t>
      </w:r>
      <w:r>
        <w:fldChar w:fldCharType="end"/>
      </w:r>
    </w:p>
    <w:p w14:paraId="27A9F1F8" w14:textId="77777777" w:rsidR="009C7F52" w:rsidRDefault="00731002">
      <w:pPr>
        <w:spacing w:after="80" w:line="240" w:lineRule="auto"/>
      </w:pPr>
      <w:bookmarkStart w:id="445" w:name="cite_190"/>
      <w:r>
        <w:rPr>
          <w:sz w:val="16"/>
          <w:vertAlign w:val="superscript"/>
        </w:rPr>
        <w:t>190</w:t>
      </w:r>
      <w:bookmarkEnd w:id="445"/>
      <w:r>
        <w:rPr>
          <w:sz w:val="18"/>
        </w:rPr>
        <w:t>Wikipedia, “Eutychianism”; Encyclopaedia Britannica, “Eutyches”</w:t>
      </w:r>
      <w:hyperlink r:id="rId34">
        <w:r>
          <w:rPr>
            <w:color w:val="0563C1"/>
            <w:sz w:val="18"/>
            <w:u w:val="single"/>
          </w:rPr>
          <w:t>[Source 1]</w:t>
        </w:r>
      </w:hyperlink>
      <w:hyperlink r:id="rId35">
        <w:r>
          <w:rPr>
            <w:color w:val="0563C1"/>
            <w:sz w:val="18"/>
            <w:u w:val="single"/>
          </w:rPr>
          <w:t>[Source 2]</w:t>
        </w:r>
      </w:hyperlink>
    </w:p>
    <w:p w14:paraId="3DB482D9" w14:textId="77777777" w:rsidR="009C7F52" w:rsidRDefault="00731002">
      <w:pPr>
        <w:spacing w:after="80" w:line="240" w:lineRule="auto"/>
      </w:pPr>
      <w:bookmarkStart w:id="446" w:name="cite_191"/>
      <w:r>
        <w:rPr>
          <w:sz w:val="16"/>
          <w:vertAlign w:val="superscript"/>
        </w:rPr>
        <w:t>191</w:t>
      </w:r>
      <w:bookmarkEnd w:id="446"/>
      <w:r>
        <w:fldChar w:fldCharType="begin"/>
      </w:r>
      <w:r>
        <w:instrText>HYPERLINK "https://en.wikipedia.org/wiki/Eutychianism" \h</w:instrText>
      </w:r>
      <w:r>
        <w:fldChar w:fldCharType="separate"/>
      </w:r>
      <w:r>
        <w:rPr>
          <w:color w:val="0563C1"/>
          <w:sz w:val="18"/>
          <w:u w:val="single"/>
        </w:rPr>
        <w:t>Wikipedia, “Eutychianism”</w:t>
      </w:r>
      <w:r>
        <w:fldChar w:fldCharType="end"/>
      </w:r>
    </w:p>
    <w:p w14:paraId="510C8ACF" w14:textId="77777777" w:rsidR="009C7F52" w:rsidRDefault="00731002">
      <w:pPr>
        <w:spacing w:after="80" w:line="240" w:lineRule="auto"/>
      </w:pPr>
      <w:bookmarkStart w:id="447" w:name="cite_192"/>
      <w:r>
        <w:rPr>
          <w:sz w:val="16"/>
          <w:vertAlign w:val="superscript"/>
        </w:rPr>
        <w:t>192</w:t>
      </w:r>
      <w:bookmarkEnd w:id="447"/>
      <w:r>
        <w:fldChar w:fldCharType="begin"/>
      </w:r>
      <w:r>
        <w:instrText>HYPERLINK "https://www.britannica.com/biography/Eutyches" \h</w:instrText>
      </w:r>
      <w:r>
        <w:fldChar w:fldCharType="separate"/>
      </w:r>
      <w:r>
        <w:rPr>
          <w:color w:val="0563C1"/>
          <w:sz w:val="18"/>
          <w:u w:val="single"/>
        </w:rPr>
        <w:t>Encyclopaedia Britannica, “Eutyches”</w:t>
      </w:r>
      <w:r>
        <w:fldChar w:fldCharType="end"/>
      </w:r>
    </w:p>
    <w:p w14:paraId="69360814" w14:textId="77777777" w:rsidR="009C7F52" w:rsidRDefault="00731002">
      <w:pPr>
        <w:spacing w:after="80" w:line="240" w:lineRule="auto"/>
      </w:pPr>
      <w:bookmarkStart w:id="448" w:name="cite_193"/>
      <w:r>
        <w:rPr>
          <w:sz w:val="16"/>
          <w:vertAlign w:val="superscript"/>
        </w:rPr>
        <w:t>193</w:t>
      </w:r>
      <w:bookmarkEnd w:id="448"/>
      <w:r>
        <w:fldChar w:fldCharType="begin"/>
      </w:r>
      <w:r>
        <w:instrText>HYPERLINK "https://en.wikipedia.org/wiki/Council_of_Chalcedon" \h</w:instrText>
      </w:r>
      <w:r>
        <w:fldChar w:fldCharType="separate"/>
      </w:r>
      <w:r>
        <w:rPr>
          <w:color w:val="0563C1"/>
          <w:sz w:val="18"/>
          <w:u w:val="single"/>
        </w:rPr>
        <w:t>Wikipedia, “Chalcedonian Definition”</w:t>
      </w:r>
      <w:r>
        <w:fldChar w:fldCharType="end"/>
      </w:r>
    </w:p>
    <w:p w14:paraId="58E0E226" w14:textId="77777777" w:rsidR="009C7F52" w:rsidRDefault="00731002">
      <w:pPr>
        <w:spacing w:after="80" w:line="240" w:lineRule="auto"/>
      </w:pPr>
      <w:bookmarkStart w:id="449" w:name="cite_194"/>
      <w:r>
        <w:rPr>
          <w:sz w:val="16"/>
          <w:vertAlign w:val="superscript"/>
        </w:rPr>
        <w:t>194</w:t>
      </w:r>
      <w:bookmarkEnd w:id="449"/>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4650A173" w14:textId="77777777" w:rsidR="009C7F52" w:rsidRDefault="00731002">
      <w:pPr>
        <w:spacing w:after="80" w:line="240" w:lineRule="auto"/>
      </w:pPr>
      <w:bookmarkStart w:id="450" w:name="cite_195"/>
      <w:r>
        <w:rPr>
          <w:sz w:val="16"/>
          <w:vertAlign w:val="superscript"/>
        </w:rPr>
        <w:t>195</w:t>
      </w:r>
      <w:bookmarkEnd w:id="450"/>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1E4E83DC" w14:textId="77777777" w:rsidR="009C7F52" w:rsidRDefault="00731002">
      <w:pPr>
        <w:spacing w:after="80" w:line="240" w:lineRule="auto"/>
      </w:pPr>
      <w:bookmarkStart w:id="451" w:name="cite_196"/>
      <w:r>
        <w:rPr>
          <w:sz w:val="16"/>
          <w:vertAlign w:val="superscript"/>
        </w:rPr>
        <w:t>196</w:t>
      </w:r>
      <w:bookmarkEnd w:id="451"/>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4525428C" w14:textId="77777777" w:rsidR="009C7F52" w:rsidRDefault="00731002">
      <w:pPr>
        <w:spacing w:after="80" w:line="240" w:lineRule="auto"/>
      </w:pPr>
      <w:bookmarkStart w:id="452" w:name="cite_197"/>
      <w:r>
        <w:rPr>
          <w:sz w:val="16"/>
          <w:vertAlign w:val="superscript"/>
        </w:rPr>
        <w:t>197</w:t>
      </w:r>
      <w:bookmarkEnd w:id="452"/>
      <w:r>
        <w:fldChar w:fldCharType="begin"/>
      </w:r>
      <w:r>
        <w:instrText>HYPERLINK "https://en.wikipedia.org/wiki/Council_of_Chalcedon" \h</w:instrText>
      </w:r>
      <w:r>
        <w:fldChar w:fldCharType="separate"/>
      </w:r>
      <w:r>
        <w:rPr>
          <w:color w:val="0563C1"/>
          <w:sz w:val="18"/>
          <w:u w:val="single"/>
        </w:rPr>
        <w:t>Wikipedia, “Chalcedonian Definition”</w:t>
      </w:r>
      <w:r>
        <w:fldChar w:fldCharType="end"/>
      </w:r>
    </w:p>
    <w:p w14:paraId="4176D478" w14:textId="77777777" w:rsidR="009C7F52" w:rsidRDefault="00731002">
      <w:pPr>
        <w:spacing w:after="80" w:line="240" w:lineRule="auto"/>
      </w:pPr>
      <w:bookmarkStart w:id="453" w:name="cite_198"/>
      <w:r>
        <w:rPr>
          <w:sz w:val="16"/>
          <w:vertAlign w:val="superscript"/>
        </w:rPr>
        <w:t>198</w:t>
      </w:r>
      <w:bookmarkEnd w:id="453"/>
      <w:r>
        <w:fldChar w:fldCharType="begin"/>
      </w:r>
      <w:r>
        <w:instrText>HYPERLINK "https://en.wikipedia.org/wiki/Council_of_Chalcedon" \h</w:instrText>
      </w:r>
      <w:r>
        <w:fldChar w:fldCharType="separate"/>
      </w:r>
      <w:r>
        <w:rPr>
          <w:color w:val="0563C1"/>
          <w:sz w:val="18"/>
          <w:u w:val="single"/>
        </w:rPr>
        <w:t>Wikipedia, “Chalcedonian Definition”</w:t>
      </w:r>
      <w:r>
        <w:fldChar w:fldCharType="end"/>
      </w:r>
    </w:p>
    <w:p w14:paraId="06C1D0BF" w14:textId="77777777" w:rsidR="009C7F52" w:rsidRDefault="00731002">
      <w:pPr>
        <w:spacing w:after="80" w:line="240" w:lineRule="auto"/>
      </w:pPr>
      <w:bookmarkStart w:id="454" w:name="cite_199"/>
      <w:r>
        <w:rPr>
          <w:sz w:val="16"/>
          <w:vertAlign w:val="superscript"/>
        </w:rPr>
        <w:t>199</w:t>
      </w:r>
      <w:bookmarkEnd w:id="454"/>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5471D7FF" w14:textId="77777777" w:rsidR="009C7F52" w:rsidRDefault="00731002">
      <w:pPr>
        <w:spacing w:after="80" w:line="240" w:lineRule="auto"/>
      </w:pPr>
      <w:bookmarkStart w:id="455" w:name="cite_200"/>
      <w:r>
        <w:rPr>
          <w:sz w:val="16"/>
          <w:vertAlign w:val="superscript"/>
        </w:rPr>
        <w:t>200</w:t>
      </w:r>
      <w:bookmarkEnd w:id="455"/>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2E783CB6" w14:textId="77777777" w:rsidR="009C7F52" w:rsidRDefault="00731002">
      <w:pPr>
        <w:spacing w:after="80" w:line="240" w:lineRule="auto"/>
      </w:pPr>
      <w:bookmarkStart w:id="456" w:name="cite_201"/>
      <w:r>
        <w:rPr>
          <w:sz w:val="16"/>
          <w:vertAlign w:val="superscript"/>
        </w:rPr>
        <w:t>201</w:t>
      </w:r>
      <w:bookmarkEnd w:id="456"/>
      <w:r>
        <w:fldChar w:fldCharType="begin"/>
      </w:r>
      <w:r>
        <w:instrText>HYPERLINK "https://en.wikipedia.org/wiki/Council_of_Chalcedon" \h</w:instrText>
      </w:r>
      <w:r>
        <w:fldChar w:fldCharType="separate"/>
      </w:r>
      <w:r>
        <w:rPr>
          <w:color w:val="0563C1"/>
          <w:sz w:val="18"/>
          <w:u w:val="single"/>
        </w:rPr>
        <w:t>Wikipedia, “Council of Chalcedon”</w:t>
      </w:r>
      <w:r>
        <w:fldChar w:fldCharType="end"/>
      </w:r>
    </w:p>
    <w:p w14:paraId="55BDDB3F" w14:textId="77777777" w:rsidR="009C7F52" w:rsidRDefault="00731002">
      <w:pPr>
        <w:spacing w:after="80" w:line="240" w:lineRule="auto"/>
      </w:pPr>
      <w:bookmarkStart w:id="457" w:name="cite_202"/>
      <w:r>
        <w:rPr>
          <w:sz w:val="16"/>
          <w:vertAlign w:val="superscript"/>
        </w:rPr>
        <w:t>202</w:t>
      </w:r>
      <w:bookmarkEnd w:id="457"/>
      <w:r>
        <w:fldChar w:fldCharType="begin"/>
      </w:r>
      <w:r>
        <w:instrText>HYPERLINK "https://biblehub.com/library/leo/letters/letter_28.htm" \h</w:instrText>
      </w:r>
      <w:r>
        <w:fldChar w:fldCharType="separate"/>
      </w:r>
      <w:r>
        <w:rPr>
          <w:color w:val="0563C1"/>
          <w:sz w:val="18"/>
          <w:u w:val="single"/>
        </w:rPr>
        <w:t>Bible Hub, Leo’s Letter XXVIII, “The Tome”</w:t>
      </w:r>
      <w:r>
        <w:fldChar w:fldCharType="end"/>
      </w:r>
    </w:p>
    <w:p w14:paraId="6F90E483" w14:textId="77777777" w:rsidR="009C7F52" w:rsidRDefault="00731002">
      <w:pPr>
        <w:spacing w:after="80" w:line="240" w:lineRule="auto"/>
      </w:pPr>
      <w:bookmarkStart w:id="458" w:name="cite_203"/>
      <w:r>
        <w:rPr>
          <w:sz w:val="16"/>
          <w:vertAlign w:val="superscript"/>
        </w:rPr>
        <w:t>203</w:t>
      </w:r>
      <w:bookmarkEnd w:id="458"/>
      <w:r>
        <w:fldChar w:fldCharType="begin"/>
      </w:r>
      <w:r>
        <w:instrText>HYPERLINK "https://en.wikipedia.org/wiki/Council_of_Chalcedon" \h</w:instrText>
      </w:r>
      <w:r>
        <w:fldChar w:fldCharType="separate"/>
      </w:r>
      <w:r>
        <w:rPr>
          <w:color w:val="0563C1"/>
          <w:sz w:val="18"/>
          <w:u w:val="single"/>
        </w:rPr>
        <w:t>Wikipedia, “Chalcedonian Definition,” citing Bindley, The Oecumenical Documents of the Faith (1899), p. 297</w:t>
      </w:r>
      <w:r>
        <w:fldChar w:fldCharType="end"/>
      </w:r>
    </w:p>
    <w:p w14:paraId="249B739F" w14:textId="77777777" w:rsidR="009C7F52" w:rsidRDefault="00731002">
      <w:pPr>
        <w:spacing w:after="80" w:line="240" w:lineRule="auto"/>
      </w:pPr>
      <w:bookmarkStart w:id="459" w:name="cite_204"/>
      <w:r>
        <w:rPr>
          <w:sz w:val="16"/>
          <w:vertAlign w:val="superscript"/>
        </w:rPr>
        <w:t>204</w:t>
      </w:r>
      <w:bookmarkEnd w:id="459"/>
      <w:r>
        <w:fldChar w:fldCharType="begin"/>
      </w:r>
      <w:r>
        <w:instrText>HYPERLINK "https://en.wikipedia.org/wiki/Eutychianism" \h</w:instrText>
      </w:r>
      <w:r>
        <w:fldChar w:fldCharType="separate"/>
      </w:r>
      <w:r>
        <w:rPr>
          <w:color w:val="0563C1"/>
          <w:sz w:val="18"/>
          <w:u w:val="single"/>
        </w:rPr>
        <w:t>Wikipedia, “Eutychianism”</w:t>
      </w:r>
      <w:r>
        <w:fldChar w:fldCharType="end"/>
      </w:r>
    </w:p>
    <w:p w14:paraId="7AAF622A" w14:textId="77777777" w:rsidR="009C7F52" w:rsidRDefault="00731002">
      <w:pPr>
        <w:spacing w:after="80" w:line="240" w:lineRule="auto"/>
      </w:pPr>
      <w:bookmarkStart w:id="460" w:name="cite_205"/>
      <w:r>
        <w:rPr>
          <w:sz w:val="16"/>
          <w:vertAlign w:val="superscript"/>
        </w:rPr>
        <w:t>205</w:t>
      </w:r>
      <w:bookmarkEnd w:id="460"/>
      <w:r>
        <w:fldChar w:fldCharType="begin"/>
      </w:r>
      <w:r>
        <w:instrText>HYPERLINK "https://en.wikipedia.org/wiki/Monothelitism" \h</w:instrText>
      </w:r>
      <w:r>
        <w:fldChar w:fldCharType="separate"/>
      </w:r>
      <w:r>
        <w:rPr>
          <w:color w:val="0563C1"/>
          <w:sz w:val="18"/>
          <w:u w:val="single"/>
        </w:rPr>
        <w:t>Wikipedia, “Monothelitism”</w:t>
      </w:r>
      <w:r>
        <w:fldChar w:fldCharType="end"/>
      </w:r>
    </w:p>
    <w:p w14:paraId="3555E96F" w14:textId="77777777" w:rsidR="009C7F52" w:rsidRDefault="00731002">
      <w:pPr>
        <w:spacing w:after="80" w:line="240" w:lineRule="auto"/>
      </w:pPr>
      <w:bookmarkStart w:id="461" w:name="cite_206"/>
      <w:r>
        <w:rPr>
          <w:sz w:val="16"/>
          <w:vertAlign w:val="superscript"/>
        </w:rPr>
        <w:t>206</w:t>
      </w:r>
      <w:bookmarkEnd w:id="461"/>
      <w:r>
        <w:fldChar w:fldCharType="begin"/>
      </w:r>
      <w:r>
        <w:instrText>HYPERLINK "https://en.wikipedia.org/wiki/Monothelitism" \h</w:instrText>
      </w:r>
      <w:r>
        <w:fldChar w:fldCharType="separate"/>
      </w:r>
      <w:r>
        <w:rPr>
          <w:color w:val="0563C1"/>
          <w:sz w:val="18"/>
          <w:u w:val="single"/>
        </w:rPr>
        <w:t>Wikipedia, “Monothelitism”</w:t>
      </w:r>
      <w:r>
        <w:fldChar w:fldCharType="end"/>
      </w:r>
    </w:p>
    <w:p w14:paraId="3BE90AAF" w14:textId="77777777" w:rsidR="009C7F52" w:rsidRDefault="00731002">
      <w:pPr>
        <w:spacing w:after="80" w:line="240" w:lineRule="auto"/>
      </w:pPr>
      <w:bookmarkStart w:id="462" w:name="cite_207"/>
      <w:r>
        <w:rPr>
          <w:sz w:val="16"/>
          <w:vertAlign w:val="superscript"/>
        </w:rPr>
        <w:t>207</w:t>
      </w:r>
      <w:bookmarkEnd w:id="462"/>
      <w:r>
        <w:fldChar w:fldCharType="begin"/>
      </w:r>
      <w:r>
        <w:instrText>HYPERLINK "https://en.wikipedia.org/wiki/Monothelitism" \h</w:instrText>
      </w:r>
      <w:r>
        <w:fldChar w:fldCharType="separate"/>
      </w:r>
      <w:r>
        <w:rPr>
          <w:color w:val="0563C1"/>
          <w:sz w:val="18"/>
          <w:u w:val="single"/>
        </w:rPr>
        <w:t>Wikipedia, “Monothelitism”</w:t>
      </w:r>
      <w:r>
        <w:fldChar w:fldCharType="end"/>
      </w:r>
    </w:p>
    <w:p w14:paraId="764BC0B9" w14:textId="77777777" w:rsidR="009C7F52" w:rsidRDefault="00731002">
      <w:pPr>
        <w:spacing w:after="80" w:line="240" w:lineRule="auto"/>
      </w:pPr>
      <w:bookmarkStart w:id="463" w:name="cite_208"/>
      <w:r>
        <w:rPr>
          <w:sz w:val="16"/>
          <w:vertAlign w:val="superscript"/>
        </w:rPr>
        <w:t>208</w:t>
      </w:r>
      <w:bookmarkEnd w:id="463"/>
      <w:r>
        <w:fldChar w:fldCharType="begin"/>
      </w:r>
      <w:r>
        <w:instrText>HYPERLINK "https://en.wikipedia.org/wiki/Monothelitism" \h</w:instrText>
      </w:r>
      <w:r>
        <w:fldChar w:fldCharType="separate"/>
      </w:r>
      <w:r>
        <w:rPr>
          <w:color w:val="0563C1"/>
          <w:sz w:val="18"/>
          <w:u w:val="single"/>
        </w:rPr>
        <w:t>Wikipedia, “Monothelitism”</w:t>
      </w:r>
      <w:r>
        <w:fldChar w:fldCharType="end"/>
      </w:r>
    </w:p>
    <w:p w14:paraId="532D81A7" w14:textId="77777777" w:rsidR="009C7F52" w:rsidRDefault="00731002">
      <w:pPr>
        <w:spacing w:after="80" w:line="240" w:lineRule="auto"/>
      </w:pPr>
      <w:bookmarkStart w:id="464" w:name="cite_209"/>
      <w:r>
        <w:rPr>
          <w:sz w:val="16"/>
          <w:vertAlign w:val="superscript"/>
        </w:rPr>
        <w:t>209</w:t>
      </w:r>
      <w:bookmarkEnd w:id="464"/>
      <w:r>
        <w:fldChar w:fldCharType="begin"/>
      </w:r>
      <w:r>
        <w:instrText>HYPERLINK "https://en.wikipedia.org/wiki/Monothelitism" \h</w:instrText>
      </w:r>
      <w:r>
        <w:fldChar w:fldCharType="separate"/>
      </w:r>
      <w:r>
        <w:rPr>
          <w:color w:val="0563C1"/>
          <w:sz w:val="18"/>
          <w:u w:val="single"/>
        </w:rPr>
        <w:t>Wikipedia, “Monothelitism”</w:t>
      </w:r>
      <w:r>
        <w:fldChar w:fldCharType="end"/>
      </w:r>
    </w:p>
    <w:p w14:paraId="13D3B4AB" w14:textId="77777777" w:rsidR="009C7F52" w:rsidRDefault="00731002">
      <w:pPr>
        <w:spacing w:after="80" w:line="240" w:lineRule="auto"/>
      </w:pPr>
      <w:bookmarkStart w:id="465" w:name="cite_210"/>
      <w:r>
        <w:rPr>
          <w:sz w:val="16"/>
          <w:vertAlign w:val="superscript"/>
        </w:rPr>
        <w:t>210</w:t>
      </w:r>
      <w:bookmarkEnd w:id="465"/>
      <w:r>
        <w:rPr>
          <w:sz w:val="18"/>
        </w:rPr>
        <w:t>Wikipedia, “Monothelitism”; Wikipedia, “Maximus the Confessor”</w:t>
      </w:r>
      <w:hyperlink r:id="rId36">
        <w:r>
          <w:rPr>
            <w:color w:val="0563C1"/>
            <w:sz w:val="18"/>
            <w:u w:val="single"/>
          </w:rPr>
          <w:t>[Source 1]</w:t>
        </w:r>
      </w:hyperlink>
      <w:hyperlink r:id="rId37">
        <w:r>
          <w:rPr>
            <w:color w:val="0563C1"/>
            <w:sz w:val="18"/>
            <w:u w:val="single"/>
          </w:rPr>
          <w:t>[Source 2]</w:t>
        </w:r>
      </w:hyperlink>
    </w:p>
    <w:p w14:paraId="3BC6C529" w14:textId="77777777" w:rsidR="009C7F52" w:rsidRDefault="00731002">
      <w:pPr>
        <w:spacing w:after="80" w:line="240" w:lineRule="auto"/>
      </w:pPr>
      <w:bookmarkStart w:id="466" w:name="cite_211"/>
      <w:r>
        <w:rPr>
          <w:sz w:val="16"/>
          <w:vertAlign w:val="superscript"/>
        </w:rPr>
        <w:t>211</w:t>
      </w:r>
      <w:bookmarkEnd w:id="466"/>
      <w:r>
        <w:fldChar w:fldCharType="begin"/>
      </w:r>
      <w:r>
        <w:instrText>HYPERLINK "https://en.wikipedia.org/wiki/Maximus_the_Confessor" \h</w:instrText>
      </w:r>
      <w:r>
        <w:fldChar w:fldCharType="separate"/>
      </w:r>
      <w:r>
        <w:rPr>
          <w:color w:val="0563C1"/>
          <w:sz w:val="18"/>
          <w:u w:val="single"/>
        </w:rPr>
        <w:t>Wikipedia, “Maximus the Confessor”</w:t>
      </w:r>
      <w:r>
        <w:fldChar w:fldCharType="end"/>
      </w:r>
    </w:p>
    <w:p w14:paraId="538682D8" w14:textId="77777777" w:rsidR="009C7F52" w:rsidRDefault="00731002">
      <w:pPr>
        <w:spacing w:after="80" w:line="240" w:lineRule="auto"/>
      </w:pPr>
      <w:bookmarkStart w:id="467" w:name="cite_212"/>
      <w:r>
        <w:rPr>
          <w:sz w:val="16"/>
          <w:vertAlign w:val="superscript"/>
        </w:rPr>
        <w:t>212</w:t>
      </w:r>
      <w:bookmarkEnd w:id="467"/>
      <w:r>
        <w:rPr>
          <w:sz w:val="18"/>
        </w:rPr>
        <w:t>Wikipedia, “Monothelitism”; Wikipedia, “Maximus the Confessor”</w:t>
      </w:r>
      <w:hyperlink r:id="rId38">
        <w:r>
          <w:rPr>
            <w:color w:val="0563C1"/>
            <w:sz w:val="18"/>
            <w:u w:val="single"/>
          </w:rPr>
          <w:t>[Source 1]</w:t>
        </w:r>
      </w:hyperlink>
      <w:hyperlink r:id="rId39">
        <w:r>
          <w:rPr>
            <w:color w:val="0563C1"/>
            <w:sz w:val="18"/>
            <w:u w:val="single"/>
          </w:rPr>
          <w:t>[Source 2]</w:t>
        </w:r>
      </w:hyperlink>
    </w:p>
    <w:p w14:paraId="6A568736" w14:textId="77777777" w:rsidR="009C7F52" w:rsidRDefault="00731002">
      <w:pPr>
        <w:spacing w:after="80" w:line="240" w:lineRule="auto"/>
      </w:pPr>
      <w:bookmarkStart w:id="468" w:name="cite_213"/>
      <w:r>
        <w:rPr>
          <w:sz w:val="16"/>
          <w:vertAlign w:val="superscript"/>
        </w:rPr>
        <w:t>213</w:t>
      </w:r>
      <w:bookmarkEnd w:id="468"/>
      <w:r>
        <w:fldChar w:fldCharType="begin"/>
      </w:r>
      <w:r>
        <w:instrText>HYPERLINK "https://en.wikipedia.org/wiki/Maximus_the_Confessor" \h</w:instrText>
      </w:r>
      <w:r>
        <w:fldChar w:fldCharType="separate"/>
      </w:r>
      <w:r>
        <w:rPr>
          <w:color w:val="0563C1"/>
          <w:sz w:val="18"/>
          <w:u w:val="single"/>
        </w:rPr>
        <w:t>Wikipedia, “Maximus the Confessor”</w:t>
      </w:r>
      <w:r>
        <w:fldChar w:fldCharType="end"/>
      </w:r>
    </w:p>
    <w:p w14:paraId="148E0E4B" w14:textId="77777777" w:rsidR="009C7F52" w:rsidRDefault="00731002">
      <w:pPr>
        <w:spacing w:after="80" w:line="240" w:lineRule="auto"/>
      </w:pPr>
      <w:bookmarkStart w:id="469" w:name="cite_214"/>
      <w:r>
        <w:rPr>
          <w:sz w:val="16"/>
          <w:vertAlign w:val="superscript"/>
        </w:rPr>
        <w:t>214</w:t>
      </w:r>
      <w:bookmarkEnd w:id="469"/>
      <w:r>
        <w:fldChar w:fldCharType="begin"/>
      </w:r>
      <w:r>
        <w:instrText>HYPERLINK "https://en.wikipedia.org/wiki/Third_Council_of_Constantinople" \h</w:instrText>
      </w:r>
      <w:r>
        <w:fldChar w:fldCharType="separate"/>
      </w:r>
      <w:r>
        <w:rPr>
          <w:color w:val="0563C1"/>
          <w:sz w:val="18"/>
          <w:u w:val="single"/>
        </w:rPr>
        <w:t>Wikipedia, “Third Council of Constantinople”</w:t>
      </w:r>
      <w:r>
        <w:fldChar w:fldCharType="end"/>
      </w:r>
    </w:p>
    <w:p w14:paraId="28C70766" w14:textId="77777777" w:rsidR="009C7F52" w:rsidRDefault="00731002">
      <w:pPr>
        <w:spacing w:after="80" w:line="240" w:lineRule="auto"/>
      </w:pPr>
      <w:bookmarkStart w:id="470" w:name="cite_215"/>
      <w:r>
        <w:rPr>
          <w:sz w:val="16"/>
          <w:vertAlign w:val="superscript"/>
        </w:rPr>
        <w:t>215</w:t>
      </w:r>
      <w:bookmarkEnd w:id="470"/>
      <w:r>
        <w:fldChar w:fldCharType="begin"/>
      </w:r>
      <w:r>
        <w:instrText>HYPERLINK "https://en.wikipedia.org/wiki/Monothelitism" \h</w:instrText>
      </w:r>
      <w:r>
        <w:fldChar w:fldCharType="separate"/>
      </w:r>
      <w:r>
        <w:rPr>
          <w:color w:val="0563C1"/>
          <w:sz w:val="18"/>
          <w:u w:val="single"/>
        </w:rPr>
        <w:t>Wikipedia, “Monothelitism”</w:t>
      </w:r>
      <w:r>
        <w:fldChar w:fldCharType="end"/>
      </w:r>
    </w:p>
    <w:p w14:paraId="767397B6" w14:textId="77777777" w:rsidR="009C7F52" w:rsidRDefault="00731002">
      <w:pPr>
        <w:spacing w:after="80" w:line="240" w:lineRule="auto"/>
      </w:pPr>
      <w:bookmarkStart w:id="471" w:name="cite_216"/>
      <w:r>
        <w:rPr>
          <w:sz w:val="16"/>
          <w:vertAlign w:val="superscript"/>
        </w:rPr>
        <w:t>216</w:t>
      </w:r>
      <w:bookmarkEnd w:id="471"/>
      <w:r>
        <w:fldChar w:fldCharType="begin"/>
      </w:r>
      <w:r>
        <w:instrText>HYPERLINK "https://en.wikipedia.org/wiki/Third_Council_of_Constantinople" \h</w:instrText>
      </w:r>
      <w:r>
        <w:fldChar w:fldCharType="separate"/>
      </w:r>
      <w:r>
        <w:rPr>
          <w:color w:val="0563C1"/>
          <w:sz w:val="18"/>
          <w:u w:val="single"/>
        </w:rPr>
        <w:t>Wikipedia, “Third Council of Constantinople”</w:t>
      </w:r>
      <w:r>
        <w:fldChar w:fldCharType="end"/>
      </w:r>
    </w:p>
    <w:p w14:paraId="4B902225" w14:textId="77777777" w:rsidR="009C7F52" w:rsidRDefault="00731002">
      <w:pPr>
        <w:spacing w:after="80" w:line="240" w:lineRule="auto"/>
      </w:pPr>
      <w:bookmarkStart w:id="472" w:name="cite_217"/>
      <w:r>
        <w:rPr>
          <w:sz w:val="16"/>
          <w:vertAlign w:val="superscript"/>
        </w:rPr>
        <w:t>217</w:t>
      </w:r>
      <w:bookmarkEnd w:id="472"/>
      <w:r>
        <w:fldChar w:fldCharType="begin"/>
      </w:r>
      <w:r>
        <w:instrText>HYPERLINK "https://en.wikipedia.org/wiki/Monothelitism" \h</w:instrText>
      </w:r>
      <w:r>
        <w:fldChar w:fldCharType="separate"/>
      </w:r>
      <w:r>
        <w:rPr>
          <w:color w:val="0563C1"/>
          <w:sz w:val="18"/>
          <w:u w:val="single"/>
        </w:rPr>
        <w:t>Wikipedia, “Monothelitism”</w:t>
      </w:r>
      <w:r>
        <w:fldChar w:fldCharType="end"/>
      </w:r>
    </w:p>
    <w:p w14:paraId="737AB709" w14:textId="77777777" w:rsidR="009C7F52" w:rsidRDefault="00731002">
      <w:pPr>
        <w:spacing w:after="80" w:line="240" w:lineRule="auto"/>
      </w:pPr>
      <w:bookmarkStart w:id="473" w:name="cite_218"/>
      <w:r>
        <w:rPr>
          <w:sz w:val="16"/>
          <w:vertAlign w:val="superscript"/>
        </w:rPr>
        <w:t>218</w:t>
      </w:r>
      <w:bookmarkEnd w:id="473"/>
      <w:r>
        <w:fldChar w:fldCharType="begin"/>
      </w:r>
      <w:r>
        <w:instrText>HYPERLINK "https://en.wikipedia.org/wiki/Monothelitism" \h</w:instrText>
      </w:r>
      <w:r>
        <w:fldChar w:fldCharType="separate"/>
      </w:r>
      <w:r>
        <w:rPr>
          <w:color w:val="0563C1"/>
          <w:sz w:val="18"/>
          <w:u w:val="single"/>
        </w:rPr>
        <w:t>Wikipedia, “Monothelitism”</w:t>
      </w:r>
      <w:r>
        <w:fldChar w:fldCharType="end"/>
      </w:r>
    </w:p>
    <w:p w14:paraId="45CCCD0E" w14:textId="77777777" w:rsidR="009C7F52" w:rsidRDefault="00731002">
      <w:pPr>
        <w:spacing w:after="80" w:line="240" w:lineRule="auto"/>
      </w:pPr>
      <w:bookmarkStart w:id="474" w:name="cite_219"/>
      <w:r>
        <w:rPr>
          <w:sz w:val="16"/>
          <w:vertAlign w:val="superscript"/>
        </w:rPr>
        <w:t>219</w:t>
      </w:r>
      <w:bookmarkEnd w:id="474"/>
      <w:r>
        <w:fldChar w:fldCharType="begin"/>
      </w:r>
      <w:r>
        <w:instrText>HYPERLINK "https://en.wikipedia.org/wiki/Monothelitism" \h</w:instrText>
      </w:r>
      <w:r>
        <w:fldChar w:fldCharType="separate"/>
      </w:r>
      <w:r>
        <w:rPr>
          <w:color w:val="0563C1"/>
          <w:sz w:val="18"/>
          <w:u w:val="single"/>
        </w:rPr>
        <w:t>Wikipedia, “Monothelitism”</w:t>
      </w:r>
      <w:r>
        <w:fldChar w:fldCharType="end"/>
      </w:r>
    </w:p>
    <w:p w14:paraId="5CE3646E" w14:textId="77777777" w:rsidR="009C7F52" w:rsidRDefault="00731002">
      <w:pPr>
        <w:spacing w:after="80" w:line="240" w:lineRule="auto"/>
      </w:pPr>
      <w:bookmarkStart w:id="475" w:name="cite_220"/>
      <w:r>
        <w:rPr>
          <w:sz w:val="16"/>
          <w:vertAlign w:val="superscript"/>
        </w:rPr>
        <w:t>220</w:t>
      </w:r>
      <w:bookmarkEnd w:id="475"/>
      <w:r>
        <w:fldChar w:fldCharType="begin"/>
      </w:r>
      <w:r>
        <w:instrText>HYPERLINK "https://www.booksataglance.com/book-summaries/forgotten-trinity-james-r-white/" \h</w:instrText>
      </w:r>
      <w:r>
        <w:fldChar w:fldCharType="separate"/>
      </w:r>
      <w:r>
        <w:rPr>
          <w:color w:val="0563C1"/>
          <w:sz w:val="18"/>
          <w:u w:val="single"/>
        </w:rPr>
        <w:t>James R. White, The Forgotten Trinity: Recovering the Heart of Christian Belief (Bethany House), p. 26, quoted in Books at a Glance</w:t>
      </w:r>
      <w:r>
        <w:fldChar w:fldCharType="end"/>
      </w:r>
    </w:p>
    <w:p w14:paraId="1A90C1B4" w14:textId="77777777" w:rsidR="009C7F52" w:rsidRDefault="00731002">
      <w:pPr>
        <w:spacing w:after="80" w:line="240" w:lineRule="auto"/>
      </w:pPr>
      <w:bookmarkStart w:id="476" w:name="cite_221"/>
      <w:r>
        <w:rPr>
          <w:sz w:val="16"/>
          <w:vertAlign w:val="superscript"/>
        </w:rPr>
        <w:t>221</w:t>
      </w:r>
      <w:bookmarkEnd w:id="476"/>
      <w:r>
        <w:fldChar w:fldCharType="begin"/>
      </w:r>
      <w:r>
        <w:instrText>HYPERLINK "https://en.wikipedia.org/wiki/History_of_the_filioque_controversy" \h</w:instrText>
      </w:r>
      <w:r>
        <w:fldChar w:fldCharType="separate"/>
      </w:r>
      <w:r>
        <w:rPr>
          <w:color w:val="0563C1"/>
          <w:sz w:val="18"/>
          <w:u w:val="single"/>
        </w:rPr>
        <w:t>Wikipedia, “History of the filioque controversy”</w:t>
      </w:r>
      <w:r>
        <w:fldChar w:fldCharType="end"/>
      </w:r>
    </w:p>
    <w:p w14:paraId="3E63E5E4" w14:textId="77777777" w:rsidR="009C7F52" w:rsidRDefault="00731002">
      <w:pPr>
        <w:spacing w:after="80" w:line="240" w:lineRule="auto"/>
      </w:pPr>
      <w:bookmarkStart w:id="477" w:name="cite_222"/>
      <w:r>
        <w:rPr>
          <w:sz w:val="16"/>
          <w:vertAlign w:val="superscript"/>
        </w:rPr>
        <w:t>222</w:t>
      </w:r>
      <w:bookmarkEnd w:id="477"/>
      <w:r>
        <w:fldChar w:fldCharType="begin"/>
      </w:r>
      <w:r>
        <w:instrText>HYPERLINK "https://en.wikipedia.org/wiki/History_of_the_filioque_controversy" \h</w:instrText>
      </w:r>
      <w:r>
        <w:fldChar w:fldCharType="separate"/>
      </w:r>
      <w:r>
        <w:rPr>
          <w:color w:val="0563C1"/>
          <w:sz w:val="18"/>
          <w:u w:val="single"/>
        </w:rPr>
        <w:t>Wikipedia, “History of the filioque controversy”</w:t>
      </w:r>
      <w:r>
        <w:fldChar w:fldCharType="end"/>
      </w:r>
    </w:p>
    <w:p w14:paraId="19772AF5" w14:textId="77777777" w:rsidR="009C7F52" w:rsidRDefault="00731002">
      <w:pPr>
        <w:spacing w:after="80" w:line="240" w:lineRule="auto"/>
      </w:pPr>
      <w:bookmarkStart w:id="478" w:name="cite_223"/>
      <w:r>
        <w:rPr>
          <w:sz w:val="16"/>
          <w:vertAlign w:val="superscript"/>
        </w:rPr>
        <w:t>223</w:t>
      </w:r>
      <w:bookmarkEnd w:id="478"/>
      <w:r>
        <w:fldChar w:fldCharType="begin"/>
      </w:r>
      <w:r>
        <w:instrText>HYPERLINK "https://en.wikipedia.org/wiki/History_of_the_filioque_controversy" \h</w:instrText>
      </w:r>
      <w:r>
        <w:fldChar w:fldCharType="separate"/>
      </w:r>
      <w:r>
        <w:rPr>
          <w:color w:val="0563C1"/>
          <w:sz w:val="18"/>
          <w:u w:val="single"/>
        </w:rPr>
        <w:t>Wikipedia, “History of the filioque controversy”</w:t>
      </w:r>
      <w:r>
        <w:fldChar w:fldCharType="end"/>
      </w:r>
    </w:p>
    <w:p w14:paraId="0BB7A54A" w14:textId="77777777" w:rsidR="009C7F52" w:rsidRDefault="00731002">
      <w:pPr>
        <w:spacing w:after="80" w:line="240" w:lineRule="auto"/>
      </w:pPr>
      <w:bookmarkStart w:id="479" w:name="cite_224"/>
      <w:r>
        <w:rPr>
          <w:sz w:val="16"/>
          <w:vertAlign w:val="superscript"/>
        </w:rPr>
        <w:t>224</w:t>
      </w:r>
      <w:bookmarkEnd w:id="479"/>
      <w:r>
        <w:fldChar w:fldCharType="begin"/>
      </w:r>
      <w:r>
        <w:instrText>HYPERLINK "https://en.wikipedia.org/wiki/History_of_the_filioque_controversy" \h</w:instrText>
      </w:r>
      <w:r>
        <w:fldChar w:fldCharType="separate"/>
      </w:r>
      <w:r>
        <w:rPr>
          <w:color w:val="0563C1"/>
          <w:sz w:val="18"/>
          <w:u w:val="single"/>
        </w:rPr>
        <w:t>Wikipedia, “History of the filioque controversy”</w:t>
      </w:r>
      <w:r>
        <w:fldChar w:fldCharType="end"/>
      </w:r>
    </w:p>
    <w:p w14:paraId="1F4CC8C6" w14:textId="77777777" w:rsidR="009C7F52" w:rsidRDefault="00731002">
      <w:pPr>
        <w:spacing w:after="80" w:line="240" w:lineRule="auto"/>
      </w:pPr>
      <w:bookmarkStart w:id="480" w:name="cite_225"/>
      <w:r>
        <w:rPr>
          <w:sz w:val="16"/>
          <w:vertAlign w:val="superscript"/>
        </w:rPr>
        <w:t>225</w:t>
      </w:r>
      <w:bookmarkEnd w:id="480"/>
      <w:r>
        <w:rPr>
          <w:sz w:val="18"/>
        </w:rPr>
        <w:t>Britannica, “Photian Schism”; OrthodoxWiki, “Filioque”</w:t>
      </w:r>
      <w:hyperlink r:id="rId40">
        <w:r>
          <w:rPr>
            <w:color w:val="0563C1"/>
            <w:sz w:val="18"/>
            <w:u w:val="single"/>
          </w:rPr>
          <w:t>[Source 1]</w:t>
        </w:r>
      </w:hyperlink>
      <w:hyperlink r:id="rId41">
        <w:r>
          <w:rPr>
            <w:color w:val="0563C1"/>
            <w:sz w:val="18"/>
            <w:u w:val="single"/>
          </w:rPr>
          <w:t>[Source 2]</w:t>
        </w:r>
      </w:hyperlink>
    </w:p>
    <w:p w14:paraId="5FBF12F1" w14:textId="77777777" w:rsidR="009C7F52" w:rsidRDefault="00731002">
      <w:pPr>
        <w:spacing w:after="80" w:line="240" w:lineRule="auto"/>
      </w:pPr>
      <w:bookmarkStart w:id="481" w:name="cite_226"/>
      <w:r>
        <w:rPr>
          <w:sz w:val="16"/>
          <w:vertAlign w:val="superscript"/>
        </w:rPr>
        <w:t>226</w:t>
      </w:r>
      <w:bookmarkEnd w:id="481"/>
      <w:r>
        <w:fldChar w:fldCharType="begin"/>
      </w:r>
      <w:r>
        <w:instrText>HYPERLINK "https://en.wikipedia.org/wiki/East%E2%80%93West_Schism" \h</w:instrText>
      </w:r>
      <w:r>
        <w:fldChar w:fldCharType="separate"/>
      </w:r>
      <w:r>
        <w:rPr>
          <w:color w:val="0563C1"/>
          <w:sz w:val="18"/>
          <w:u w:val="single"/>
        </w:rPr>
        <w:t>Wikipedia, “East–West Schism”</w:t>
      </w:r>
      <w:r>
        <w:fldChar w:fldCharType="end"/>
      </w:r>
    </w:p>
    <w:p w14:paraId="40469E8A" w14:textId="77777777" w:rsidR="009C7F52" w:rsidRDefault="00731002">
      <w:pPr>
        <w:spacing w:after="80" w:line="240" w:lineRule="auto"/>
      </w:pPr>
      <w:bookmarkStart w:id="482" w:name="cite_227"/>
      <w:r>
        <w:rPr>
          <w:sz w:val="16"/>
          <w:vertAlign w:val="superscript"/>
        </w:rPr>
        <w:t>227</w:t>
      </w:r>
      <w:bookmarkEnd w:id="482"/>
      <w:r>
        <w:rPr>
          <w:sz w:val="18"/>
        </w:rPr>
        <w:t>Ligonier Ministries, “The Great Schism of 1054”; Wikipedia, “East–West Schism”</w:t>
      </w:r>
      <w:hyperlink r:id="rId42">
        <w:r>
          <w:rPr>
            <w:color w:val="0563C1"/>
            <w:sz w:val="18"/>
            <w:u w:val="single"/>
          </w:rPr>
          <w:t>[Source 1]</w:t>
        </w:r>
      </w:hyperlink>
      <w:hyperlink r:id="rId43">
        <w:r>
          <w:rPr>
            <w:color w:val="0563C1"/>
            <w:sz w:val="18"/>
            <w:u w:val="single"/>
          </w:rPr>
          <w:t>[Source 2]</w:t>
        </w:r>
      </w:hyperlink>
    </w:p>
    <w:p w14:paraId="703CD8B1" w14:textId="77777777" w:rsidR="009C7F52" w:rsidRDefault="00731002">
      <w:pPr>
        <w:spacing w:after="80" w:line="240" w:lineRule="auto"/>
      </w:pPr>
      <w:bookmarkStart w:id="483" w:name="cite_228"/>
      <w:r>
        <w:rPr>
          <w:sz w:val="16"/>
          <w:vertAlign w:val="superscript"/>
        </w:rPr>
        <w:t>228</w:t>
      </w:r>
      <w:bookmarkEnd w:id="483"/>
      <w:r>
        <w:fldChar w:fldCharType="begin"/>
      </w:r>
      <w:r>
        <w:instrText>HYPERLINK "https://en.wikipedia.org/wiki/East%E2%80%93West_Schism" \h</w:instrText>
      </w:r>
      <w:r>
        <w:fldChar w:fldCharType="separate"/>
      </w:r>
      <w:r>
        <w:rPr>
          <w:color w:val="0563C1"/>
          <w:sz w:val="18"/>
          <w:u w:val="single"/>
        </w:rPr>
        <w:t>Wikipedia, “East–West Schism”</w:t>
      </w:r>
      <w:r>
        <w:fldChar w:fldCharType="end"/>
      </w:r>
    </w:p>
    <w:p w14:paraId="6951DFDB" w14:textId="77777777" w:rsidR="009C7F52" w:rsidRDefault="00731002">
      <w:pPr>
        <w:spacing w:after="80" w:line="240" w:lineRule="auto"/>
      </w:pPr>
      <w:bookmarkStart w:id="484" w:name="cite_229"/>
      <w:r>
        <w:rPr>
          <w:sz w:val="16"/>
          <w:vertAlign w:val="superscript"/>
        </w:rPr>
        <w:t>229</w:t>
      </w:r>
      <w:bookmarkEnd w:id="484"/>
      <w:r>
        <w:fldChar w:fldCharType="begin"/>
      </w:r>
      <w:r>
        <w:instrText>HYPERLINK "https://iep.utm.edu/anselm-of-centerbury/" \h</w:instrText>
      </w:r>
      <w:r>
        <w:fldChar w:fldCharType="separate"/>
      </w:r>
      <w:r>
        <w:rPr>
          <w:color w:val="0563C1"/>
          <w:sz w:val="18"/>
          <w:u w:val="single"/>
        </w:rPr>
        <w:t>Internet Encyclopedia of Philosophy, “Anselm of Canterbury”</w:t>
      </w:r>
      <w:r>
        <w:fldChar w:fldCharType="end"/>
      </w:r>
    </w:p>
    <w:p w14:paraId="0505C16F" w14:textId="77777777" w:rsidR="009C7F52" w:rsidRDefault="00731002">
      <w:pPr>
        <w:spacing w:after="80" w:line="240" w:lineRule="auto"/>
      </w:pPr>
      <w:bookmarkStart w:id="485" w:name="cite_230"/>
      <w:r>
        <w:rPr>
          <w:sz w:val="16"/>
          <w:vertAlign w:val="superscript"/>
        </w:rPr>
        <w:t>230</w:t>
      </w:r>
      <w:bookmarkEnd w:id="485"/>
      <w:r>
        <w:fldChar w:fldCharType="begin"/>
      </w:r>
      <w:r>
        <w:instrText>HYPERLINK "https://www.openphilosophytexts.com/anselm-proslogion" \h</w:instrText>
      </w:r>
      <w:r>
        <w:fldChar w:fldCharType="separate"/>
      </w:r>
      <w:r>
        <w:rPr>
          <w:color w:val="0563C1"/>
          <w:sz w:val="18"/>
          <w:u w:val="single"/>
        </w:rPr>
        <w:t>Open Philosophy Texts, Anselm’s Proslogion</w:t>
      </w:r>
      <w:r>
        <w:fldChar w:fldCharType="end"/>
      </w:r>
    </w:p>
    <w:p w14:paraId="48DA6FE1" w14:textId="77777777" w:rsidR="009C7F52" w:rsidRDefault="00731002">
      <w:pPr>
        <w:spacing w:after="80" w:line="240" w:lineRule="auto"/>
      </w:pPr>
      <w:bookmarkStart w:id="486" w:name="cite_231"/>
      <w:r>
        <w:rPr>
          <w:sz w:val="16"/>
          <w:vertAlign w:val="superscript"/>
        </w:rPr>
        <w:t>231</w:t>
      </w:r>
      <w:bookmarkEnd w:id="486"/>
      <w:r>
        <w:fldChar w:fldCharType="begin"/>
      </w:r>
      <w:r>
        <w:instrText>HYPERLINK "https://www.logoslibrary.org/anselm/monologion/78.html" \h</w:instrText>
      </w:r>
      <w:r>
        <w:fldChar w:fldCharType="separate"/>
      </w:r>
      <w:r>
        <w:rPr>
          <w:color w:val="0563C1"/>
          <w:sz w:val="18"/>
          <w:u w:val="single"/>
        </w:rPr>
        <w:t>Logos Virtual Library, Anselm’s Monologion, 78</w:t>
      </w:r>
      <w:r>
        <w:fldChar w:fldCharType="end"/>
      </w:r>
    </w:p>
    <w:p w14:paraId="7F02D92F" w14:textId="77777777" w:rsidR="009C7F52" w:rsidRDefault="00731002">
      <w:pPr>
        <w:spacing w:after="80" w:line="240" w:lineRule="auto"/>
      </w:pPr>
      <w:bookmarkStart w:id="487" w:name="cite_232"/>
      <w:r>
        <w:rPr>
          <w:sz w:val="16"/>
          <w:vertAlign w:val="superscript"/>
        </w:rPr>
        <w:t>232</w:t>
      </w:r>
      <w:bookmarkEnd w:id="487"/>
      <w:r>
        <w:rPr>
          <w:sz w:val="18"/>
        </w:rPr>
        <w:t>Franciscan Archive, Peter Lombard’s First Book of Sentences; Brepols Publishers, The Sentences, Book 1</w:t>
      </w:r>
      <w:hyperlink r:id="rId44">
        <w:r>
          <w:rPr>
            <w:color w:val="0563C1"/>
            <w:sz w:val="18"/>
            <w:u w:val="single"/>
          </w:rPr>
          <w:t>[Source 1]</w:t>
        </w:r>
      </w:hyperlink>
      <w:hyperlink r:id="rId45">
        <w:r>
          <w:rPr>
            <w:color w:val="0563C1"/>
            <w:sz w:val="18"/>
            <w:u w:val="single"/>
          </w:rPr>
          <w:t>[Source 2]</w:t>
        </w:r>
      </w:hyperlink>
    </w:p>
    <w:p w14:paraId="2B52E719" w14:textId="77777777" w:rsidR="009C7F52" w:rsidRDefault="00731002">
      <w:pPr>
        <w:spacing w:after="80" w:line="240" w:lineRule="auto"/>
      </w:pPr>
      <w:bookmarkStart w:id="488" w:name="cite_233"/>
      <w:r>
        <w:rPr>
          <w:sz w:val="16"/>
          <w:vertAlign w:val="superscript"/>
        </w:rPr>
        <w:t>233</w:t>
      </w:r>
      <w:bookmarkEnd w:id="488"/>
      <w:r>
        <w:fldChar w:fldCharType="begin"/>
      </w:r>
      <w:r>
        <w:instrText>HYPERLINK "https://academic.oup.com/book/25315/chapter/192312501" \h</w:instrText>
      </w:r>
      <w:r>
        <w:fldChar w:fldCharType="separate"/>
      </w:r>
      <w:r>
        <w:rPr>
          <w:color w:val="0563C1"/>
          <w:sz w:val="18"/>
          <w:u w:val="single"/>
        </w:rPr>
        <w:t>Oxford Academic, “The Sentences, Book I: On the Mystery of the Trinity”</w:t>
      </w:r>
      <w:r>
        <w:fldChar w:fldCharType="end"/>
      </w:r>
    </w:p>
    <w:p w14:paraId="267869B3" w14:textId="77777777" w:rsidR="009C7F52" w:rsidRDefault="00731002">
      <w:pPr>
        <w:spacing w:after="80" w:line="240" w:lineRule="auto"/>
      </w:pPr>
      <w:bookmarkStart w:id="489" w:name="cite_234"/>
      <w:r>
        <w:rPr>
          <w:sz w:val="16"/>
          <w:vertAlign w:val="superscript"/>
        </w:rPr>
        <w:t>234</w:t>
      </w:r>
      <w:bookmarkEnd w:id="489"/>
      <w:r>
        <w:fldChar w:fldCharType="begin"/>
      </w:r>
      <w:r>
        <w:instrText>HYPERLINK "https://www.newadvent.org/summa/1027.htm" \h</w:instrText>
      </w:r>
      <w:r>
        <w:fldChar w:fldCharType="separate"/>
      </w:r>
      <w:r>
        <w:rPr>
          <w:color w:val="0563C1"/>
          <w:sz w:val="18"/>
          <w:u w:val="single"/>
        </w:rPr>
        <w:t>New Advent, Summa Theologiae, Question 27</w:t>
      </w:r>
      <w:r>
        <w:fldChar w:fldCharType="end"/>
      </w:r>
    </w:p>
    <w:p w14:paraId="747BB3AB" w14:textId="77777777" w:rsidR="009C7F52" w:rsidRDefault="00731002">
      <w:pPr>
        <w:spacing w:after="80" w:line="240" w:lineRule="auto"/>
      </w:pPr>
      <w:bookmarkStart w:id="490" w:name="cite_235"/>
      <w:r>
        <w:rPr>
          <w:sz w:val="16"/>
          <w:vertAlign w:val="superscript"/>
        </w:rPr>
        <w:t>235</w:t>
      </w:r>
      <w:bookmarkEnd w:id="490"/>
      <w:r>
        <w:fldChar w:fldCharType="begin"/>
      </w:r>
      <w:r>
        <w:instrText>HYPERLINK "https://equip.sbts.edu/publications/journals/journal-of-theology/sbjt-212-summer-2017/trinity-economy-thomas-aquinas/" \h</w:instrText>
      </w:r>
      <w:r>
        <w:fldChar w:fldCharType="separate"/>
      </w:r>
      <w:r>
        <w:rPr>
          <w:color w:val="0563C1"/>
          <w:sz w:val="18"/>
          <w:u w:val="single"/>
        </w:rPr>
        <w:t>Southern Equip / SBTS, “Trinity and Economy in Thomas Aquinas”</w:t>
      </w:r>
      <w:r>
        <w:fldChar w:fldCharType="end"/>
      </w:r>
    </w:p>
    <w:p w14:paraId="48A89770" w14:textId="77777777" w:rsidR="009C7F52" w:rsidRDefault="00731002">
      <w:pPr>
        <w:spacing w:after="80" w:line="240" w:lineRule="auto"/>
      </w:pPr>
      <w:bookmarkStart w:id="491" w:name="cite_236"/>
      <w:r>
        <w:rPr>
          <w:sz w:val="16"/>
          <w:vertAlign w:val="superscript"/>
        </w:rPr>
        <w:t>236</w:t>
      </w:r>
      <w:bookmarkEnd w:id="491"/>
      <w:r>
        <w:rPr>
          <w:sz w:val="18"/>
        </w:rPr>
        <w:t>Southern Equip / SBTS, “Trinity and Economy in Thomas Aquinas”; Catholicism.org, “The ‘Relations’ in the Blessed Trinity”</w:t>
      </w:r>
      <w:hyperlink r:id="rId46">
        <w:r>
          <w:rPr>
            <w:color w:val="0563C1"/>
            <w:sz w:val="18"/>
            <w:u w:val="single"/>
          </w:rPr>
          <w:t>[Source 1]</w:t>
        </w:r>
      </w:hyperlink>
      <w:hyperlink r:id="rId47">
        <w:r>
          <w:rPr>
            <w:color w:val="0563C1"/>
            <w:sz w:val="18"/>
            <w:u w:val="single"/>
          </w:rPr>
          <w:t>[Source 2]</w:t>
        </w:r>
      </w:hyperlink>
    </w:p>
    <w:p w14:paraId="06C68852" w14:textId="77777777" w:rsidR="009C7F52" w:rsidRDefault="00731002">
      <w:pPr>
        <w:spacing w:after="80" w:line="240" w:lineRule="auto"/>
      </w:pPr>
      <w:bookmarkStart w:id="492" w:name="cite_237"/>
      <w:r>
        <w:rPr>
          <w:sz w:val="16"/>
          <w:vertAlign w:val="superscript"/>
        </w:rPr>
        <w:t>237</w:t>
      </w:r>
      <w:bookmarkEnd w:id="492"/>
      <w:r>
        <w:fldChar w:fldCharType="begin"/>
      </w:r>
      <w:r>
        <w:instrText>HYPERLINK "https://ccel.org/ccel/aquinas/summa/summa.FP_Q28_A1.html" \h</w:instrText>
      </w:r>
      <w:r>
        <w:fldChar w:fldCharType="separate"/>
      </w:r>
      <w:r>
        <w:rPr>
          <w:color w:val="0563C1"/>
          <w:sz w:val="18"/>
          <w:u w:val="single"/>
        </w:rPr>
        <w:t>Christian Classics Ethereal Library, Summa Theologica, Question 28, Article 1</w:t>
      </w:r>
      <w:r>
        <w:fldChar w:fldCharType="end"/>
      </w:r>
    </w:p>
    <w:p w14:paraId="09686318" w14:textId="77777777" w:rsidR="009C7F52" w:rsidRDefault="00731002">
      <w:pPr>
        <w:spacing w:after="80" w:line="240" w:lineRule="auto"/>
      </w:pPr>
      <w:bookmarkStart w:id="493" w:name="cite_238"/>
      <w:r>
        <w:rPr>
          <w:sz w:val="16"/>
          <w:vertAlign w:val="superscript"/>
        </w:rPr>
        <w:t>238</w:t>
      </w:r>
      <w:bookmarkEnd w:id="493"/>
      <w:r>
        <w:fldChar w:fldCharType="begin"/>
      </w:r>
      <w:r>
        <w:instrText>HYPERLINK "https://catholicism.org/the-relations-in-the-blessed-trinity.html" \h</w:instrText>
      </w:r>
      <w:r>
        <w:fldChar w:fldCharType="separate"/>
      </w:r>
      <w:r>
        <w:rPr>
          <w:color w:val="0563C1"/>
          <w:sz w:val="18"/>
          <w:u w:val="single"/>
        </w:rPr>
        <w:t>Catholicism.org, “The ‘Relations’ in the Blessed Trinity”</w:t>
      </w:r>
      <w:r>
        <w:fldChar w:fldCharType="end"/>
      </w:r>
    </w:p>
    <w:p w14:paraId="04AE5721" w14:textId="77777777" w:rsidR="009C7F52" w:rsidRDefault="00731002">
      <w:pPr>
        <w:spacing w:after="80" w:line="240" w:lineRule="auto"/>
      </w:pPr>
      <w:bookmarkStart w:id="494" w:name="cite_239"/>
      <w:r>
        <w:rPr>
          <w:sz w:val="16"/>
          <w:vertAlign w:val="superscript"/>
        </w:rPr>
        <w:t>239</w:t>
      </w:r>
      <w:bookmarkEnd w:id="494"/>
      <w:r>
        <w:fldChar w:fldCharType="begin"/>
      </w:r>
      <w:r>
        <w:instrText>HYPERLINK "https://www.ccel.org/ccel/aquinas/summa.FP_Q39_A7.html" \h</w:instrText>
      </w:r>
      <w:r>
        <w:fldChar w:fldCharType="separate"/>
      </w:r>
      <w:r>
        <w:rPr>
          <w:color w:val="0563C1"/>
          <w:sz w:val="18"/>
          <w:u w:val="single"/>
        </w:rPr>
        <w:t>Christian Classics Ethereal Library, Summa Theologica, Question 39, Article 7</w:t>
      </w:r>
      <w:r>
        <w:fldChar w:fldCharType="end"/>
      </w:r>
    </w:p>
    <w:p w14:paraId="2F514470" w14:textId="77777777" w:rsidR="009C7F52" w:rsidRDefault="00731002">
      <w:pPr>
        <w:spacing w:after="80" w:line="240" w:lineRule="auto"/>
      </w:pPr>
      <w:bookmarkStart w:id="495" w:name="cite_240"/>
      <w:r>
        <w:rPr>
          <w:sz w:val="16"/>
          <w:vertAlign w:val="superscript"/>
        </w:rPr>
        <w:t>240</w:t>
      </w:r>
      <w:bookmarkEnd w:id="495"/>
      <w:r>
        <w:fldChar w:fldCharType="begin"/>
      </w:r>
      <w:r>
        <w:instrText>HYPERLINK "https://www.ccel.org/ccel/aquinas/summa.FP_Q45_A6.html" \h</w:instrText>
      </w:r>
      <w:r>
        <w:fldChar w:fldCharType="separate"/>
      </w:r>
      <w:r>
        <w:rPr>
          <w:color w:val="0563C1"/>
          <w:sz w:val="18"/>
          <w:u w:val="single"/>
        </w:rPr>
        <w:t>Christian Classics Ethereal Library, Summa Theologica, Question 45, Article 6</w:t>
      </w:r>
      <w:r>
        <w:fldChar w:fldCharType="end"/>
      </w:r>
    </w:p>
    <w:p w14:paraId="5BBB400C" w14:textId="77777777" w:rsidR="009C7F52" w:rsidRDefault="00731002">
      <w:pPr>
        <w:spacing w:after="80" w:line="240" w:lineRule="auto"/>
      </w:pPr>
      <w:bookmarkStart w:id="496" w:name="cite_241"/>
      <w:r>
        <w:rPr>
          <w:sz w:val="16"/>
          <w:vertAlign w:val="superscript"/>
        </w:rPr>
        <w:t>241</w:t>
      </w:r>
      <w:bookmarkEnd w:id="496"/>
      <w:r>
        <w:fldChar w:fldCharType="begin"/>
      </w:r>
      <w:r>
        <w:instrText>HYPERLINK "https://academic.oup.com/edited-volume/58970/chapter/494439336" \h</w:instrText>
      </w:r>
      <w:r>
        <w:fldChar w:fldCharType="separate"/>
      </w:r>
      <w:r>
        <w:rPr>
          <w:color w:val="0563C1"/>
          <w:sz w:val="18"/>
          <w:u w:val="single"/>
        </w:rPr>
        <w:t>Oxford Academic, “Trinity (Heb. 1:3; John 1)”</w:t>
      </w:r>
      <w:r>
        <w:fldChar w:fldCharType="end"/>
      </w:r>
    </w:p>
    <w:p w14:paraId="3994F183" w14:textId="77777777" w:rsidR="009C7F52" w:rsidRDefault="00731002">
      <w:pPr>
        <w:spacing w:after="80" w:line="240" w:lineRule="auto"/>
      </w:pPr>
      <w:bookmarkStart w:id="497" w:name="cite_242"/>
      <w:r>
        <w:rPr>
          <w:sz w:val="16"/>
          <w:vertAlign w:val="superscript"/>
        </w:rPr>
        <w:t>242</w:t>
      </w:r>
      <w:bookmarkEnd w:id="497"/>
      <w:r>
        <w:fldChar w:fldCharType="begin"/>
      </w:r>
      <w:r>
        <w:instrText>HYPERLINK "https://www.biblestudytools.com/history/calvin-institutes-christianity/book1/chapter-13.html" \h</w:instrText>
      </w:r>
      <w:r>
        <w:fldChar w:fldCharType="separate"/>
      </w:r>
      <w:r>
        <w:rPr>
          <w:color w:val="0563C1"/>
          <w:sz w:val="18"/>
          <w:u w:val="single"/>
        </w:rPr>
        <w:t>Bible Study Tools, Institutes Book 1, Chapter 13</w:t>
      </w:r>
      <w:r>
        <w:fldChar w:fldCharType="end"/>
      </w:r>
    </w:p>
    <w:p w14:paraId="220210AC" w14:textId="77777777" w:rsidR="009C7F52" w:rsidRDefault="00731002">
      <w:pPr>
        <w:spacing w:after="80" w:line="240" w:lineRule="auto"/>
      </w:pPr>
      <w:bookmarkStart w:id="498" w:name="cite_243"/>
      <w:r>
        <w:rPr>
          <w:sz w:val="16"/>
          <w:vertAlign w:val="superscript"/>
        </w:rPr>
        <w:t>243</w:t>
      </w:r>
      <w:bookmarkEnd w:id="498"/>
      <w:r>
        <w:fldChar w:fldCharType="begin"/>
      </w:r>
      <w:r>
        <w:instrText>HYPERLINK "https://www.biblestudytools.com/history/calvin-institutes-christianity/book1/chapter-13.html" \h</w:instrText>
      </w:r>
      <w:r>
        <w:fldChar w:fldCharType="separate"/>
      </w:r>
      <w:r>
        <w:rPr>
          <w:color w:val="0563C1"/>
          <w:sz w:val="18"/>
          <w:u w:val="single"/>
        </w:rPr>
        <w:t>Bible Study Tools, Institutes Book 1, Chapter 13</w:t>
      </w:r>
      <w:r>
        <w:fldChar w:fldCharType="end"/>
      </w:r>
    </w:p>
    <w:p w14:paraId="44466768" w14:textId="77777777" w:rsidR="009C7F52" w:rsidRDefault="00731002">
      <w:pPr>
        <w:spacing w:after="80" w:line="240" w:lineRule="auto"/>
      </w:pPr>
      <w:bookmarkStart w:id="499" w:name="cite_244"/>
      <w:r>
        <w:rPr>
          <w:sz w:val="16"/>
          <w:vertAlign w:val="superscript"/>
        </w:rPr>
        <w:t>244</w:t>
      </w:r>
      <w:bookmarkEnd w:id="499"/>
      <w:r>
        <w:fldChar w:fldCharType="begin"/>
      </w:r>
      <w:r>
        <w:instrText>HYPERLINK "https://www.biblestudytools.com/history/calvin-institutes-christianity/book1/chapter-13.html" \h</w:instrText>
      </w:r>
      <w:r>
        <w:fldChar w:fldCharType="separate"/>
      </w:r>
      <w:r>
        <w:rPr>
          <w:color w:val="0563C1"/>
          <w:sz w:val="18"/>
          <w:u w:val="single"/>
        </w:rPr>
        <w:t>Bible Study Tools, Institutes Book 1, Chapter 13</w:t>
      </w:r>
      <w:r>
        <w:fldChar w:fldCharType="end"/>
      </w:r>
    </w:p>
    <w:p w14:paraId="5BF9E136" w14:textId="77777777" w:rsidR="009C7F52" w:rsidRDefault="00731002">
      <w:pPr>
        <w:spacing w:after="80" w:line="240" w:lineRule="auto"/>
      </w:pPr>
      <w:bookmarkStart w:id="500" w:name="cite_245"/>
      <w:r>
        <w:rPr>
          <w:sz w:val="16"/>
          <w:vertAlign w:val="superscript"/>
        </w:rPr>
        <w:t>245</w:t>
      </w:r>
      <w:bookmarkEnd w:id="500"/>
      <w:r>
        <w:fldChar w:fldCharType="begin"/>
      </w:r>
      <w:r>
        <w:instrText>HYPERLINK "https://www.biblestudytools.com/history/calvin-institutes-christianity/book1/chapter-13.html" \h</w:instrText>
      </w:r>
      <w:r>
        <w:fldChar w:fldCharType="separate"/>
      </w:r>
      <w:r>
        <w:rPr>
          <w:color w:val="0563C1"/>
          <w:sz w:val="18"/>
          <w:u w:val="single"/>
        </w:rPr>
        <w:t>Bible Study Tools, Institutes Book 1, Chapter 13</w:t>
      </w:r>
      <w:r>
        <w:fldChar w:fldCharType="end"/>
      </w:r>
    </w:p>
    <w:p w14:paraId="1C41CC0E" w14:textId="77777777" w:rsidR="009C7F52" w:rsidRDefault="00731002">
      <w:pPr>
        <w:spacing w:after="80" w:line="240" w:lineRule="auto"/>
      </w:pPr>
      <w:bookmarkStart w:id="501" w:name="cite_246"/>
      <w:r>
        <w:rPr>
          <w:sz w:val="16"/>
          <w:vertAlign w:val="superscript"/>
        </w:rPr>
        <w:t>246</w:t>
      </w:r>
      <w:bookmarkEnd w:id="501"/>
      <w:r>
        <w:fldChar w:fldCharType="begin"/>
      </w:r>
      <w:r>
        <w:instrText>HYPERLINK "https://www.biblestudytools.com/history/calvin-institutes-christianity/book1/chapter-13.html" \h</w:instrText>
      </w:r>
      <w:r>
        <w:fldChar w:fldCharType="separate"/>
      </w:r>
      <w:r>
        <w:rPr>
          <w:color w:val="0563C1"/>
          <w:sz w:val="18"/>
          <w:u w:val="single"/>
        </w:rPr>
        <w:t>Bible Study Tools, Institutes Book 1, Chapter 13</w:t>
      </w:r>
      <w:r>
        <w:fldChar w:fldCharType="end"/>
      </w:r>
    </w:p>
    <w:p w14:paraId="233DFD18" w14:textId="77777777" w:rsidR="009C7F52" w:rsidRDefault="00731002">
      <w:pPr>
        <w:spacing w:after="80" w:line="240" w:lineRule="auto"/>
      </w:pPr>
      <w:bookmarkStart w:id="502" w:name="cite_247"/>
      <w:r>
        <w:rPr>
          <w:sz w:val="16"/>
          <w:vertAlign w:val="superscript"/>
        </w:rPr>
        <w:t>247</w:t>
      </w:r>
      <w:bookmarkEnd w:id="502"/>
      <w:r>
        <w:fldChar w:fldCharType="begin"/>
      </w:r>
      <w:r>
        <w:instrText>HYPERLINK "https://biblicalstudies.org.uk/pdf/ref-rev/07-2/7-2_holdsworth.pdf" \h</w:instrText>
      </w:r>
      <w:r>
        <w:fldChar w:fldCharType="separate"/>
      </w:r>
      <w:r>
        <w:rPr>
          <w:color w:val="0563C1"/>
          <w:sz w:val="18"/>
          <w:u w:val="single"/>
        </w:rPr>
        <w:t>Biblical Studies UK, Holdsworth on Calvin’s Trinitarian theology</w:t>
      </w:r>
      <w:r>
        <w:fldChar w:fldCharType="end"/>
      </w:r>
    </w:p>
    <w:p w14:paraId="1C234A8D" w14:textId="77777777" w:rsidR="009C7F52" w:rsidRDefault="00731002">
      <w:pPr>
        <w:spacing w:after="80" w:line="240" w:lineRule="auto"/>
      </w:pPr>
      <w:bookmarkStart w:id="503" w:name="cite_248"/>
      <w:r>
        <w:rPr>
          <w:sz w:val="16"/>
          <w:vertAlign w:val="superscript"/>
        </w:rPr>
        <w:t>248</w:t>
      </w:r>
      <w:bookmarkEnd w:id="503"/>
      <w:r>
        <w:fldChar w:fldCharType="begin"/>
      </w:r>
      <w:r>
        <w:instrText>HYPERLINK "https://en.wikipedia.org/wiki/Michael_Servetus" \h</w:instrText>
      </w:r>
      <w:r>
        <w:fldChar w:fldCharType="separate"/>
      </w:r>
      <w:r>
        <w:rPr>
          <w:color w:val="0563C1"/>
          <w:sz w:val="18"/>
          <w:u w:val="single"/>
        </w:rPr>
        <w:t>Wikipedia, “Michael Servetus”</w:t>
      </w:r>
      <w:r>
        <w:fldChar w:fldCharType="end"/>
      </w:r>
    </w:p>
    <w:p w14:paraId="10EFCBFB" w14:textId="77777777" w:rsidR="009C7F52" w:rsidRDefault="00731002">
      <w:pPr>
        <w:spacing w:after="80" w:line="240" w:lineRule="auto"/>
      </w:pPr>
      <w:bookmarkStart w:id="504" w:name="cite_249"/>
      <w:r>
        <w:rPr>
          <w:sz w:val="16"/>
          <w:vertAlign w:val="superscript"/>
        </w:rPr>
        <w:t>249</w:t>
      </w:r>
      <w:bookmarkEnd w:id="504"/>
      <w:r>
        <w:rPr>
          <w:sz w:val="18"/>
        </w:rPr>
        <w:t>Teleios Ministries, The Errors of the Trinity by Servetus; Bursa Uludağ University, “Trinity in the Theology of Michael Servetus”</w:t>
      </w:r>
      <w:hyperlink r:id="rId48">
        <w:r>
          <w:rPr>
            <w:color w:val="0563C1"/>
            <w:sz w:val="18"/>
            <w:u w:val="single"/>
          </w:rPr>
          <w:t>[Source 1]</w:t>
        </w:r>
      </w:hyperlink>
      <w:hyperlink r:id="rId49">
        <w:r>
          <w:rPr>
            <w:color w:val="0563C1"/>
            <w:sz w:val="18"/>
            <w:u w:val="single"/>
          </w:rPr>
          <w:t>[Source 2]</w:t>
        </w:r>
      </w:hyperlink>
    </w:p>
    <w:p w14:paraId="5A711DF8" w14:textId="77777777" w:rsidR="009C7F52" w:rsidRDefault="00731002">
      <w:pPr>
        <w:spacing w:after="80" w:line="240" w:lineRule="auto"/>
      </w:pPr>
      <w:bookmarkStart w:id="505" w:name="cite_250"/>
      <w:r>
        <w:rPr>
          <w:sz w:val="16"/>
          <w:vertAlign w:val="superscript"/>
        </w:rPr>
        <w:t>250</w:t>
      </w:r>
      <w:bookmarkEnd w:id="505"/>
      <w:r>
        <w:fldChar w:fldCharType="begin"/>
      </w:r>
      <w:r>
        <w:instrText>HYPERLINK "https://archive.org/stream/M.ServetusTwoTreatisesOfServetusOnTheTrinity19691531-1532/1969_servetus_twoTreatisesOnTheTrinity_1531-1532__djvu.txt" \h</w:instrText>
      </w:r>
      <w:r>
        <w:fldChar w:fldCharType="separate"/>
      </w:r>
      <w:r>
        <w:rPr>
          <w:color w:val="0563C1"/>
          <w:sz w:val="18"/>
          <w:u w:val="single"/>
        </w:rPr>
        <w:t>Archive.org, Two Treatises of Servetus on the Trinity</w:t>
      </w:r>
      <w:r>
        <w:fldChar w:fldCharType="end"/>
      </w:r>
    </w:p>
    <w:p w14:paraId="40979F5E" w14:textId="77777777" w:rsidR="009C7F52" w:rsidRDefault="00731002">
      <w:pPr>
        <w:spacing w:after="80" w:line="240" w:lineRule="auto"/>
      </w:pPr>
      <w:bookmarkStart w:id="506" w:name="cite_251"/>
      <w:r>
        <w:rPr>
          <w:sz w:val="16"/>
          <w:vertAlign w:val="superscript"/>
        </w:rPr>
        <w:t>251</w:t>
      </w:r>
      <w:bookmarkEnd w:id="506"/>
      <w:r>
        <w:fldChar w:fldCharType="begin"/>
      </w:r>
      <w:r>
        <w:instrText>HYPERLINK "https://ffrf.org/publications/day/michael-servetus-executed/" \h</w:instrText>
      </w:r>
      <w:r>
        <w:fldChar w:fldCharType="separate"/>
      </w:r>
      <w:r>
        <w:rPr>
          <w:color w:val="0563C1"/>
          <w:sz w:val="18"/>
          <w:u w:val="single"/>
        </w:rPr>
        <w:t>Freedom From Religion Foundation, “Michael Servetus (Executed)”</w:t>
      </w:r>
      <w:r>
        <w:fldChar w:fldCharType="end"/>
      </w:r>
    </w:p>
    <w:p w14:paraId="13C99EAF" w14:textId="77777777" w:rsidR="009C7F52" w:rsidRDefault="00731002">
      <w:pPr>
        <w:spacing w:after="80" w:line="240" w:lineRule="auto"/>
      </w:pPr>
      <w:bookmarkStart w:id="507" w:name="cite_252"/>
      <w:r>
        <w:rPr>
          <w:sz w:val="16"/>
          <w:vertAlign w:val="superscript"/>
        </w:rPr>
        <w:t>252</w:t>
      </w:r>
      <w:bookmarkEnd w:id="507"/>
      <w:r>
        <w:fldChar w:fldCharType="begin"/>
      </w:r>
      <w:r>
        <w:instrText>HYPERLINK "https://en.wikipedia.org/wiki/Michael_Servetus" \h</w:instrText>
      </w:r>
      <w:r>
        <w:fldChar w:fldCharType="separate"/>
      </w:r>
      <w:r>
        <w:rPr>
          <w:color w:val="0563C1"/>
          <w:sz w:val="18"/>
          <w:u w:val="single"/>
        </w:rPr>
        <w:t>Wikipedia, “Michael Servetus”</w:t>
      </w:r>
      <w:r>
        <w:fldChar w:fldCharType="end"/>
      </w:r>
    </w:p>
    <w:p w14:paraId="38D968A1" w14:textId="77777777" w:rsidR="009C7F52" w:rsidRDefault="00731002">
      <w:pPr>
        <w:spacing w:after="80" w:line="240" w:lineRule="auto"/>
      </w:pPr>
      <w:bookmarkStart w:id="508" w:name="cite_253"/>
      <w:r>
        <w:rPr>
          <w:sz w:val="16"/>
          <w:vertAlign w:val="superscript"/>
        </w:rPr>
        <w:t>253</w:t>
      </w:r>
      <w:bookmarkEnd w:id="508"/>
      <w:r>
        <w:fldChar w:fldCharType="begin"/>
      </w:r>
      <w:r>
        <w:instrText>HYPERLINK "https://en.wikipedia.org/wiki/Michael_Servetus" \h</w:instrText>
      </w:r>
      <w:r>
        <w:fldChar w:fldCharType="separate"/>
      </w:r>
      <w:r>
        <w:rPr>
          <w:color w:val="0563C1"/>
          <w:sz w:val="18"/>
          <w:u w:val="single"/>
        </w:rPr>
        <w:t>Wikipedia, “Michael Servetus”</w:t>
      </w:r>
      <w:r>
        <w:fldChar w:fldCharType="end"/>
      </w:r>
    </w:p>
    <w:p w14:paraId="078FC627" w14:textId="77777777" w:rsidR="009C7F52" w:rsidRDefault="00731002">
      <w:pPr>
        <w:spacing w:after="80" w:line="240" w:lineRule="auto"/>
      </w:pPr>
      <w:bookmarkStart w:id="509" w:name="cite_254"/>
      <w:r>
        <w:rPr>
          <w:sz w:val="16"/>
          <w:vertAlign w:val="superscript"/>
        </w:rPr>
        <w:t>254</w:t>
      </w:r>
      <w:bookmarkEnd w:id="509"/>
      <w:r>
        <w:rPr>
          <w:sz w:val="18"/>
        </w:rPr>
        <w:t>History Skills, “Calvin and the controversial execution of Michael Servetus”; Wikipedia, “Michael Servetus”</w:t>
      </w:r>
      <w:hyperlink r:id="rId50">
        <w:r>
          <w:rPr>
            <w:color w:val="0563C1"/>
            <w:sz w:val="18"/>
            <w:u w:val="single"/>
          </w:rPr>
          <w:t>[Source 1]</w:t>
        </w:r>
      </w:hyperlink>
      <w:hyperlink r:id="rId51">
        <w:r>
          <w:rPr>
            <w:color w:val="0563C1"/>
            <w:sz w:val="18"/>
            <w:u w:val="single"/>
          </w:rPr>
          <w:t>[Source 2]</w:t>
        </w:r>
      </w:hyperlink>
    </w:p>
    <w:p w14:paraId="31B17B98" w14:textId="77777777" w:rsidR="009C7F52" w:rsidRDefault="00731002">
      <w:pPr>
        <w:spacing w:after="80" w:line="240" w:lineRule="auto"/>
      </w:pPr>
      <w:bookmarkStart w:id="510" w:name="cite_255"/>
      <w:r>
        <w:rPr>
          <w:sz w:val="16"/>
          <w:vertAlign w:val="superscript"/>
        </w:rPr>
        <w:t>255</w:t>
      </w:r>
      <w:bookmarkEnd w:id="510"/>
      <w:r>
        <w:fldChar w:fldCharType="begin"/>
      </w:r>
      <w:r>
        <w:instrText>HYPERLINK "https://en.wikipedia.org/wiki/Michael_Servetus" \h</w:instrText>
      </w:r>
      <w:r>
        <w:fldChar w:fldCharType="separate"/>
      </w:r>
      <w:r>
        <w:rPr>
          <w:color w:val="0563C1"/>
          <w:sz w:val="18"/>
          <w:u w:val="single"/>
        </w:rPr>
        <w:t>Wikipedia, “Michael Servetus”</w:t>
      </w:r>
      <w:r>
        <w:fldChar w:fldCharType="end"/>
      </w:r>
    </w:p>
    <w:p w14:paraId="00DF3D41" w14:textId="77777777" w:rsidR="009C7F52" w:rsidRDefault="00731002">
      <w:pPr>
        <w:spacing w:after="80" w:line="240" w:lineRule="auto"/>
      </w:pPr>
      <w:bookmarkStart w:id="511" w:name="cite_256"/>
      <w:r>
        <w:rPr>
          <w:sz w:val="16"/>
          <w:vertAlign w:val="superscript"/>
        </w:rPr>
        <w:t>256</w:t>
      </w:r>
      <w:bookmarkEnd w:id="511"/>
      <w:r>
        <w:fldChar w:fldCharType="begin"/>
      </w:r>
      <w:r>
        <w:instrText>HYPERLINK "https://en.wikipedia.org/wiki/Michael_Servetus" \h</w:instrText>
      </w:r>
      <w:r>
        <w:fldChar w:fldCharType="separate"/>
      </w:r>
      <w:r>
        <w:rPr>
          <w:color w:val="0563C1"/>
          <w:sz w:val="18"/>
          <w:u w:val="single"/>
        </w:rPr>
        <w:t>Wikipedia, “Michael Servetus”</w:t>
      </w:r>
      <w:r>
        <w:fldChar w:fldCharType="end"/>
      </w:r>
    </w:p>
    <w:p w14:paraId="0F3DA196" w14:textId="77777777" w:rsidR="009C7F52" w:rsidRDefault="00731002">
      <w:pPr>
        <w:spacing w:after="80" w:line="240" w:lineRule="auto"/>
      </w:pPr>
      <w:bookmarkStart w:id="512" w:name="cite_257"/>
      <w:r>
        <w:rPr>
          <w:sz w:val="16"/>
          <w:vertAlign w:val="superscript"/>
        </w:rPr>
        <w:t>257</w:t>
      </w:r>
      <w:bookmarkEnd w:id="512"/>
      <w:r>
        <w:fldChar w:fldCharType="begin"/>
      </w:r>
      <w:r>
        <w:instrText>HYPERLINK "https://calvin.edu/sites/default/files/migrated/centers-institutes-meeter-center-files-resources-page-TheServetusControversy.pdf" \h</w:instrText>
      </w:r>
      <w:r>
        <w:fldChar w:fldCharType="separate"/>
      </w:r>
      <w:r>
        <w:rPr>
          <w:color w:val="0563C1"/>
          <w:sz w:val="18"/>
          <w:u w:val="single"/>
        </w:rPr>
        <w:t>Calvin.edu / Meeter Center, “The Controversy of Michael Servetus’ Execution”</w:t>
      </w:r>
      <w:r>
        <w:fldChar w:fldCharType="end"/>
      </w:r>
    </w:p>
    <w:p w14:paraId="4A6CA918" w14:textId="77777777" w:rsidR="009C7F52" w:rsidRDefault="00731002">
      <w:pPr>
        <w:spacing w:after="80" w:line="240" w:lineRule="auto"/>
      </w:pPr>
      <w:bookmarkStart w:id="513" w:name="cite_258"/>
      <w:r>
        <w:rPr>
          <w:sz w:val="16"/>
          <w:vertAlign w:val="superscript"/>
        </w:rPr>
        <w:t>258</w:t>
      </w:r>
      <w:bookmarkEnd w:id="513"/>
      <w:r>
        <w:fldChar w:fldCharType="begin"/>
      </w:r>
      <w:r>
        <w:instrText>HYPERLINK "https://en.wikipedia.org/wiki/Radical_Reformation" \h</w:instrText>
      </w:r>
      <w:r>
        <w:fldChar w:fldCharType="separate"/>
      </w:r>
      <w:r>
        <w:rPr>
          <w:color w:val="0563C1"/>
          <w:sz w:val="18"/>
          <w:u w:val="single"/>
        </w:rPr>
        <w:t>Wikipedia, “Radical Reformation”</w:t>
      </w:r>
      <w:r>
        <w:fldChar w:fldCharType="end"/>
      </w:r>
    </w:p>
    <w:p w14:paraId="459FEC80" w14:textId="77777777" w:rsidR="009C7F52" w:rsidRDefault="00731002">
      <w:pPr>
        <w:spacing w:after="80" w:line="240" w:lineRule="auto"/>
      </w:pPr>
      <w:bookmarkStart w:id="514" w:name="cite_259"/>
      <w:r>
        <w:rPr>
          <w:sz w:val="16"/>
          <w:vertAlign w:val="superscript"/>
        </w:rPr>
        <w:t>259</w:t>
      </w:r>
      <w:bookmarkEnd w:id="514"/>
      <w:r>
        <w:fldChar w:fldCharType="begin"/>
      </w:r>
      <w:r>
        <w:instrText>HYPERLINK "https://jebs.eu/ojs/index.php/jebs/article/download/701/603/2295" \h</w:instrText>
      </w:r>
      <w:r>
        <w:fldChar w:fldCharType="separate"/>
      </w:r>
      <w:r>
        <w:rPr>
          <w:color w:val="0563C1"/>
          <w:sz w:val="18"/>
          <w:u w:val="single"/>
        </w:rPr>
        <w:t>Journal of European Baptist Studies, review of Chandler on the Radical Reformation</w:t>
      </w:r>
      <w:r>
        <w:fldChar w:fldCharType="end"/>
      </w:r>
    </w:p>
    <w:p w14:paraId="2340C684" w14:textId="77777777" w:rsidR="009C7F52" w:rsidRDefault="00731002">
      <w:pPr>
        <w:spacing w:after="80" w:line="240" w:lineRule="auto"/>
      </w:pPr>
      <w:bookmarkStart w:id="515" w:name="cite_260"/>
      <w:r>
        <w:rPr>
          <w:sz w:val="16"/>
          <w:vertAlign w:val="superscript"/>
        </w:rPr>
        <w:t>260</w:t>
      </w:r>
      <w:bookmarkEnd w:id="515"/>
      <w:r>
        <w:fldChar w:fldCharType="begin"/>
      </w:r>
      <w:r>
        <w:instrText>HYPERLINK "https://en.wikipedia.org/wiki/Radical_Reformation" \h</w:instrText>
      </w:r>
      <w:r>
        <w:fldChar w:fldCharType="separate"/>
      </w:r>
      <w:r>
        <w:rPr>
          <w:color w:val="0563C1"/>
          <w:sz w:val="18"/>
          <w:u w:val="single"/>
        </w:rPr>
        <w:t>Wikipedia, “Radical Reformation”</w:t>
      </w:r>
      <w:r>
        <w:fldChar w:fldCharType="end"/>
      </w:r>
    </w:p>
    <w:p w14:paraId="070C6B88" w14:textId="77777777" w:rsidR="009C7F52" w:rsidRDefault="00731002">
      <w:pPr>
        <w:spacing w:after="80" w:line="240" w:lineRule="auto"/>
      </w:pPr>
      <w:bookmarkStart w:id="516" w:name="cite_261"/>
      <w:r>
        <w:rPr>
          <w:sz w:val="16"/>
          <w:vertAlign w:val="superscript"/>
        </w:rPr>
        <w:t>261</w:t>
      </w:r>
      <w:bookmarkEnd w:id="516"/>
      <w:r>
        <w:fldChar w:fldCharType="begin"/>
      </w:r>
      <w:r>
        <w:instrText>HYPERLINK "https://www.britannica.com/topic/Socinians" \h</w:instrText>
      </w:r>
      <w:r>
        <w:fldChar w:fldCharType="separate"/>
      </w:r>
      <w:r>
        <w:rPr>
          <w:color w:val="0563C1"/>
          <w:sz w:val="18"/>
          <w:u w:val="single"/>
        </w:rPr>
        <w:t>field-guide research; corroborated by Britannica, “Socinians”</w:t>
      </w:r>
      <w:r>
        <w:fldChar w:fldCharType="end"/>
      </w:r>
    </w:p>
    <w:p w14:paraId="0285EF04" w14:textId="77777777" w:rsidR="009C7F52" w:rsidRDefault="00731002">
      <w:pPr>
        <w:spacing w:after="80" w:line="240" w:lineRule="auto"/>
      </w:pPr>
      <w:bookmarkStart w:id="517" w:name="cite_262"/>
      <w:r>
        <w:rPr>
          <w:sz w:val="16"/>
          <w:vertAlign w:val="superscript"/>
        </w:rPr>
        <w:t>262</w:t>
      </w:r>
      <w:bookmarkEnd w:id="517"/>
      <w:r>
        <w:fldChar w:fldCharType="begin"/>
      </w:r>
      <w:r>
        <w:instrText>HYPERLINK "https://en.wikipedia.org/wiki/Socinianism" \h</w:instrText>
      </w:r>
      <w:r>
        <w:fldChar w:fldCharType="separate"/>
      </w:r>
      <w:r>
        <w:rPr>
          <w:color w:val="0563C1"/>
          <w:sz w:val="18"/>
          <w:u w:val="single"/>
        </w:rPr>
        <w:t>field-guide research; corroborated by Wikipedia, “Socinianism”</w:t>
      </w:r>
      <w:r>
        <w:fldChar w:fldCharType="end"/>
      </w:r>
    </w:p>
    <w:p w14:paraId="672F1F2D" w14:textId="77777777" w:rsidR="009C7F52" w:rsidRDefault="00731002">
      <w:pPr>
        <w:spacing w:after="80" w:line="240" w:lineRule="auto"/>
      </w:pPr>
      <w:bookmarkStart w:id="518" w:name="cite_263"/>
      <w:r>
        <w:rPr>
          <w:sz w:val="16"/>
          <w:vertAlign w:val="superscript"/>
        </w:rPr>
        <w:t>263</w:t>
      </w:r>
      <w:bookmarkEnd w:id="518"/>
      <w:r>
        <w:fldChar w:fldCharType="begin"/>
      </w:r>
      <w:r>
        <w:instrText>HYPERLINK "https://en.wikipedia.org/wiki/Socinianism" \h</w:instrText>
      </w:r>
      <w:r>
        <w:fldChar w:fldCharType="separate"/>
      </w:r>
      <w:r>
        <w:rPr>
          <w:color w:val="0563C1"/>
          <w:sz w:val="18"/>
          <w:u w:val="single"/>
        </w:rPr>
        <w:t>field-guide research; corroborated by Wikipedia, “Socinianism”</w:t>
      </w:r>
      <w:r>
        <w:fldChar w:fldCharType="end"/>
      </w:r>
    </w:p>
    <w:p w14:paraId="15CC006E" w14:textId="77777777" w:rsidR="009C7F52" w:rsidRDefault="00731002">
      <w:pPr>
        <w:spacing w:after="80" w:line="240" w:lineRule="auto"/>
      </w:pPr>
      <w:bookmarkStart w:id="519" w:name="cite_264"/>
      <w:r>
        <w:rPr>
          <w:sz w:val="16"/>
          <w:vertAlign w:val="superscript"/>
        </w:rPr>
        <w:t>264</w:t>
      </w:r>
      <w:bookmarkEnd w:id="519"/>
      <w:r>
        <w:fldChar w:fldCharType="begin"/>
      </w:r>
      <w:r>
        <w:instrText>HYPERLINK "https://www.thegospelcoalition.org/publication-online/belgic-confession/" \h</w:instrText>
      </w:r>
      <w:r>
        <w:fldChar w:fldCharType="separate"/>
      </w:r>
      <w:r>
        <w:rPr>
          <w:color w:val="0563C1"/>
          <w:sz w:val="18"/>
          <w:u w:val="single"/>
        </w:rPr>
        <w:t>The Gospel Coalition, Belgic Confession of Faith</w:t>
      </w:r>
      <w:r>
        <w:fldChar w:fldCharType="end"/>
      </w:r>
    </w:p>
    <w:p w14:paraId="4E3948D6" w14:textId="77777777" w:rsidR="009C7F52" w:rsidRDefault="00731002">
      <w:pPr>
        <w:spacing w:after="80" w:line="240" w:lineRule="auto"/>
      </w:pPr>
      <w:bookmarkStart w:id="520" w:name="cite_265"/>
      <w:r>
        <w:rPr>
          <w:sz w:val="16"/>
          <w:vertAlign w:val="superscript"/>
        </w:rPr>
        <w:t>265</w:t>
      </w:r>
      <w:bookmarkEnd w:id="520"/>
      <w:r>
        <w:fldChar w:fldCharType="begin"/>
      </w:r>
      <w:r>
        <w:instrText>HYPERLINK "https://www.thegospelcoalition.org/publication-online/belgic-confession/" \h</w:instrText>
      </w:r>
      <w:r>
        <w:fldChar w:fldCharType="separate"/>
      </w:r>
      <w:r>
        <w:rPr>
          <w:color w:val="0563C1"/>
          <w:sz w:val="18"/>
          <w:u w:val="single"/>
        </w:rPr>
        <w:t>The Gospel Coalition, Belgic Confession of Faith</w:t>
      </w:r>
      <w:r>
        <w:fldChar w:fldCharType="end"/>
      </w:r>
    </w:p>
    <w:p w14:paraId="06AC2186" w14:textId="77777777" w:rsidR="009C7F52" w:rsidRDefault="00731002">
      <w:pPr>
        <w:spacing w:after="80" w:line="240" w:lineRule="auto"/>
      </w:pPr>
      <w:bookmarkStart w:id="521" w:name="cite_266"/>
      <w:r>
        <w:rPr>
          <w:sz w:val="16"/>
          <w:vertAlign w:val="superscript"/>
        </w:rPr>
        <w:t>266</w:t>
      </w:r>
      <w:bookmarkEnd w:id="521"/>
      <w:r>
        <w:fldChar w:fldCharType="begin"/>
      </w:r>
      <w:r>
        <w:instrText>HYPERLINK "https://www.thegospelcoalition.org/publication-online/belgic-confession/" \h</w:instrText>
      </w:r>
      <w:r>
        <w:fldChar w:fldCharType="separate"/>
      </w:r>
      <w:r>
        <w:rPr>
          <w:color w:val="0563C1"/>
          <w:sz w:val="18"/>
          <w:u w:val="single"/>
        </w:rPr>
        <w:t>The Gospel Coalition, Belgic Confession of Faith</w:t>
      </w:r>
      <w:r>
        <w:fldChar w:fldCharType="end"/>
      </w:r>
    </w:p>
    <w:p w14:paraId="148EB4C0" w14:textId="77777777" w:rsidR="009C7F52" w:rsidRDefault="00731002">
      <w:pPr>
        <w:spacing w:after="80" w:line="240" w:lineRule="auto"/>
      </w:pPr>
      <w:bookmarkStart w:id="522" w:name="cite_267"/>
      <w:r>
        <w:rPr>
          <w:sz w:val="16"/>
          <w:vertAlign w:val="superscript"/>
        </w:rPr>
        <w:t>267</w:t>
      </w:r>
      <w:bookmarkEnd w:id="522"/>
      <w:r>
        <w:fldChar w:fldCharType="begin"/>
      </w:r>
      <w:r>
        <w:instrText>HYPERLINK "https://www.wscal.edu/belgic-confession/" \h</w:instrText>
      </w:r>
      <w:r>
        <w:fldChar w:fldCharType="separate"/>
      </w:r>
      <w:r>
        <w:rPr>
          <w:color w:val="0563C1"/>
          <w:sz w:val="18"/>
          <w:u w:val="single"/>
        </w:rPr>
        <w:t>Westminster Seminary California, Belgic Confession</w:t>
      </w:r>
      <w:r>
        <w:fldChar w:fldCharType="end"/>
      </w:r>
    </w:p>
    <w:p w14:paraId="41B8DD87" w14:textId="77777777" w:rsidR="009C7F52" w:rsidRDefault="00731002">
      <w:pPr>
        <w:spacing w:after="80" w:line="240" w:lineRule="auto"/>
      </w:pPr>
      <w:bookmarkStart w:id="523" w:name="cite_268"/>
      <w:r>
        <w:rPr>
          <w:sz w:val="16"/>
          <w:vertAlign w:val="superscript"/>
        </w:rPr>
        <w:t>268</w:t>
      </w:r>
      <w:bookmarkEnd w:id="523"/>
      <w:r>
        <w:fldChar w:fldCharType="begin"/>
      </w:r>
      <w:r>
        <w:instrText>HYPERLINK "https://www.thegospelcoalition.org/publication-online/belgic-confession/" \h</w:instrText>
      </w:r>
      <w:r>
        <w:fldChar w:fldCharType="separate"/>
      </w:r>
      <w:r>
        <w:rPr>
          <w:color w:val="0563C1"/>
          <w:sz w:val="18"/>
          <w:u w:val="single"/>
        </w:rPr>
        <w:t>The Gospel Coalition, Belgic Confession of Faith</w:t>
      </w:r>
      <w:r>
        <w:fldChar w:fldCharType="end"/>
      </w:r>
    </w:p>
    <w:p w14:paraId="6C174B39" w14:textId="77777777" w:rsidR="009C7F52" w:rsidRDefault="00731002">
      <w:pPr>
        <w:spacing w:after="80" w:line="240" w:lineRule="auto"/>
      </w:pPr>
      <w:bookmarkStart w:id="524" w:name="cite_269"/>
      <w:r>
        <w:rPr>
          <w:sz w:val="16"/>
          <w:vertAlign w:val="superscript"/>
        </w:rPr>
        <w:t>269</w:t>
      </w:r>
      <w:bookmarkEnd w:id="524"/>
      <w:r>
        <w:fldChar w:fldCharType="begin"/>
      </w:r>
      <w:r>
        <w:instrText>HYPERLINK "https://www.wscal.edu/belgic-confession/" \h</w:instrText>
      </w:r>
      <w:r>
        <w:fldChar w:fldCharType="separate"/>
      </w:r>
      <w:r>
        <w:rPr>
          <w:color w:val="0563C1"/>
          <w:sz w:val="18"/>
          <w:u w:val="single"/>
        </w:rPr>
        <w:t>Westminster Seminary California, Belgic Confession</w:t>
      </w:r>
      <w:r>
        <w:fldChar w:fldCharType="end"/>
      </w:r>
    </w:p>
    <w:p w14:paraId="54ADB8FA" w14:textId="77777777" w:rsidR="009C7F52" w:rsidRDefault="00731002">
      <w:pPr>
        <w:spacing w:after="80" w:line="240" w:lineRule="auto"/>
      </w:pPr>
      <w:bookmarkStart w:id="525" w:name="cite_270"/>
      <w:r>
        <w:rPr>
          <w:sz w:val="16"/>
          <w:vertAlign w:val="superscript"/>
        </w:rPr>
        <w:t>270</w:t>
      </w:r>
      <w:bookmarkEnd w:id="525"/>
      <w:r>
        <w:rPr>
          <w:sz w:val="18"/>
        </w:rPr>
        <w:t>Heidelberg Catechism official site, “Authorship”; Reformed Dogmatika, “The Heidelberg Catechism (1563)”</w:t>
      </w:r>
      <w:hyperlink r:id="rId52">
        <w:r>
          <w:rPr>
            <w:color w:val="0563C1"/>
            <w:sz w:val="18"/>
            <w:u w:val="single"/>
          </w:rPr>
          <w:t>[Source 1]</w:t>
        </w:r>
      </w:hyperlink>
      <w:hyperlink r:id="rId53">
        <w:r>
          <w:rPr>
            <w:color w:val="0563C1"/>
            <w:sz w:val="18"/>
            <w:u w:val="single"/>
          </w:rPr>
          <w:t>[Source 2]</w:t>
        </w:r>
      </w:hyperlink>
    </w:p>
    <w:p w14:paraId="279E1E9F" w14:textId="77777777" w:rsidR="009C7F52" w:rsidRDefault="00731002">
      <w:pPr>
        <w:spacing w:after="80" w:line="240" w:lineRule="auto"/>
      </w:pPr>
      <w:bookmarkStart w:id="526" w:name="cite_271"/>
      <w:r>
        <w:rPr>
          <w:sz w:val="16"/>
          <w:vertAlign w:val="superscript"/>
        </w:rPr>
        <w:t>271</w:t>
      </w:r>
      <w:bookmarkEnd w:id="526"/>
      <w:r>
        <w:fldChar w:fldCharType="begin"/>
      </w:r>
      <w:r>
        <w:instrText>HYPERLINK "https://www.heidelberg-catechism.com/en/topics/trinity.html" \h</w:instrText>
      </w:r>
      <w:r>
        <w:fldChar w:fldCharType="separate"/>
      </w:r>
      <w:r>
        <w:rPr>
          <w:color w:val="0563C1"/>
          <w:sz w:val="18"/>
          <w:u w:val="single"/>
        </w:rPr>
        <w:t>Heidelberg Catechism official site, Q25</w:t>
      </w:r>
      <w:r>
        <w:fldChar w:fldCharType="end"/>
      </w:r>
    </w:p>
    <w:p w14:paraId="78097E65" w14:textId="77777777" w:rsidR="009C7F52" w:rsidRDefault="00731002">
      <w:pPr>
        <w:spacing w:after="80" w:line="240" w:lineRule="auto"/>
      </w:pPr>
      <w:bookmarkStart w:id="527" w:name="cite_272"/>
      <w:r>
        <w:rPr>
          <w:sz w:val="16"/>
          <w:vertAlign w:val="superscript"/>
        </w:rPr>
        <w:t>272</w:t>
      </w:r>
      <w:bookmarkEnd w:id="527"/>
      <w:r>
        <w:fldChar w:fldCharType="begin"/>
      </w:r>
      <w:r>
        <w:instrText>HYPERLINK "https://www.ccel.org/creeds/helvetic.htm" \h</w:instrText>
      </w:r>
      <w:r>
        <w:fldChar w:fldCharType="separate"/>
      </w:r>
      <w:r>
        <w:rPr>
          <w:color w:val="0563C1"/>
          <w:sz w:val="18"/>
          <w:u w:val="single"/>
        </w:rPr>
        <w:t>Christian Classics Ethereal Library, Second Helvetic Confession, Chapter III</w:t>
      </w:r>
      <w:r>
        <w:fldChar w:fldCharType="end"/>
      </w:r>
    </w:p>
    <w:p w14:paraId="1F42D138" w14:textId="77777777" w:rsidR="009C7F52" w:rsidRDefault="00731002">
      <w:pPr>
        <w:spacing w:after="80" w:line="240" w:lineRule="auto"/>
      </w:pPr>
      <w:bookmarkStart w:id="528" w:name="cite_273"/>
      <w:r>
        <w:rPr>
          <w:sz w:val="16"/>
          <w:vertAlign w:val="superscript"/>
        </w:rPr>
        <w:t>273</w:t>
      </w:r>
      <w:bookmarkEnd w:id="528"/>
      <w:r>
        <w:fldChar w:fldCharType="begin"/>
      </w:r>
      <w:r>
        <w:instrText>HYPERLINK "https://www.ccel.org/creeds/helvetic.htm" \h</w:instrText>
      </w:r>
      <w:r>
        <w:fldChar w:fldCharType="separate"/>
      </w:r>
      <w:r>
        <w:rPr>
          <w:color w:val="0563C1"/>
          <w:sz w:val="18"/>
          <w:u w:val="single"/>
        </w:rPr>
        <w:t>Christian Classics Ethereal Library, Second Helvetic Confession, Chapter III</w:t>
      </w:r>
      <w:r>
        <w:fldChar w:fldCharType="end"/>
      </w:r>
    </w:p>
    <w:p w14:paraId="616113CE" w14:textId="77777777" w:rsidR="009C7F52" w:rsidRDefault="00731002">
      <w:pPr>
        <w:spacing w:after="80" w:line="240" w:lineRule="auto"/>
      </w:pPr>
      <w:bookmarkStart w:id="529" w:name="cite_274"/>
      <w:r>
        <w:rPr>
          <w:sz w:val="16"/>
          <w:vertAlign w:val="superscript"/>
        </w:rPr>
        <w:t>274</w:t>
      </w:r>
      <w:bookmarkEnd w:id="529"/>
      <w:r>
        <w:fldChar w:fldCharType="begin"/>
      </w:r>
      <w:r>
        <w:instrText>HYPERLINK "https://northamanglican.com/exposition-of-the-thirty-nine-articles-article-i-part-1/" \h</w:instrText>
      </w:r>
      <w:r>
        <w:fldChar w:fldCharType="separate"/>
      </w:r>
      <w:r>
        <w:rPr>
          <w:color w:val="0563C1"/>
          <w:sz w:val="18"/>
          <w:u w:val="single"/>
        </w:rPr>
        <w:t>The North American Anglican, “Exposition of the Thirty-nine Articles, Article I”</w:t>
      </w:r>
      <w:r>
        <w:fldChar w:fldCharType="end"/>
      </w:r>
    </w:p>
    <w:p w14:paraId="6441A418" w14:textId="77777777" w:rsidR="009C7F52" w:rsidRDefault="00731002">
      <w:pPr>
        <w:spacing w:after="80" w:line="240" w:lineRule="auto"/>
      </w:pPr>
      <w:bookmarkStart w:id="530" w:name="cite_275"/>
      <w:r>
        <w:rPr>
          <w:sz w:val="16"/>
          <w:vertAlign w:val="superscript"/>
        </w:rPr>
        <w:t>275</w:t>
      </w:r>
      <w:bookmarkEnd w:id="530"/>
      <w:r>
        <w:fldChar w:fldCharType="begin"/>
      </w:r>
      <w:r>
        <w:instrText>HYPERLINK "https://wts.edu/wcf" \h</w:instrText>
      </w:r>
      <w:r>
        <w:fldChar w:fldCharType="separate"/>
      </w:r>
      <w:r>
        <w:rPr>
          <w:color w:val="0563C1"/>
          <w:sz w:val="18"/>
          <w:u w:val="single"/>
        </w:rPr>
        <w:t>Westminster Theological Seminary, Westminster Confession of Faith, Chapter 2</w:t>
      </w:r>
      <w:r>
        <w:fldChar w:fldCharType="end"/>
      </w:r>
    </w:p>
    <w:p w14:paraId="454119E4" w14:textId="77777777" w:rsidR="009C7F52" w:rsidRDefault="00731002">
      <w:pPr>
        <w:spacing w:after="80" w:line="240" w:lineRule="auto"/>
      </w:pPr>
      <w:bookmarkStart w:id="531" w:name="cite_276"/>
      <w:r>
        <w:rPr>
          <w:sz w:val="16"/>
          <w:vertAlign w:val="superscript"/>
        </w:rPr>
        <w:t>276</w:t>
      </w:r>
      <w:bookmarkEnd w:id="531"/>
      <w:r>
        <w:fldChar w:fldCharType="begin"/>
      </w:r>
      <w:r>
        <w:instrText>HYPERLINK "https://reformedwiki.com/confessions/westminster/2" \h</w:instrText>
      </w:r>
      <w:r>
        <w:fldChar w:fldCharType="separate"/>
      </w:r>
      <w:r>
        <w:rPr>
          <w:color w:val="0563C1"/>
          <w:sz w:val="18"/>
          <w:u w:val="single"/>
        </w:rPr>
        <w:t>ReformedWiki, Westminster Confession of Faith, Chapter 2</w:t>
      </w:r>
      <w:r>
        <w:fldChar w:fldCharType="end"/>
      </w:r>
    </w:p>
    <w:p w14:paraId="6D8B0C41" w14:textId="77777777" w:rsidR="009C7F52" w:rsidRDefault="00731002">
      <w:pPr>
        <w:spacing w:after="80" w:line="240" w:lineRule="auto"/>
      </w:pPr>
      <w:bookmarkStart w:id="532" w:name="cite_277"/>
      <w:r>
        <w:rPr>
          <w:sz w:val="16"/>
          <w:vertAlign w:val="superscript"/>
        </w:rPr>
        <w:t>277</w:t>
      </w:r>
      <w:bookmarkEnd w:id="532"/>
      <w:r>
        <w:fldChar w:fldCharType="begin"/>
      </w:r>
      <w:r>
        <w:instrText>HYPERLINK "https://www.the1689confession.com/1689/chapter-2" \h</w:instrText>
      </w:r>
      <w:r>
        <w:fldChar w:fldCharType="separate"/>
      </w:r>
      <w:r>
        <w:rPr>
          <w:color w:val="0563C1"/>
          <w:sz w:val="18"/>
          <w:u w:val="single"/>
        </w:rPr>
        <w:t>The 1689 Confession, Chapter 2</w:t>
      </w:r>
      <w:r>
        <w:fldChar w:fldCharType="end"/>
      </w:r>
    </w:p>
    <w:p w14:paraId="0A61FDF2" w14:textId="77777777" w:rsidR="009C7F52" w:rsidRDefault="00731002">
      <w:pPr>
        <w:spacing w:after="80" w:line="240" w:lineRule="auto"/>
      </w:pPr>
      <w:bookmarkStart w:id="533" w:name="cite_278"/>
      <w:r>
        <w:rPr>
          <w:sz w:val="16"/>
          <w:vertAlign w:val="superscript"/>
        </w:rPr>
        <w:t>278</w:t>
      </w:r>
      <w:bookmarkEnd w:id="533"/>
      <w:r>
        <w:fldChar w:fldCharType="begin"/>
      </w:r>
      <w:r>
        <w:instrText>HYPERLINK "https://www.the1689confession.com/1689/chapter-2" \h</w:instrText>
      </w:r>
      <w:r>
        <w:fldChar w:fldCharType="separate"/>
      </w:r>
      <w:r>
        <w:rPr>
          <w:color w:val="0563C1"/>
          <w:sz w:val="18"/>
          <w:u w:val="single"/>
        </w:rPr>
        <w:t>The 1689 Confession, Chapter 2</w:t>
      </w:r>
      <w:r>
        <w:fldChar w:fldCharType="end"/>
      </w:r>
    </w:p>
    <w:p w14:paraId="6C57E8C8" w14:textId="77777777" w:rsidR="009C7F52" w:rsidRDefault="00731002">
      <w:pPr>
        <w:spacing w:after="80" w:line="240" w:lineRule="auto"/>
      </w:pPr>
      <w:bookmarkStart w:id="534" w:name="cite_279"/>
      <w:r>
        <w:rPr>
          <w:sz w:val="16"/>
          <w:vertAlign w:val="superscript"/>
        </w:rPr>
        <w:t>279</w:t>
      </w:r>
      <w:bookmarkEnd w:id="534"/>
      <w:r>
        <w:rPr>
          <w:sz w:val="18"/>
        </w:rPr>
        <w:t>The 1689 Confession, Chapter 2; ReformedWiki, Westminster Confession of Faith, Chapter 2</w:t>
      </w:r>
      <w:hyperlink r:id="rId54">
        <w:r>
          <w:rPr>
            <w:color w:val="0563C1"/>
            <w:sz w:val="18"/>
            <w:u w:val="single"/>
          </w:rPr>
          <w:t>[Source 1]</w:t>
        </w:r>
      </w:hyperlink>
      <w:hyperlink r:id="rId55">
        <w:r>
          <w:rPr>
            <w:color w:val="0563C1"/>
            <w:sz w:val="18"/>
            <w:u w:val="single"/>
          </w:rPr>
          <w:t>[Source 2]</w:t>
        </w:r>
      </w:hyperlink>
    </w:p>
    <w:p w14:paraId="038A1F85" w14:textId="77777777" w:rsidR="009C7F52" w:rsidRDefault="00731002">
      <w:pPr>
        <w:spacing w:after="80" w:line="240" w:lineRule="auto"/>
      </w:pPr>
      <w:bookmarkStart w:id="535" w:name="cite_280"/>
      <w:r>
        <w:rPr>
          <w:sz w:val="16"/>
          <w:vertAlign w:val="superscript"/>
        </w:rPr>
        <w:t>280</w:t>
      </w:r>
      <w:bookmarkEnd w:id="535"/>
      <w:r>
        <w:fldChar w:fldCharType="begin"/>
      </w:r>
      <w:r>
        <w:instrText>HYPERLINK "https://www.newworldencyclopedia.org/entry/Sabellianism" \h</w:instrText>
      </w:r>
      <w:r>
        <w:fldChar w:fldCharType="separate"/>
      </w:r>
      <w:r>
        <w:rPr>
          <w:color w:val="0563C1"/>
          <w:sz w:val="18"/>
          <w:u w:val="single"/>
        </w:rPr>
        <w:t>New World Encyclopedia, “Sabellianism”</w:t>
      </w:r>
      <w:r>
        <w:fldChar w:fldCharType="end"/>
      </w:r>
    </w:p>
    <w:p w14:paraId="64E7E324" w14:textId="77777777" w:rsidR="009C7F52" w:rsidRDefault="00731002">
      <w:pPr>
        <w:spacing w:after="80" w:line="240" w:lineRule="auto"/>
      </w:pPr>
      <w:bookmarkStart w:id="536" w:name="cite_281"/>
      <w:r>
        <w:rPr>
          <w:sz w:val="16"/>
          <w:vertAlign w:val="superscript"/>
        </w:rPr>
        <w:t>281</w:t>
      </w:r>
      <w:bookmarkEnd w:id="536"/>
      <w:r>
        <w:fldChar w:fldCharType="begin"/>
      </w:r>
      <w:r>
        <w:instrText>HYPERLINK "http://www.earlychristianwritings.com/didache.html" \h</w:instrText>
      </w:r>
      <w:r>
        <w:fldChar w:fldCharType="separate"/>
      </w:r>
      <w:r>
        <w:rPr>
          <w:color w:val="0563C1"/>
          <w:sz w:val="18"/>
          <w:u w:val="single"/>
        </w:rPr>
        <w:t>Early Christian Writings, “Didache”</w:t>
      </w:r>
      <w:r>
        <w:fldChar w:fldCharType="end"/>
      </w:r>
    </w:p>
    <w:p w14:paraId="2F01D444" w14:textId="77777777" w:rsidR="009C7F52" w:rsidRDefault="00731002">
      <w:pPr>
        <w:spacing w:after="80" w:line="240" w:lineRule="auto"/>
      </w:pPr>
      <w:bookmarkStart w:id="537" w:name="cite_282"/>
      <w:r>
        <w:rPr>
          <w:sz w:val="16"/>
          <w:vertAlign w:val="superscript"/>
        </w:rPr>
        <w:t>282</w:t>
      </w:r>
      <w:bookmarkEnd w:id="537"/>
      <w:r>
        <w:fldChar w:fldCharType="begin"/>
      </w:r>
      <w:r>
        <w:instrText>HYPERLINK "https://en.wikipedia.org/wiki/Oneness_Pentecostalism" \h</w:instrText>
      </w:r>
      <w:r>
        <w:fldChar w:fldCharType="separate"/>
      </w:r>
      <w:r>
        <w:rPr>
          <w:color w:val="0563C1"/>
          <w:sz w:val="18"/>
          <w:u w:val="single"/>
        </w:rPr>
        <w:t>Wikipedia, “Oneness Pentecostalism”</w:t>
      </w:r>
      <w:r>
        <w:fldChar w:fldCharType="end"/>
      </w:r>
    </w:p>
    <w:p w14:paraId="7438F5AA" w14:textId="77777777" w:rsidR="009C7F52" w:rsidRDefault="00731002">
      <w:pPr>
        <w:spacing w:after="80" w:line="240" w:lineRule="auto"/>
      </w:pPr>
      <w:bookmarkStart w:id="538" w:name="cite_283"/>
      <w:r>
        <w:rPr>
          <w:sz w:val="16"/>
          <w:vertAlign w:val="superscript"/>
        </w:rPr>
        <w:t>283</w:t>
      </w:r>
      <w:bookmarkEnd w:id="538"/>
      <w:r>
        <w:fldChar w:fldCharType="begin"/>
      </w:r>
      <w:r>
        <w:instrText>HYPERLINK "https://en.wikipedia.org/wiki/Oneness_Pentecostalism" \h</w:instrText>
      </w:r>
      <w:r>
        <w:fldChar w:fldCharType="separate"/>
      </w:r>
      <w:r>
        <w:rPr>
          <w:color w:val="0563C1"/>
          <w:sz w:val="18"/>
          <w:u w:val="single"/>
        </w:rPr>
        <w:t>Wikipedia, “Oneness Pentecostalism”</w:t>
      </w:r>
      <w:r>
        <w:fldChar w:fldCharType="end"/>
      </w:r>
    </w:p>
    <w:p w14:paraId="4835671B" w14:textId="77777777" w:rsidR="009C7F52" w:rsidRDefault="00731002">
      <w:pPr>
        <w:spacing w:after="80" w:line="240" w:lineRule="auto"/>
      </w:pPr>
      <w:bookmarkStart w:id="539" w:name="cite_284"/>
      <w:r>
        <w:rPr>
          <w:sz w:val="16"/>
          <w:vertAlign w:val="superscript"/>
        </w:rPr>
        <w:t>284</w:t>
      </w:r>
      <w:bookmarkEnd w:id="539"/>
      <w:r>
        <w:fldChar w:fldCharType="begin"/>
      </w:r>
      <w:r>
        <w:instrText>HYPERLINK "https://en.wikipedia.org/wiki/Oneness_Pentecostalism" \h</w:instrText>
      </w:r>
      <w:r>
        <w:fldChar w:fldCharType="separate"/>
      </w:r>
      <w:r>
        <w:rPr>
          <w:color w:val="0563C1"/>
          <w:sz w:val="18"/>
          <w:u w:val="single"/>
        </w:rPr>
        <w:t>Wikipedia, “Oneness Pentecostalism”</w:t>
      </w:r>
      <w:r>
        <w:fldChar w:fldCharType="end"/>
      </w:r>
    </w:p>
    <w:p w14:paraId="43C1434F" w14:textId="77777777" w:rsidR="009C7F52" w:rsidRDefault="00731002">
      <w:pPr>
        <w:spacing w:after="80" w:line="240" w:lineRule="auto"/>
      </w:pPr>
      <w:bookmarkStart w:id="540" w:name="cite_285"/>
      <w:r>
        <w:rPr>
          <w:sz w:val="16"/>
          <w:vertAlign w:val="superscript"/>
        </w:rPr>
        <w:t>285</w:t>
      </w:r>
      <w:bookmarkEnd w:id="540"/>
      <w:r>
        <w:fldChar w:fldCharType="begin"/>
      </w:r>
      <w:r>
        <w:instrText>HYPERLINK "https://biblehub.com/text/john/1-1.htm" \h</w:instrText>
      </w:r>
      <w:r>
        <w:fldChar w:fldCharType="separate"/>
      </w:r>
      <w:r>
        <w:rPr>
          <w:color w:val="0563C1"/>
          <w:sz w:val="18"/>
          <w:u w:val="single"/>
        </w:rPr>
        <w:t>Bible Hub, John 1:1 Greek Text</w:t>
      </w:r>
      <w:r>
        <w:fldChar w:fldCharType="end"/>
      </w:r>
    </w:p>
    <w:p w14:paraId="684018FF" w14:textId="77777777" w:rsidR="009C7F52" w:rsidRDefault="00731002">
      <w:pPr>
        <w:spacing w:after="80" w:line="240" w:lineRule="auto"/>
      </w:pPr>
      <w:bookmarkStart w:id="541" w:name="cite_286"/>
      <w:r>
        <w:rPr>
          <w:sz w:val="16"/>
          <w:vertAlign w:val="superscript"/>
        </w:rPr>
        <w:t>286</w:t>
      </w:r>
      <w:bookmarkEnd w:id="541"/>
      <w:r>
        <w:fldChar w:fldCharType="begin"/>
      </w:r>
      <w:r>
        <w:instrText>HYPERLINK "https://biblehub.com/text/john/10-30.htm" \h</w:instrText>
      </w:r>
      <w:r>
        <w:fldChar w:fldCharType="separate"/>
      </w:r>
      <w:r>
        <w:rPr>
          <w:color w:val="0563C1"/>
          <w:sz w:val="18"/>
          <w:u w:val="single"/>
        </w:rPr>
        <w:t>Bible Hub, John 10:30 Greek Text</w:t>
      </w:r>
      <w:r>
        <w:fldChar w:fldCharType="end"/>
      </w:r>
    </w:p>
    <w:p w14:paraId="7E0BCCAB" w14:textId="77777777" w:rsidR="009C7F52" w:rsidRDefault="00731002">
      <w:pPr>
        <w:spacing w:after="80" w:line="240" w:lineRule="auto"/>
      </w:pPr>
      <w:bookmarkStart w:id="542" w:name="cite_287"/>
      <w:r>
        <w:rPr>
          <w:sz w:val="16"/>
          <w:vertAlign w:val="superscript"/>
        </w:rPr>
        <w:t>287</w:t>
      </w:r>
      <w:bookmarkEnd w:id="542"/>
      <w:r>
        <w:fldChar w:fldCharType="begin"/>
      </w:r>
      <w:r>
        <w:instrText>HYPERLINK "http://www.earlychristianwritings.com/ignatius.html" \h</w:instrText>
      </w:r>
      <w:r>
        <w:fldChar w:fldCharType="separate"/>
      </w:r>
      <w:r>
        <w:rPr>
          <w:color w:val="0563C1"/>
          <w:sz w:val="18"/>
          <w:u w:val="single"/>
        </w:rPr>
        <w:t>Early Christian Writings, “Ignatius of Antioch”</w:t>
      </w:r>
      <w:r>
        <w:fldChar w:fldCharType="end"/>
      </w:r>
    </w:p>
    <w:p w14:paraId="25B7BAC0" w14:textId="77777777" w:rsidR="009C7F52" w:rsidRDefault="00731002">
      <w:pPr>
        <w:spacing w:after="80" w:line="240" w:lineRule="auto"/>
      </w:pPr>
      <w:bookmarkStart w:id="543" w:name="cite_288"/>
      <w:r>
        <w:rPr>
          <w:sz w:val="16"/>
          <w:vertAlign w:val="superscript"/>
        </w:rPr>
        <w:t>288</w:t>
      </w:r>
      <w:bookmarkEnd w:id="543"/>
      <w:r>
        <w:fldChar w:fldCharType="begin"/>
      </w:r>
      <w:r>
        <w:instrText>HYPERLINK "https://en.wikipedia.org/wiki/Development_of_Jehovah%27s_Witnesses_doctrine" \h</w:instrText>
      </w:r>
      <w:r>
        <w:fldChar w:fldCharType="separate"/>
      </w:r>
      <w:r>
        <w:rPr>
          <w:color w:val="0563C1"/>
          <w:sz w:val="18"/>
          <w:u w:val="single"/>
        </w:rPr>
        <w:t>Wikipedia, “Development of Jehovah’s Witnesses doctrine”</w:t>
      </w:r>
      <w:r>
        <w:fldChar w:fldCharType="end"/>
      </w:r>
    </w:p>
    <w:p w14:paraId="1484308B" w14:textId="77777777" w:rsidR="009C7F52" w:rsidRDefault="00731002">
      <w:pPr>
        <w:spacing w:after="80" w:line="240" w:lineRule="auto"/>
      </w:pPr>
      <w:bookmarkStart w:id="544" w:name="cite_289"/>
      <w:r>
        <w:rPr>
          <w:sz w:val="16"/>
          <w:vertAlign w:val="superscript"/>
        </w:rPr>
        <w:t>289</w:t>
      </w:r>
      <w:bookmarkEnd w:id="544"/>
      <w:r>
        <w:fldChar w:fldCharType="begin"/>
      </w:r>
      <w:r>
        <w:instrText>HYPERLINK "https://en.wikipedia.org/wiki/Development_of_Jehovah%27s_Witnesses_doctrine" \h</w:instrText>
      </w:r>
      <w:r>
        <w:fldChar w:fldCharType="separate"/>
      </w:r>
      <w:r>
        <w:rPr>
          <w:color w:val="0563C1"/>
          <w:sz w:val="18"/>
          <w:u w:val="single"/>
        </w:rPr>
        <w:t>Wikipedia, “Development of Jehovah’s Witnesses doctrine”</w:t>
      </w:r>
      <w:r>
        <w:fldChar w:fldCharType="end"/>
      </w:r>
    </w:p>
    <w:p w14:paraId="2E470157" w14:textId="77777777" w:rsidR="009C7F52" w:rsidRDefault="00731002">
      <w:pPr>
        <w:spacing w:after="80" w:line="240" w:lineRule="auto"/>
      </w:pPr>
      <w:bookmarkStart w:id="545" w:name="cite_290"/>
      <w:r>
        <w:rPr>
          <w:sz w:val="16"/>
          <w:vertAlign w:val="superscript"/>
        </w:rPr>
        <w:t>290</w:t>
      </w:r>
      <w:bookmarkEnd w:id="545"/>
      <w:r>
        <w:fldChar w:fldCharType="begin"/>
      </w:r>
      <w:r>
        <w:instrText>HYPERLINK "https://en.wikipedia.org/wiki/Development_of_Jehovah%27s_Witnesses_doctrine" \h</w:instrText>
      </w:r>
      <w:r>
        <w:fldChar w:fldCharType="separate"/>
      </w:r>
      <w:r>
        <w:rPr>
          <w:color w:val="0563C1"/>
          <w:sz w:val="18"/>
          <w:u w:val="single"/>
        </w:rPr>
        <w:t>Wikipedia, “Development of Jehovah’s Witnesses doctrine”</w:t>
      </w:r>
      <w:r>
        <w:fldChar w:fldCharType="end"/>
      </w:r>
    </w:p>
    <w:p w14:paraId="750B2CF6" w14:textId="77777777" w:rsidR="009C7F52" w:rsidRDefault="00731002">
      <w:pPr>
        <w:spacing w:after="80" w:line="240" w:lineRule="auto"/>
      </w:pPr>
      <w:bookmarkStart w:id="546" w:name="cite_291"/>
      <w:r>
        <w:rPr>
          <w:sz w:val="16"/>
          <w:vertAlign w:val="superscript"/>
        </w:rPr>
        <w:t>291</w:t>
      </w:r>
      <w:bookmarkEnd w:id="546"/>
      <w:r>
        <w:fldChar w:fldCharType="begin"/>
      </w:r>
      <w:r>
        <w:instrText>HYPERLINK "https://irr.org/is-jesus-michael-the-archangel" \h</w:instrText>
      </w:r>
      <w:r>
        <w:fldChar w:fldCharType="separate"/>
      </w:r>
      <w:r>
        <w:rPr>
          <w:color w:val="0563C1"/>
          <w:sz w:val="18"/>
          <w:u w:val="single"/>
        </w:rPr>
        <w:t>Institute for Religious Research, “Is Jesus Michael the archangel?”</w:t>
      </w:r>
      <w:r>
        <w:fldChar w:fldCharType="end"/>
      </w:r>
    </w:p>
    <w:p w14:paraId="48C8C8B6" w14:textId="77777777" w:rsidR="009C7F52" w:rsidRDefault="00731002">
      <w:pPr>
        <w:spacing w:after="80" w:line="240" w:lineRule="auto"/>
      </w:pPr>
      <w:bookmarkStart w:id="547" w:name="cite_292"/>
      <w:r>
        <w:rPr>
          <w:sz w:val="16"/>
          <w:vertAlign w:val="superscript"/>
        </w:rPr>
        <w:t>292</w:t>
      </w:r>
      <w:bookmarkEnd w:id="547"/>
      <w:r>
        <w:fldChar w:fldCharType="begin"/>
      </w:r>
      <w:r>
        <w:instrText>HYPERLINK "https://biblehub.com/text/john/1-1.htm" \h</w:instrText>
      </w:r>
      <w:r>
        <w:fldChar w:fldCharType="separate"/>
      </w:r>
      <w:r>
        <w:rPr>
          <w:color w:val="0563C1"/>
          <w:sz w:val="18"/>
          <w:u w:val="single"/>
        </w:rPr>
        <w:t>Bible Hub, John 1:1 Greek Text</w:t>
      </w:r>
      <w:r>
        <w:fldChar w:fldCharType="end"/>
      </w:r>
    </w:p>
    <w:p w14:paraId="59C8C4CF" w14:textId="77777777" w:rsidR="009C7F52" w:rsidRDefault="00731002">
      <w:pPr>
        <w:spacing w:after="80" w:line="240" w:lineRule="auto"/>
      </w:pPr>
      <w:bookmarkStart w:id="548" w:name="cite_293"/>
      <w:r>
        <w:rPr>
          <w:sz w:val="16"/>
          <w:vertAlign w:val="superscript"/>
        </w:rPr>
        <w:t>293</w:t>
      </w:r>
      <w:bookmarkEnd w:id="548"/>
      <w:r>
        <w:fldChar w:fldCharType="begin"/>
      </w:r>
      <w:r>
        <w:instrText>HYPERLINK "https://www.equip.org/articles/john-11-and-the-new-world-translation/" \h</w:instrText>
      </w:r>
      <w:r>
        <w:fldChar w:fldCharType="separate"/>
      </w:r>
      <w:r>
        <w:rPr>
          <w:color w:val="0563C1"/>
          <w:sz w:val="18"/>
          <w:u w:val="single"/>
        </w:rPr>
        <w:t>Christian Research Institute, “John 1:1 and the New World Translation”</w:t>
      </w:r>
      <w:r>
        <w:fldChar w:fldCharType="end"/>
      </w:r>
    </w:p>
    <w:p w14:paraId="0633191C" w14:textId="77777777" w:rsidR="009C7F52" w:rsidRDefault="00731002">
      <w:pPr>
        <w:spacing w:after="80" w:line="240" w:lineRule="auto"/>
      </w:pPr>
      <w:bookmarkStart w:id="549" w:name="cite_294"/>
      <w:r>
        <w:rPr>
          <w:sz w:val="16"/>
          <w:vertAlign w:val="superscript"/>
        </w:rPr>
        <w:t>294</w:t>
      </w:r>
      <w:bookmarkEnd w:id="549"/>
      <w:r>
        <w:fldChar w:fldCharType="begin"/>
      </w:r>
      <w:r>
        <w:instrText>HYPERLINK "https://www.equip.org/articles/john-11-and-the-new-world-translation/" \h</w:instrText>
      </w:r>
      <w:r>
        <w:fldChar w:fldCharType="separate"/>
      </w:r>
      <w:r>
        <w:rPr>
          <w:color w:val="0563C1"/>
          <w:sz w:val="18"/>
          <w:u w:val="single"/>
        </w:rPr>
        <w:t>Christian Research Institute, “John 1:1 and the New World Translation”</w:t>
      </w:r>
      <w:r>
        <w:fldChar w:fldCharType="end"/>
      </w:r>
    </w:p>
    <w:p w14:paraId="71570DD4" w14:textId="77777777" w:rsidR="009C7F52" w:rsidRDefault="00731002">
      <w:pPr>
        <w:spacing w:after="80" w:line="240" w:lineRule="auto"/>
      </w:pPr>
      <w:bookmarkStart w:id="550" w:name="cite_295"/>
      <w:r>
        <w:rPr>
          <w:sz w:val="16"/>
          <w:vertAlign w:val="superscript"/>
        </w:rPr>
        <w:t>295</w:t>
      </w:r>
      <w:bookmarkEnd w:id="550"/>
      <w:r>
        <w:fldChar w:fldCharType="begin"/>
      </w:r>
      <w:r>
        <w:instrText>HYPERLINK "https://www.jw.org/en/library/bible/study-bible/books/colossians/1/" \h</w:instrText>
      </w:r>
      <w:r>
        <w:fldChar w:fldCharType="separate"/>
      </w:r>
      <w:r>
        <w:rPr>
          <w:color w:val="0563C1"/>
          <w:sz w:val="18"/>
          <w:u w:val="single"/>
        </w:rPr>
        <w:t>JW.org, “Colossians 1” New World Translation Study Edition</w:t>
      </w:r>
      <w:r>
        <w:fldChar w:fldCharType="end"/>
      </w:r>
    </w:p>
    <w:p w14:paraId="33BA62DF" w14:textId="77777777" w:rsidR="009C7F52" w:rsidRDefault="00731002">
      <w:pPr>
        <w:spacing w:after="80" w:line="240" w:lineRule="auto"/>
      </w:pPr>
      <w:bookmarkStart w:id="551" w:name="cite_296"/>
      <w:r>
        <w:rPr>
          <w:sz w:val="16"/>
          <w:vertAlign w:val="superscript"/>
        </w:rPr>
        <w:t>296</w:t>
      </w:r>
      <w:bookmarkEnd w:id="551"/>
      <w:r>
        <w:fldChar w:fldCharType="begin"/>
      </w:r>
      <w:r>
        <w:instrText>HYPERLINK "https://evidenceunseen.com/new-testament/colossians/difficulties/all-things-or-all-other-things" \h</w:instrText>
      </w:r>
      <w:r>
        <w:fldChar w:fldCharType="separate"/>
      </w:r>
      <w:r>
        <w:rPr>
          <w:color w:val="0563C1"/>
          <w:sz w:val="18"/>
          <w:u w:val="single"/>
        </w:rPr>
        <w:t>Evidence Unseen, “‘All things’ or ‘all other things’”</w:t>
      </w:r>
      <w:r>
        <w:fldChar w:fldCharType="end"/>
      </w:r>
    </w:p>
    <w:p w14:paraId="106FCB39" w14:textId="77777777" w:rsidR="009C7F52" w:rsidRDefault="00731002">
      <w:pPr>
        <w:spacing w:after="80" w:line="240" w:lineRule="auto"/>
      </w:pPr>
      <w:bookmarkStart w:id="552" w:name="cite_297"/>
      <w:r>
        <w:rPr>
          <w:sz w:val="16"/>
          <w:vertAlign w:val="superscript"/>
        </w:rPr>
        <w:t>297</w:t>
      </w:r>
      <w:bookmarkEnd w:id="552"/>
      <w:r>
        <w:fldChar w:fldCharType="begin"/>
      </w:r>
      <w:r>
        <w:instrText>HYPERLINK "https://irr.org/is-jesus-michael-the-archangel" \h</w:instrText>
      </w:r>
      <w:r>
        <w:fldChar w:fldCharType="separate"/>
      </w:r>
      <w:r>
        <w:rPr>
          <w:color w:val="0563C1"/>
          <w:sz w:val="18"/>
          <w:u w:val="single"/>
        </w:rPr>
        <w:t>Institute for Religious Research, “Is Jesus Michael the archangel?”</w:t>
      </w:r>
      <w:r>
        <w:fldChar w:fldCharType="end"/>
      </w:r>
    </w:p>
    <w:p w14:paraId="2BD404C1" w14:textId="77777777" w:rsidR="009C7F52" w:rsidRDefault="00731002">
      <w:pPr>
        <w:spacing w:after="80" w:line="240" w:lineRule="auto"/>
      </w:pPr>
      <w:bookmarkStart w:id="553" w:name="cite_298"/>
      <w:r>
        <w:rPr>
          <w:sz w:val="16"/>
          <w:vertAlign w:val="superscript"/>
        </w:rPr>
        <w:t>298</w:t>
      </w:r>
      <w:bookmarkEnd w:id="553"/>
      <w:r>
        <w:fldChar w:fldCharType="begin"/>
      </w:r>
      <w:r>
        <w:instrText>HYPERLINK "https://biblehub.com/text/hebrews/1-8.htm" \h</w:instrText>
      </w:r>
      <w:r>
        <w:fldChar w:fldCharType="separate"/>
      </w:r>
      <w:r>
        <w:rPr>
          <w:color w:val="0563C1"/>
          <w:sz w:val="18"/>
          <w:u w:val="single"/>
        </w:rPr>
        <w:t>Bible Hub, Hebrews 1:8 Greek Text</w:t>
      </w:r>
      <w:r>
        <w:fldChar w:fldCharType="end"/>
      </w:r>
    </w:p>
    <w:p w14:paraId="7FC718AE" w14:textId="77777777" w:rsidR="009C7F52" w:rsidRDefault="00731002">
      <w:pPr>
        <w:spacing w:after="80" w:line="240" w:lineRule="auto"/>
      </w:pPr>
      <w:bookmarkStart w:id="554" w:name="cite_299"/>
      <w:r>
        <w:rPr>
          <w:sz w:val="16"/>
          <w:vertAlign w:val="superscript"/>
        </w:rPr>
        <w:t>299</w:t>
      </w:r>
      <w:bookmarkEnd w:id="554"/>
      <w:r>
        <w:fldChar w:fldCharType="begin"/>
      </w:r>
      <w:r>
        <w:instrText>HYPERLINK "https://wol.jw.org/en/wol/d/r1/lp-e/1984169" \h</w:instrText>
      </w:r>
      <w:r>
        <w:fldChar w:fldCharType="separate"/>
      </w:r>
      <w:r>
        <w:rPr>
          <w:color w:val="0563C1"/>
          <w:sz w:val="18"/>
          <w:u w:val="single"/>
        </w:rPr>
        <w:t>Watchtower, “Questions From Readers” on Hebrews 1:8</w:t>
      </w:r>
      <w:r>
        <w:fldChar w:fldCharType="end"/>
      </w:r>
    </w:p>
    <w:p w14:paraId="140AD0BC" w14:textId="77777777" w:rsidR="009C7F52" w:rsidRDefault="00731002">
      <w:pPr>
        <w:spacing w:after="80" w:line="240" w:lineRule="auto"/>
      </w:pPr>
      <w:bookmarkStart w:id="555" w:name="cite_300"/>
      <w:r>
        <w:rPr>
          <w:sz w:val="16"/>
          <w:vertAlign w:val="superscript"/>
        </w:rPr>
        <w:t>300</w:t>
      </w:r>
      <w:bookmarkEnd w:id="555"/>
      <w:r>
        <w:fldChar w:fldCharType="begin"/>
      </w:r>
      <w:r>
        <w:instrText>HYPERLINK "https://www.jw.org/en/library/bible/study-bible/books/hebrews/1/" \h</w:instrText>
      </w:r>
      <w:r>
        <w:fldChar w:fldCharType="separate"/>
      </w:r>
      <w:r>
        <w:rPr>
          <w:color w:val="0563C1"/>
          <w:sz w:val="18"/>
          <w:u w:val="single"/>
        </w:rPr>
        <w:t>JW.org, “Hebrews 1” New World Translation Study Edition</w:t>
      </w:r>
      <w:r>
        <w:fldChar w:fldCharType="end"/>
      </w:r>
    </w:p>
    <w:p w14:paraId="7DF689FE" w14:textId="77777777" w:rsidR="009C7F52" w:rsidRDefault="00731002">
      <w:pPr>
        <w:spacing w:after="80" w:line="240" w:lineRule="auto"/>
      </w:pPr>
      <w:bookmarkStart w:id="556" w:name="cite_301"/>
      <w:r>
        <w:rPr>
          <w:sz w:val="16"/>
          <w:vertAlign w:val="superscript"/>
        </w:rPr>
        <w:t>301</w:t>
      </w:r>
      <w:bookmarkEnd w:id="556"/>
      <w:r>
        <w:fldChar w:fldCharType="begin"/>
      </w:r>
      <w:r>
        <w:instrText>HYPERLINK "https://www.equip.org/articles/john-11-and-the-new-world-translation/" \h</w:instrText>
      </w:r>
      <w:r>
        <w:fldChar w:fldCharType="separate"/>
      </w:r>
      <w:r>
        <w:rPr>
          <w:color w:val="0563C1"/>
          <w:sz w:val="18"/>
          <w:u w:val="single"/>
        </w:rPr>
        <w:t>Christian Research Institute, “John 1:1 and the New World Translation”</w:t>
      </w:r>
      <w:r>
        <w:fldChar w:fldCharType="end"/>
      </w:r>
    </w:p>
    <w:p w14:paraId="7618E356" w14:textId="77777777" w:rsidR="009C7F52" w:rsidRDefault="00731002">
      <w:pPr>
        <w:spacing w:after="80" w:line="240" w:lineRule="auto"/>
      </w:pPr>
      <w:bookmarkStart w:id="557" w:name="cite_302"/>
      <w:r>
        <w:rPr>
          <w:sz w:val="16"/>
          <w:vertAlign w:val="superscript"/>
        </w:rPr>
        <w:t>302</w:t>
      </w:r>
      <w:bookmarkEnd w:id="557"/>
      <w:r>
        <w:fldChar w:fldCharType="begin"/>
      </w:r>
      <w:r>
        <w:instrText>HYPERLINK "https://en.wikipedia.org/wiki/Godhead_(Mormonism)" \h</w:instrText>
      </w:r>
      <w:r>
        <w:fldChar w:fldCharType="separate"/>
      </w:r>
      <w:r>
        <w:rPr>
          <w:color w:val="0563C1"/>
          <w:sz w:val="18"/>
          <w:u w:val="single"/>
        </w:rPr>
        <w:t>Wikipedia, “Godhead (Mormonism)”</w:t>
      </w:r>
      <w:r>
        <w:fldChar w:fldCharType="end"/>
      </w:r>
    </w:p>
    <w:p w14:paraId="33D64311" w14:textId="77777777" w:rsidR="009C7F52" w:rsidRDefault="00731002">
      <w:pPr>
        <w:spacing w:after="80" w:line="240" w:lineRule="auto"/>
      </w:pPr>
      <w:bookmarkStart w:id="558" w:name="cite_303"/>
      <w:r>
        <w:rPr>
          <w:sz w:val="16"/>
          <w:vertAlign w:val="superscript"/>
        </w:rPr>
        <w:t>303</w:t>
      </w:r>
      <w:bookmarkEnd w:id="558"/>
      <w:r>
        <w:fldChar w:fldCharType="begin"/>
      </w:r>
      <w:r>
        <w:instrText>HYPERLINK "https://en.wikipedia.org/wiki/Godhead_(Mormonism)" \h</w:instrText>
      </w:r>
      <w:r>
        <w:fldChar w:fldCharType="separate"/>
      </w:r>
      <w:r>
        <w:rPr>
          <w:color w:val="0563C1"/>
          <w:sz w:val="18"/>
          <w:u w:val="single"/>
        </w:rPr>
        <w:t>Wikipedia, “Godhead (Mormonism)”</w:t>
      </w:r>
      <w:r>
        <w:fldChar w:fldCharType="end"/>
      </w:r>
    </w:p>
    <w:p w14:paraId="3DD7C183" w14:textId="77777777" w:rsidR="009C7F52" w:rsidRDefault="00731002">
      <w:pPr>
        <w:spacing w:after="80" w:line="240" w:lineRule="auto"/>
      </w:pPr>
      <w:bookmarkStart w:id="559" w:name="cite_304"/>
      <w:r>
        <w:rPr>
          <w:sz w:val="16"/>
          <w:vertAlign w:val="superscript"/>
        </w:rPr>
        <w:t>304</w:t>
      </w:r>
      <w:bookmarkEnd w:id="559"/>
      <w:r>
        <w:fldChar w:fldCharType="begin"/>
      </w:r>
      <w:r>
        <w:instrText>HYPERLINK "https://en.wikipedia.org/wiki/Godhead_(Mormonism)" \h</w:instrText>
      </w:r>
      <w:r>
        <w:fldChar w:fldCharType="separate"/>
      </w:r>
      <w:r>
        <w:rPr>
          <w:color w:val="0563C1"/>
          <w:sz w:val="18"/>
          <w:u w:val="single"/>
        </w:rPr>
        <w:t>Wikipedia, “Godhead (Mormonism)”</w:t>
      </w:r>
      <w:r>
        <w:fldChar w:fldCharType="end"/>
      </w:r>
    </w:p>
    <w:p w14:paraId="19278C5E" w14:textId="77777777" w:rsidR="009C7F52" w:rsidRDefault="00731002">
      <w:pPr>
        <w:spacing w:after="80" w:line="240" w:lineRule="auto"/>
      </w:pPr>
      <w:bookmarkStart w:id="560" w:name="cite_305"/>
      <w:r>
        <w:rPr>
          <w:sz w:val="16"/>
          <w:vertAlign w:val="superscript"/>
        </w:rPr>
        <w:t>305</w:t>
      </w:r>
      <w:bookmarkEnd w:id="560"/>
      <w:r>
        <w:fldChar w:fldCharType="begin"/>
      </w:r>
      <w:r>
        <w:instrText>HYPERLINK "https://www.mrm.org/godhead" \h</w:instrText>
      </w:r>
      <w:r>
        <w:fldChar w:fldCharType="separate"/>
      </w:r>
      <w:r>
        <w:rPr>
          <w:color w:val="0563C1"/>
          <w:sz w:val="18"/>
          <w:u w:val="single"/>
        </w:rPr>
        <w:t>Teachings of the Prophet Joseph Smith, p. 370, quoted in mrm.org, “Godhead”</w:t>
      </w:r>
      <w:r>
        <w:fldChar w:fldCharType="end"/>
      </w:r>
    </w:p>
    <w:p w14:paraId="1D40BA75" w14:textId="77777777" w:rsidR="009C7F52" w:rsidRDefault="00731002">
      <w:pPr>
        <w:spacing w:after="80" w:line="240" w:lineRule="auto"/>
      </w:pPr>
      <w:bookmarkStart w:id="561" w:name="cite_306"/>
      <w:r>
        <w:rPr>
          <w:sz w:val="16"/>
          <w:vertAlign w:val="superscript"/>
        </w:rPr>
        <w:t>306</w:t>
      </w:r>
      <w:bookmarkEnd w:id="561"/>
      <w:r>
        <w:fldChar w:fldCharType="begin"/>
      </w:r>
      <w:r>
        <w:instrText>HYPERLINK "https://www.mrm.org/godhead" \h</w:instrText>
      </w:r>
      <w:r>
        <w:fldChar w:fldCharType="separate"/>
      </w:r>
      <w:r>
        <w:rPr>
          <w:color w:val="0563C1"/>
          <w:sz w:val="18"/>
          <w:u w:val="single"/>
        </w:rPr>
        <w:t>Mormon Doctrine, 1966, p. 576, quoted in mrm.org, “Godhead”</w:t>
      </w:r>
      <w:r>
        <w:fldChar w:fldCharType="end"/>
      </w:r>
    </w:p>
    <w:p w14:paraId="573DD8D8" w14:textId="77777777" w:rsidR="009C7F52" w:rsidRDefault="00731002">
      <w:pPr>
        <w:spacing w:after="80" w:line="240" w:lineRule="auto"/>
      </w:pPr>
      <w:bookmarkStart w:id="562" w:name="cite_307"/>
      <w:r>
        <w:rPr>
          <w:sz w:val="16"/>
          <w:vertAlign w:val="superscript"/>
        </w:rPr>
        <w:t>307</w:t>
      </w:r>
      <w:bookmarkEnd w:id="562"/>
      <w:r>
        <w:fldChar w:fldCharType="begin"/>
      </w:r>
      <w:r>
        <w:instrText>HYPERLINK "https://biblehub.com/text/john/10-30.htm" \h</w:instrText>
      </w:r>
      <w:r>
        <w:fldChar w:fldCharType="separate"/>
      </w:r>
      <w:r>
        <w:rPr>
          <w:color w:val="0563C1"/>
          <w:sz w:val="18"/>
          <w:u w:val="single"/>
        </w:rPr>
        <w:t>Bible Hub, John 10:30 Greek Text</w:t>
      </w:r>
      <w:r>
        <w:fldChar w:fldCharType="end"/>
      </w:r>
    </w:p>
    <w:p w14:paraId="7AB4B51A" w14:textId="77777777" w:rsidR="009C7F52" w:rsidRDefault="00731002">
      <w:pPr>
        <w:spacing w:after="80" w:line="240" w:lineRule="auto"/>
      </w:pPr>
      <w:bookmarkStart w:id="563" w:name="cite_308"/>
      <w:r>
        <w:rPr>
          <w:sz w:val="16"/>
          <w:vertAlign w:val="superscript"/>
        </w:rPr>
        <w:t>308</w:t>
      </w:r>
      <w:bookmarkEnd w:id="563"/>
      <w:r>
        <w:fldChar w:fldCharType="begin"/>
      </w:r>
      <w:r>
        <w:instrText>HYPERLINK "https://mit.irr.org/monotheism-eternal-progression-evolution-of-mormon-doctrine-of-exaltation" \h</w:instrText>
      </w:r>
      <w:r>
        <w:fldChar w:fldCharType="separate"/>
      </w:r>
      <w:r>
        <w:rPr>
          <w:color w:val="0563C1"/>
          <w:sz w:val="18"/>
          <w:u w:val="single"/>
        </w:rPr>
        <w:t>Institute for Religious Research, “From Monotheism to Eternal Progression”</w:t>
      </w:r>
      <w:r>
        <w:fldChar w:fldCharType="end"/>
      </w:r>
    </w:p>
    <w:p w14:paraId="01949019" w14:textId="77777777" w:rsidR="009C7F52" w:rsidRDefault="00731002">
      <w:pPr>
        <w:spacing w:after="80" w:line="240" w:lineRule="auto"/>
      </w:pPr>
      <w:bookmarkStart w:id="564" w:name="cite_309"/>
      <w:r>
        <w:rPr>
          <w:sz w:val="16"/>
          <w:vertAlign w:val="superscript"/>
        </w:rPr>
        <w:t>309</w:t>
      </w:r>
      <w:bookmarkEnd w:id="564"/>
      <w:r>
        <w:fldChar w:fldCharType="begin"/>
      </w:r>
      <w:r>
        <w:instrText>HYPERLINK "https://mit.irr.org/monotheism-eternal-progression-evolution-of-mormon-doctrine-of-exaltation" \h</w:instrText>
      </w:r>
      <w:r>
        <w:fldChar w:fldCharType="separate"/>
      </w:r>
      <w:r>
        <w:rPr>
          <w:color w:val="0563C1"/>
          <w:sz w:val="18"/>
          <w:u w:val="single"/>
        </w:rPr>
        <w:t>Institute for Religious Research, “From Monotheism to Eternal Progression”</w:t>
      </w:r>
      <w:r>
        <w:fldChar w:fldCharType="end"/>
      </w:r>
    </w:p>
    <w:p w14:paraId="3B68C6E7" w14:textId="77777777" w:rsidR="009C7F52" w:rsidRDefault="00731002">
      <w:pPr>
        <w:spacing w:after="80" w:line="240" w:lineRule="auto"/>
      </w:pPr>
      <w:bookmarkStart w:id="565" w:name="cite_310"/>
      <w:r>
        <w:rPr>
          <w:sz w:val="16"/>
          <w:vertAlign w:val="superscript"/>
        </w:rPr>
        <w:t>310</w:t>
      </w:r>
      <w:bookmarkEnd w:id="565"/>
      <w:r>
        <w:fldChar w:fldCharType="begin"/>
      </w:r>
      <w:r>
        <w:instrText>HYPERLINK "https://www.catholic.com/magazine/print-edition/mormonisms-gods" \h</w:instrText>
      </w:r>
      <w:r>
        <w:fldChar w:fldCharType="separate"/>
      </w:r>
      <w:r>
        <w:rPr>
          <w:color w:val="0563C1"/>
          <w:sz w:val="18"/>
          <w:u w:val="single"/>
        </w:rPr>
        <w:t>Catholic Answers, “Mormonism’s God(s)”</w:t>
      </w:r>
      <w:r>
        <w:fldChar w:fldCharType="end"/>
      </w:r>
    </w:p>
    <w:p w14:paraId="3DA3721F" w14:textId="77777777" w:rsidR="009C7F52" w:rsidRDefault="00731002">
      <w:pPr>
        <w:spacing w:after="80" w:line="240" w:lineRule="auto"/>
      </w:pPr>
      <w:bookmarkStart w:id="566" w:name="cite_311"/>
      <w:r>
        <w:rPr>
          <w:sz w:val="16"/>
          <w:vertAlign w:val="superscript"/>
        </w:rPr>
        <w:t>311</w:t>
      </w:r>
      <w:bookmarkEnd w:id="566"/>
      <w:r>
        <w:fldChar w:fldCharType="begin"/>
      </w:r>
      <w:r>
        <w:instrText>HYPERLINK "https://plato.stanford.edu/archives/sum2018/entries/divine-simplicity/" \h</w:instrText>
      </w:r>
      <w:r>
        <w:fldChar w:fldCharType="separate"/>
      </w:r>
      <w:r>
        <w:rPr>
          <w:color w:val="0563C1"/>
          <w:sz w:val="18"/>
          <w:u w:val="single"/>
        </w:rPr>
        <w:t>Stanford Encyclopedia of Philosophy, “Divine Simplicity”</w:t>
      </w:r>
      <w:r>
        <w:fldChar w:fldCharType="end"/>
      </w:r>
    </w:p>
    <w:p w14:paraId="425DEB46" w14:textId="77777777" w:rsidR="009C7F52" w:rsidRDefault="00731002">
      <w:pPr>
        <w:spacing w:after="80" w:line="240" w:lineRule="auto"/>
      </w:pPr>
      <w:bookmarkStart w:id="567" w:name="cite_312"/>
      <w:r>
        <w:rPr>
          <w:sz w:val="16"/>
          <w:vertAlign w:val="superscript"/>
        </w:rPr>
        <w:t>312</w:t>
      </w:r>
      <w:bookmarkEnd w:id="567"/>
      <w:r>
        <w:fldChar w:fldCharType="begin"/>
      </w:r>
      <w:r>
        <w:instrText>HYPERLINK "https://plato.stanford.edu/entries/immutability/" \h</w:instrText>
      </w:r>
      <w:r>
        <w:fldChar w:fldCharType="separate"/>
      </w:r>
      <w:r>
        <w:rPr>
          <w:color w:val="0563C1"/>
          <w:sz w:val="18"/>
          <w:u w:val="single"/>
        </w:rPr>
        <w:t>Stanford Encyclopedia of Philosophy, “Immutability”</w:t>
      </w:r>
      <w:r>
        <w:fldChar w:fldCharType="end"/>
      </w:r>
    </w:p>
    <w:p w14:paraId="2817B85E" w14:textId="77777777" w:rsidR="009C7F52" w:rsidRDefault="00731002">
      <w:pPr>
        <w:spacing w:after="80" w:line="240" w:lineRule="auto"/>
      </w:pPr>
      <w:bookmarkStart w:id="568" w:name="cite_313"/>
      <w:r>
        <w:rPr>
          <w:sz w:val="16"/>
          <w:vertAlign w:val="superscript"/>
        </w:rPr>
        <w:t>313</w:t>
      </w:r>
      <w:bookmarkEnd w:id="568"/>
      <w:r>
        <w:fldChar w:fldCharType="begin"/>
      </w:r>
      <w:r>
        <w:instrText>HYPERLINK "https://www.mrm.org/godhead" \h</w:instrText>
      </w:r>
      <w:r>
        <w:fldChar w:fldCharType="separate"/>
      </w:r>
      <w:r>
        <w:rPr>
          <w:color w:val="0563C1"/>
          <w:sz w:val="18"/>
          <w:u w:val="single"/>
        </w:rPr>
        <w:t>mrm.org, “Godhead”</w:t>
      </w:r>
      <w:r>
        <w:fldChar w:fldCharType="end"/>
      </w:r>
    </w:p>
    <w:p w14:paraId="3108C31E" w14:textId="77777777" w:rsidR="009C7F52" w:rsidRDefault="00731002">
      <w:pPr>
        <w:spacing w:after="80" w:line="240" w:lineRule="auto"/>
      </w:pPr>
      <w:bookmarkStart w:id="569" w:name="cite_314"/>
      <w:r>
        <w:rPr>
          <w:sz w:val="16"/>
          <w:vertAlign w:val="superscript"/>
        </w:rPr>
        <w:t>314</w:t>
      </w:r>
      <w:bookmarkEnd w:id="569"/>
      <w:r>
        <w:fldChar w:fldCharType="begin"/>
      </w:r>
      <w:r>
        <w:instrText>HYPERLINK "https://en.wikipedia.org/wiki/Tawhid" \h</w:instrText>
      </w:r>
      <w:r>
        <w:fldChar w:fldCharType="separate"/>
      </w:r>
      <w:r>
        <w:rPr>
          <w:color w:val="0563C1"/>
          <w:sz w:val="18"/>
          <w:u w:val="single"/>
        </w:rPr>
        <w:t>Wikipedia, “Tawhid”</w:t>
      </w:r>
      <w:r>
        <w:fldChar w:fldCharType="end"/>
      </w:r>
    </w:p>
    <w:p w14:paraId="38322EFD" w14:textId="77777777" w:rsidR="009C7F52" w:rsidRDefault="00731002">
      <w:pPr>
        <w:spacing w:after="80" w:line="240" w:lineRule="auto"/>
      </w:pPr>
      <w:bookmarkStart w:id="570" w:name="cite_315"/>
      <w:r>
        <w:rPr>
          <w:sz w:val="16"/>
          <w:vertAlign w:val="superscript"/>
        </w:rPr>
        <w:t>315</w:t>
      </w:r>
      <w:bookmarkEnd w:id="570"/>
      <w:r>
        <w:fldChar w:fldCharType="begin"/>
      </w:r>
      <w:r>
        <w:instrText>HYPERLINK "https://christoverall.com/article/concise/we-do-not-saythreeexplaining-the-trinity-to-muslims/" \h</w:instrText>
      </w:r>
      <w:r>
        <w:fldChar w:fldCharType="separate"/>
      </w:r>
      <w:r>
        <w:rPr>
          <w:color w:val="0563C1"/>
          <w:sz w:val="18"/>
          <w:u w:val="single"/>
        </w:rPr>
        <w:t>christoverall.com, “We Do Not Say ‘Three’: Explaining the Trinity to Muslims”</w:t>
      </w:r>
      <w:r>
        <w:fldChar w:fldCharType="end"/>
      </w:r>
    </w:p>
    <w:p w14:paraId="7841789F" w14:textId="77777777" w:rsidR="009C7F52" w:rsidRDefault="00731002">
      <w:pPr>
        <w:spacing w:after="80" w:line="240" w:lineRule="auto"/>
      </w:pPr>
      <w:bookmarkStart w:id="571" w:name="cite_316"/>
      <w:r>
        <w:rPr>
          <w:sz w:val="16"/>
          <w:vertAlign w:val="superscript"/>
        </w:rPr>
        <w:t>316</w:t>
      </w:r>
      <w:bookmarkEnd w:id="571"/>
      <w:r>
        <w:fldChar w:fldCharType="begin"/>
      </w:r>
      <w:r>
        <w:instrText>HYPERLINK "https://en.wikipedia.org/wiki/Tawhid" \h</w:instrText>
      </w:r>
      <w:r>
        <w:fldChar w:fldCharType="separate"/>
      </w:r>
      <w:r>
        <w:rPr>
          <w:color w:val="0563C1"/>
          <w:sz w:val="18"/>
          <w:u w:val="single"/>
        </w:rPr>
        <w:t>Wikipedia, “Tawhid”</w:t>
      </w:r>
      <w:r>
        <w:fldChar w:fldCharType="end"/>
      </w:r>
    </w:p>
    <w:p w14:paraId="02BD6E5E" w14:textId="77777777" w:rsidR="009C7F52" w:rsidRDefault="00731002">
      <w:pPr>
        <w:spacing w:after="80" w:line="240" w:lineRule="auto"/>
      </w:pPr>
      <w:bookmarkStart w:id="572" w:name="cite_317"/>
      <w:r>
        <w:rPr>
          <w:sz w:val="16"/>
          <w:vertAlign w:val="superscript"/>
        </w:rPr>
        <w:t>317</w:t>
      </w:r>
      <w:bookmarkEnd w:id="572"/>
      <w:r>
        <w:fldChar w:fldCharType="begin"/>
      </w:r>
      <w:r>
        <w:instrText>HYPERLINK "https://en.wikipedia.org/wiki/Shirk_(Islam)" \h</w:instrText>
      </w:r>
      <w:r>
        <w:fldChar w:fldCharType="separate"/>
      </w:r>
      <w:r>
        <w:rPr>
          <w:color w:val="0563C1"/>
          <w:sz w:val="18"/>
          <w:u w:val="single"/>
        </w:rPr>
        <w:t>Wikipedia, “Shirk (Islam)”</w:t>
      </w:r>
      <w:r>
        <w:fldChar w:fldCharType="end"/>
      </w:r>
    </w:p>
    <w:p w14:paraId="383FB057" w14:textId="77777777" w:rsidR="009C7F52" w:rsidRDefault="00731002">
      <w:pPr>
        <w:spacing w:after="80" w:line="240" w:lineRule="auto"/>
      </w:pPr>
      <w:bookmarkStart w:id="573" w:name="cite_318"/>
      <w:r>
        <w:rPr>
          <w:sz w:val="16"/>
          <w:vertAlign w:val="superscript"/>
        </w:rPr>
        <w:t>318</w:t>
      </w:r>
      <w:bookmarkEnd w:id="573"/>
      <w:r>
        <w:fldChar w:fldCharType="begin"/>
      </w:r>
      <w:r>
        <w:instrText>HYPERLINK "https://en.wikipedia.org/wiki/Tawhid" \h</w:instrText>
      </w:r>
      <w:r>
        <w:fldChar w:fldCharType="separate"/>
      </w:r>
      <w:r>
        <w:rPr>
          <w:color w:val="0563C1"/>
          <w:sz w:val="18"/>
          <w:u w:val="single"/>
        </w:rPr>
        <w:t>Wikipedia, “Tawhid”</w:t>
      </w:r>
      <w:r>
        <w:fldChar w:fldCharType="end"/>
      </w:r>
    </w:p>
    <w:p w14:paraId="7E5CC92E" w14:textId="77777777" w:rsidR="009C7F52" w:rsidRDefault="00731002">
      <w:pPr>
        <w:spacing w:after="80" w:line="240" w:lineRule="auto"/>
      </w:pPr>
      <w:bookmarkStart w:id="574" w:name="cite_319"/>
      <w:r>
        <w:rPr>
          <w:sz w:val="16"/>
          <w:vertAlign w:val="superscript"/>
        </w:rPr>
        <w:t>319</w:t>
      </w:r>
      <w:bookmarkEnd w:id="574"/>
      <w:r>
        <w:fldChar w:fldCharType="begin"/>
      </w:r>
      <w:r>
        <w:instrText>HYPERLINK "https://en.wikipedia.org/wiki/Islamic_view_of_the_Trinity" \h</w:instrText>
      </w:r>
      <w:r>
        <w:fldChar w:fldCharType="separate"/>
      </w:r>
      <w:r>
        <w:rPr>
          <w:color w:val="0563C1"/>
          <w:sz w:val="18"/>
          <w:u w:val="single"/>
        </w:rPr>
        <w:t>Wikipedia, “Islamic view of the Trinity”</w:t>
      </w:r>
      <w:r>
        <w:fldChar w:fldCharType="end"/>
      </w:r>
    </w:p>
    <w:p w14:paraId="489ED6CE" w14:textId="77777777" w:rsidR="009C7F52" w:rsidRDefault="00731002">
      <w:pPr>
        <w:spacing w:after="80" w:line="240" w:lineRule="auto"/>
      </w:pPr>
      <w:bookmarkStart w:id="575" w:name="cite_320"/>
      <w:r>
        <w:rPr>
          <w:sz w:val="16"/>
          <w:vertAlign w:val="superscript"/>
        </w:rPr>
        <w:t>320</w:t>
      </w:r>
      <w:bookmarkEnd w:id="575"/>
      <w:r>
        <w:fldChar w:fldCharType="begin"/>
      </w:r>
      <w:r>
        <w:instrText>HYPERLINK "https://en.wikipedia.org/wiki/Shirk_(Islam)" \h</w:instrText>
      </w:r>
      <w:r>
        <w:fldChar w:fldCharType="separate"/>
      </w:r>
      <w:r>
        <w:rPr>
          <w:color w:val="0563C1"/>
          <w:sz w:val="18"/>
          <w:u w:val="single"/>
        </w:rPr>
        <w:t>Wikipedia, “Shirk (Islam)”</w:t>
      </w:r>
      <w:r>
        <w:fldChar w:fldCharType="end"/>
      </w:r>
    </w:p>
    <w:p w14:paraId="10A388A9" w14:textId="77777777" w:rsidR="009C7F52" w:rsidRDefault="00731002">
      <w:pPr>
        <w:spacing w:after="80" w:line="240" w:lineRule="auto"/>
      </w:pPr>
      <w:bookmarkStart w:id="576" w:name="cite_321"/>
      <w:r>
        <w:rPr>
          <w:sz w:val="16"/>
          <w:vertAlign w:val="superscript"/>
        </w:rPr>
        <w:t>321</w:t>
      </w:r>
      <w:bookmarkEnd w:id="576"/>
      <w:r>
        <w:fldChar w:fldCharType="begin"/>
      </w:r>
      <w:r>
        <w:instrText>HYPERLINK "https://christoverall.com/article/concise/we-do-not-saythreeexplaining-the-trinity-to-muslims/" \h</w:instrText>
      </w:r>
      <w:r>
        <w:fldChar w:fldCharType="separate"/>
      </w:r>
      <w:r>
        <w:rPr>
          <w:color w:val="0563C1"/>
          <w:sz w:val="18"/>
          <w:u w:val="single"/>
        </w:rPr>
        <w:t>christoverall.com, “We Do Not Say ‘Three’”</w:t>
      </w:r>
      <w:r>
        <w:fldChar w:fldCharType="end"/>
      </w:r>
    </w:p>
    <w:p w14:paraId="6CBE7D7B" w14:textId="77777777" w:rsidR="009C7F52" w:rsidRDefault="00731002">
      <w:pPr>
        <w:spacing w:after="80" w:line="240" w:lineRule="auto"/>
      </w:pPr>
      <w:bookmarkStart w:id="577" w:name="cite_322"/>
      <w:r>
        <w:rPr>
          <w:sz w:val="16"/>
          <w:vertAlign w:val="superscript"/>
        </w:rPr>
        <w:t>322</w:t>
      </w:r>
      <w:bookmarkEnd w:id="577"/>
      <w:r>
        <w:fldChar w:fldCharType="begin"/>
      </w:r>
      <w:r>
        <w:instrText>HYPERLINK "https://christoverall.com/article/concise/we-do-not-saythreeexplaining-the-trinity-to-muslims/" \h</w:instrText>
      </w:r>
      <w:r>
        <w:fldChar w:fldCharType="separate"/>
      </w:r>
      <w:r>
        <w:rPr>
          <w:color w:val="0563C1"/>
          <w:sz w:val="18"/>
          <w:u w:val="single"/>
        </w:rPr>
        <w:t>christoverall.com, “We Do Not Say ‘Three’”</w:t>
      </w:r>
      <w:r>
        <w:fldChar w:fldCharType="end"/>
      </w:r>
    </w:p>
    <w:p w14:paraId="62E0B977" w14:textId="77777777" w:rsidR="009C7F52" w:rsidRDefault="00731002">
      <w:pPr>
        <w:spacing w:after="80" w:line="240" w:lineRule="auto"/>
      </w:pPr>
      <w:bookmarkStart w:id="578" w:name="cite_323"/>
      <w:r>
        <w:rPr>
          <w:sz w:val="16"/>
          <w:vertAlign w:val="superscript"/>
        </w:rPr>
        <w:t>323</w:t>
      </w:r>
      <w:bookmarkEnd w:id="578"/>
      <w:r>
        <w:fldChar w:fldCharType="begin"/>
      </w:r>
      <w:r>
        <w:instrText>HYPERLINK "https://krisispraxis.com/archives/2020/07/a-fitting-refutation-of-the-divinity-of-jesus-al-radd-al-jamil-by-al-ghazali-part-1/" \h</w:instrText>
      </w:r>
      <w:r>
        <w:fldChar w:fldCharType="separate"/>
      </w:r>
      <w:r>
        <w:rPr>
          <w:color w:val="0563C1"/>
          <w:sz w:val="18"/>
          <w:u w:val="single"/>
        </w:rPr>
        <w:t>Krisis Praxis, “A Fitting Refutation of the Divinity of Jesus”</w:t>
      </w:r>
      <w:r>
        <w:fldChar w:fldCharType="end"/>
      </w:r>
    </w:p>
    <w:p w14:paraId="6237E5B7" w14:textId="77777777" w:rsidR="009C7F52" w:rsidRDefault="00731002">
      <w:pPr>
        <w:spacing w:after="80" w:line="240" w:lineRule="auto"/>
      </w:pPr>
      <w:bookmarkStart w:id="579" w:name="cite_324"/>
      <w:r>
        <w:rPr>
          <w:sz w:val="16"/>
          <w:vertAlign w:val="superscript"/>
        </w:rPr>
        <w:t>324</w:t>
      </w:r>
      <w:bookmarkEnd w:id="579"/>
      <w:r>
        <w:fldChar w:fldCharType="begin"/>
      </w:r>
      <w:r>
        <w:instrText>HYPERLINK "https://krisispraxis.com/archives/2020/07/a-fitting-refutation-of-the-divinity-of-jesus-al-radd-al-jamil-by-al-ghazali-part-1/" \h</w:instrText>
      </w:r>
      <w:r>
        <w:fldChar w:fldCharType="separate"/>
      </w:r>
      <w:r>
        <w:rPr>
          <w:color w:val="0563C1"/>
          <w:sz w:val="18"/>
          <w:u w:val="single"/>
        </w:rPr>
        <w:t>Krisis Praxis, “A Fitting Refutation of the Divinity of Jesus”</w:t>
      </w:r>
      <w:r>
        <w:fldChar w:fldCharType="end"/>
      </w:r>
    </w:p>
    <w:p w14:paraId="1574955E" w14:textId="77777777" w:rsidR="009C7F52" w:rsidRDefault="00731002">
      <w:pPr>
        <w:spacing w:after="80" w:line="240" w:lineRule="auto"/>
      </w:pPr>
      <w:bookmarkStart w:id="580" w:name="cite_325"/>
      <w:r>
        <w:rPr>
          <w:sz w:val="16"/>
          <w:vertAlign w:val="superscript"/>
        </w:rPr>
        <w:t>325</w:t>
      </w:r>
      <w:bookmarkEnd w:id="580"/>
      <w:r>
        <w:fldChar w:fldCharType="begin"/>
      </w:r>
      <w:r>
        <w:instrText>HYPERLINK "https://krisispraxis.com/archives/2020/07/a-fitting-refutation-of-the-divinity-of-jesus-al-radd-al-jamil-by-al-ghazali-part-1/" \h</w:instrText>
      </w:r>
      <w:r>
        <w:fldChar w:fldCharType="separate"/>
      </w:r>
      <w:r>
        <w:rPr>
          <w:color w:val="0563C1"/>
          <w:sz w:val="18"/>
          <w:u w:val="single"/>
        </w:rPr>
        <w:t>Krisis Praxis, “A Fitting Refutation of the Divinity of Jesus”</w:t>
      </w:r>
      <w:r>
        <w:fldChar w:fldCharType="end"/>
      </w:r>
    </w:p>
    <w:p w14:paraId="3493029A" w14:textId="77777777" w:rsidR="009C7F52" w:rsidRDefault="00731002">
      <w:pPr>
        <w:spacing w:after="80" w:line="240" w:lineRule="auto"/>
      </w:pPr>
      <w:bookmarkStart w:id="581" w:name="cite_326"/>
      <w:r>
        <w:rPr>
          <w:sz w:val="16"/>
          <w:vertAlign w:val="superscript"/>
        </w:rPr>
        <w:t>326</w:t>
      </w:r>
      <w:bookmarkEnd w:id="581"/>
      <w:r>
        <w:fldChar w:fldCharType="begin"/>
      </w:r>
      <w:r>
        <w:instrText>HYPERLINK "https://christianhistoryinstitute.org/magazine/article/encounters-with-islam" \h</w:instrText>
      </w:r>
      <w:r>
        <w:fldChar w:fldCharType="separate"/>
      </w:r>
      <w:r>
        <w:rPr>
          <w:color w:val="0563C1"/>
          <w:sz w:val="18"/>
          <w:u w:val="single"/>
        </w:rPr>
        <w:t>Christian History Institute, “Encounters with Islam”</w:t>
      </w:r>
      <w:r>
        <w:fldChar w:fldCharType="end"/>
      </w:r>
    </w:p>
    <w:p w14:paraId="06D7A46B" w14:textId="77777777" w:rsidR="009C7F52" w:rsidRDefault="00731002">
      <w:pPr>
        <w:spacing w:after="80" w:line="240" w:lineRule="auto"/>
      </w:pPr>
      <w:bookmarkStart w:id="582" w:name="cite_327"/>
      <w:r>
        <w:rPr>
          <w:sz w:val="16"/>
          <w:vertAlign w:val="superscript"/>
        </w:rPr>
        <w:t>327</w:t>
      </w:r>
      <w:bookmarkEnd w:id="582"/>
      <w:r>
        <w:fldChar w:fldCharType="begin"/>
      </w:r>
      <w:r>
        <w:instrText>HYPERLINK "https://syriacstudies.com/2017/11/30/the-apology-of-timothy-the-patriarch-before-the-caliph-mahdi/" \h</w:instrText>
      </w:r>
      <w:r>
        <w:fldChar w:fldCharType="separate"/>
      </w:r>
      <w:r>
        <w:rPr>
          <w:color w:val="0563C1"/>
          <w:sz w:val="18"/>
          <w:u w:val="single"/>
        </w:rPr>
        <w:t>Syriac Studies, “The Apology of Timothy the Patriarch before the Caliph Mahdi”</w:t>
      </w:r>
      <w:r>
        <w:fldChar w:fldCharType="end"/>
      </w:r>
    </w:p>
    <w:p w14:paraId="19CB4184" w14:textId="77777777" w:rsidR="009C7F52" w:rsidRDefault="00731002">
      <w:pPr>
        <w:spacing w:after="80" w:line="240" w:lineRule="auto"/>
      </w:pPr>
      <w:bookmarkStart w:id="583" w:name="cite_328"/>
      <w:r>
        <w:rPr>
          <w:sz w:val="16"/>
          <w:vertAlign w:val="superscript"/>
        </w:rPr>
        <w:t>328</w:t>
      </w:r>
      <w:bookmarkEnd w:id="583"/>
      <w:r>
        <w:fldChar w:fldCharType="begin"/>
      </w:r>
      <w:r>
        <w:instrText>HYPERLINK "https://christoverall.com/article/concise/we-do-not-saythreeexplaining-the-trinity-to-muslims/" \h</w:instrText>
      </w:r>
      <w:r>
        <w:fldChar w:fldCharType="separate"/>
      </w:r>
      <w:r>
        <w:rPr>
          <w:color w:val="0563C1"/>
          <w:sz w:val="18"/>
          <w:u w:val="single"/>
        </w:rPr>
        <w:t>christoverall.com, “We Do Not Say ‘Three’”</w:t>
      </w:r>
      <w:r>
        <w:fldChar w:fldCharType="end"/>
      </w:r>
    </w:p>
    <w:p w14:paraId="259D119D" w14:textId="77777777" w:rsidR="009C7F52" w:rsidRDefault="00731002">
      <w:pPr>
        <w:spacing w:after="80" w:line="240" w:lineRule="auto"/>
      </w:pPr>
      <w:bookmarkStart w:id="584" w:name="cite_329"/>
      <w:r>
        <w:rPr>
          <w:sz w:val="16"/>
          <w:vertAlign w:val="superscript"/>
        </w:rPr>
        <w:t>329</w:t>
      </w:r>
      <w:bookmarkEnd w:id="584"/>
      <w:r>
        <w:fldChar w:fldCharType="begin"/>
      </w:r>
      <w:r>
        <w:instrText>HYPERLINK "https://www.bartehrman.com/is-the-trinity-really-in-the-bible/" \h</w:instrText>
      </w:r>
      <w:r>
        <w:fldChar w:fldCharType="separate"/>
      </w:r>
      <w:r>
        <w:rPr>
          <w:color w:val="0563C1"/>
          <w:sz w:val="18"/>
          <w:u w:val="single"/>
        </w:rPr>
        <w:t>bartehrman.com, “Is the Trinity Really in the Bible?”</w:t>
      </w:r>
      <w:r>
        <w:fldChar w:fldCharType="end"/>
      </w:r>
    </w:p>
    <w:p w14:paraId="15B97168" w14:textId="77777777" w:rsidR="009C7F52" w:rsidRDefault="00731002">
      <w:pPr>
        <w:spacing w:after="80" w:line="240" w:lineRule="auto"/>
      </w:pPr>
      <w:bookmarkStart w:id="585" w:name="cite_330"/>
      <w:r>
        <w:rPr>
          <w:sz w:val="16"/>
          <w:vertAlign w:val="superscript"/>
        </w:rPr>
        <w:t>330</w:t>
      </w:r>
      <w:bookmarkEnd w:id="585"/>
      <w:r>
        <w:fldChar w:fldCharType="begin"/>
      </w:r>
      <w:r>
        <w:instrText>HYPERLINK "https://www.bartehrman.com/is-the-trinity-really-in-the-bible/" \h</w:instrText>
      </w:r>
      <w:r>
        <w:fldChar w:fldCharType="separate"/>
      </w:r>
      <w:r>
        <w:rPr>
          <w:color w:val="0563C1"/>
          <w:sz w:val="18"/>
          <w:u w:val="single"/>
        </w:rPr>
        <w:t>bartehrman.com, “Is the Trinity Really in the Bible?”</w:t>
      </w:r>
      <w:r>
        <w:fldChar w:fldCharType="end"/>
      </w:r>
    </w:p>
    <w:p w14:paraId="06404D32" w14:textId="77777777" w:rsidR="009C7F52" w:rsidRDefault="00731002">
      <w:pPr>
        <w:spacing w:after="80" w:line="240" w:lineRule="auto"/>
      </w:pPr>
      <w:bookmarkStart w:id="586" w:name="cite_331"/>
      <w:r>
        <w:rPr>
          <w:sz w:val="16"/>
          <w:vertAlign w:val="superscript"/>
        </w:rPr>
        <w:t>331</w:t>
      </w:r>
      <w:bookmarkEnd w:id="586"/>
      <w:r>
        <w:fldChar w:fldCharType="begin"/>
      </w:r>
      <w:r>
        <w:instrText>HYPERLINK "https://www.bartehrman.com/is-the-trinity-really-in-the-bible/" \h</w:instrText>
      </w:r>
      <w:r>
        <w:fldChar w:fldCharType="separate"/>
      </w:r>
      <w:r>
        <w:rPr>
          <w:color w:val="0563C1"/>
          <w:sz w:val="18"/>
          <w:u w:val="single"/>
        </w:rPr>
        <w:t>bartehrman.com, “Is the Trinity Really in the Bible?”</w:t>
      </w:r>
      <w:r>
        <w:fldChar w:fldCharType="end"/>
      </w:r>
    </w:p>
    <w:p w14:paraId="6BDE234B" w14:textId="77777777" w:rsidR="009C7F52" w:rsidRDefault="00731002">
      <w:pPr>
        <w:spacing w:after="80" w:line="240" w:lineRule="auto"/>
      </w:pPr>
      <w:bookmarkStart w:id="587" w:name="cite_332"/>
      <w:r>
        <w:rPr>
          <w:sz w:val="16"/>
          <w:vertAlign w:val="superscript"/>
        </w:rPr>
        <w:t>332</w:t>
      </w:r>
      <w:bookmarkEnd w:id="587"/>
      <w:r>
        <w:fldChar w:fldCharType="begin"/>
      </w:r>
      <w:r>
        <w:instrText>HYPERLINK "https://plato.stanford.edu/entries/trinity/unitarianism.html" \h</w:instrText>
      </w:r>
      <w:r>
        <w:fldChar w:fldCharType="separate"/>
      </w:r>
      <w:r>
        <w:rPr>
          <w:color w:val="0563C1"/>
          <w:sz w:val="18"/>
          <w:u w:val="single"/>
        </w:rPr>
        <w:t>Stanford Encyclopedia of Philosophy, “Unitarianism”</w:t>
      </w:r>
      <w:r>
        <w:fldChar w:fldCharType="end"/>
      </w:r>
    </w:p>
    <w:p w14:paraId="43FCF3ED" w14:textId="77777777" w:rsidR="009C7F52" w:rsidRDefault="00731002">
      <w:pPr>
        <w:spacing w:after="80" w:line="240" w:lineRule="auto"/>
      </w:pPr>
      <w:bookmarkStart w:id="588" w:name="cite_333"/>
      <w:r>
        <w:rPr>
          <w:sz w:val="16"/>
          <w:vertAlign w:val="superscript"/>
        </w:rPr>
        <w:t>333</w:t>
      </w:r>
      <w:bookmarkEnd w:id="588"/>
      <w:r>
        <w:fldChar w:fldCharType="begin"/>
      </w:r>
      <w:r>
        <w:instrText>HYPERLINK "https://plato.stanford.edu/entries/trinity/unitarianism.html" \h</w:instrText>
      </w:r>
      <w:r>
        <w:fldChar w:fldCharType="separate"/>
      </w:r>
      <w:r>
        <w:rPr>
          <w:color w:val="0563C1"/>
          <w:sz w:val="18"/>
          <w:u w:val="single"/>
        </w:rPr>
        <w:t>Stanford Encyclopedia of Philosophy, “Unitarianism”</w:t>
      </w:r>
      <w:r>
        <w:fldChar w:fldCharType="end"/>
      </w:r>
    </w:p>
    <w:p w14:paraId="5A26925A" w14:textId="77777777" w:rsidR="009C7F52" w:rsidRDefault="00731002">
      <w:pPr>
        <w:spacing w:after="80" w:line="240" w:lineRule="auto"/>
      </w:pPr>
      <w:bookmarkStart w:id="589" w:name="cite_334"/>
      <w:r>
        <w:rPr>
          <w:sz w:val="16"/>
          <w:vertAlign w:val="superscript"/>
        </w:rPr>
        <w:t>334</w:t>
      </w:r>
      <w:bookmarkEnd w:id="589"/>
      <w:r>
        <w:fldChar w:fldCharType="begin"/>
      </w:r>
      <w:r>
        <w:instrText>HYPERLINK "https://academic.oup.com/jts/article-abstract/56/2/531/1709016" \h</w:instrText>
      </w:r>
      <w:r>
        <w:fldChar w:fldCharType="separate"/>
      </w:r>
      <w:r>
        <w:rPr>
          <w:color w:val="0563C1"/>
          <w:sz w:val="18"/>
          <w:u w:val="single"/>
        </w:rPr>
        <w:t>review of Hurtado, Lord Jesus Christ, Journal of Theological Studies</w:t>
      </w:r>
      <w:r>
        <w:fldChar w:fldCharType="end"/>
      </w:r>
    </w:p>
    <w:p w14:paraId="14C97CEF" w14:textId="77777777" w:rsidR="009C7F52" w:rsidRDefault="00731002">
      <w:pPr>
        <w:spacing w:after="80" w:line="240" w:lineRule="auto"/>
      </w:pPr>
      <w:bookmarkStart w:id="590" w:name="cite_335"/>
      <w:r>
        <w:rPr>
          <w:sz w:val="16"/>
          <w:vertAlign w:val="superscript"/>
        </w:rPr>
        <w:t>335</w:t>
      </w:r>
      <w:bookmarkEnd w:id="590"/>
      <w:r>
        <w:fldChar w:fldCharType="begin"/>
      </w:r>
      <w:r>
        <w:instrText>HYPERLINK "https://beliefmap.org/bible/1-corinthians/15-creed/date" \h</w:instrText>
      </w:r>
      <w:r>
        <w:fldChar w:fldCharType="separate"/>
      </w:r>
      <w:r>
        <w:rPr>
          <w:color w:val="0563C1"/>
          <w:sz w:val="18"/>
          <w:u w:val="single"/>
        </w:rPr>
        <w:t>BeliefMap, “Does the ‘1 Corinthians 15 creed’ date to about AD 30?”</w:t>
      </w:r>
      <w:r>
        <w:fldChar w:fldCharType="end"/>
      </w:r>
    </w:p>
    <w:p w14:paraId="10CAA86E" w14:textId="77777777" w:rsidR="009C7F52" w:rsidRDefault="00731002">
      <w:pPr>
        <w:spacing w:after="80" w:line="240" w:lineRule="auto"/>
      </w:pPr>
      <w:bookmarkStart w:id="591" w:name="cite_336"/>
      <w:r>
        <w:rPr>
          <w:sz w:val="16"/>
          <w:vertAlign w:val="superscript"/>
        </w:rPr>
        <w:t>336</w:t>
      </w:r>
      <w:bookmarkEnd w:id="591"/>
      <w:r>
        <w:fldChar w:fldCharType="begin"/>
      </w:r>
      <w:r>
        <w:instrText>HYPERLINK "https://beliefmap.org/bible/1-corinthians/15-creed/date" \h</w:instrText>
      </w:r>
      <w:r>
        <w:fldChar w:fldCharType="separate"/>
      </w:r>
      <w:r>
        <w:rPr>
          <w:color w:val="0563C1"/>
          <w:sz w:val="18"/>
          <w:u w:val="single"/>
        </w:rPr>
        <w:t>BeliefMap, “Does the ‘1 Corinthians 15 creed’ date to about AD 30?”</w:t>
      </w:r>
      <w:r>
        <w:fldChar w:fldCharType="end"/>
      </w:r>
    </w:p>
    <w:p w14:paraId="49AC4200" w14:textId="77777777" w:rsidR="009C7F52" w:rsidRDefault="00731002">
      <w:pPr>
        <w:spacing w:after="80" w:line="240" w:lineRule="auto"/>
      </w:pPr>
      <w:bookmarkStart w:id="592" w:name="cite_337"/>
      <w:r>
        <w:rPr>
          <w:sz w:val="16"/>
          <w:vertAlign w:val="superscript"/>
        </w:rPr>
        <w:t>337</w:t>
      </w:r>
      <w:bookmarkEnd w:id="592"/>
      <w:r>
        <w:fldChar w:fldCharType="begin"/>
      </w:r>
      <w:r>
        <w:instrText>HYPERLINK "https://en.wikipedia.org/wiki/Pliny_the_Younger_on_Christians" \h</w:instrText>
      </w:r>
      <w:r>
        <w:fldChar w:fldCharType="separate"/>
      </w:r>
      <w:r>
        <w:rPr>
          <w:color w:val="0563C1"/>
          <w:sz w:val="18"/>
          <w:u w:val="single"/>
        </w:rPr>
        <w:t>Wikipedia, “Pliny the Younger on Christians”</w:t>
      </w:r>
      <w:r>
        <w:fldChar w:fldCharType="end"/>
      </w:r>
    </w:p>
    <w:p w14:paraId="706CE31F" w14:textId="77777777" w:rsidR="009C7F52" w:rsidRDefault="00731002">
      <w:pPr>
        <w:spacing w:after="80" w:line="240" w:lineRule="auto"/>
      </w:pPr>
      <w:bookmarkStart w:id="593" w:name="cite_338"/>
      <w:r>
        <w:rPr>
          <w:sz w:val="16"/>
          <w:vertAlign w:val="superscript"/>
        </w:rPr>
        <w:t>338</w:t>
      </w:r>
      <w:bookmarkEnd w:id="593"/>
      <w:r>
        <w:fldChar w:fldCharType="begin"/>
      </w:r>
      <w:r>
        <w:instrText>HYPERLINK "https://www.crossway.org/articles/how-prayer-actually-works-to-the-father-through-the-son-by-the-spirit/" \h</w:instrText>
      </w:r>
      <w:r>
        <w:fldChar w:fldCharType="separate"/>
      </w:r>
      <w:r>
        <w:rPr>
          <w:color w:val="0563C1"/>
          <w:sz w:val="18"/>
          <w:u w:val="single"/>
        </w:rPr>
        <w:t>Crossway, “How Prayer Actually Works: To the Father, Through the Son, By the Spirit”</w:t>
      </w:r>
      <w:r>
        <w:fldChar w:fldCharType="end"/>
      </w:r>
    </w:p>
    <w:p w14:paraId="1C521666" w14:textId="77777777" w:rsidR="009C7F52" w:rsidRDefault="00731002">
      <w:pPr>
        <w:spacing w:after="80" w:line="240" w:lineRule="auto"/>
      </w:pPr>
      <w:bookmarkStart w:id="594" w:name="cite_339"/>
      <w:r>
        <w:rPr>
          <w:sz w:val="16"/>
          <w:vertAlign w:val="superscript"/>
        </w:rPr>
        <w:t>339</w:t>
      </w:r>
      <w:bookmarkEnd w:id="594"/>
      <w:r>
        <w:fldChar w:fldCharType="begin"/>
      </w:r>
      <w:r>
        <w:instrText>HYPERLINK "https://biblehub.com/commentaries/hastings/2_corinthians/13-14.htm" \h</w:instrText>
      </w:r>
      <w:r>
        <w:fldChar w:fldCharType="separate"/>
      </w:r>
      <w:r>
        <w:rPr>
          <w:color w:val="0563C1"/>
          <w:sz w:val="18"/>
          <w:u w:val="single"/>
        </w:rPr>
        <w:t>Bible Hub, Hastings commentary on 2 Corinthians 13:14</w:t>
      </w:r>
      <w:r>
        <w:fldChar w:fldCharType="end"/>
      </w:r>
    </w:p>
    <w:p w14:paraId="1431FD61" w14:textId="77777777" w:rsidR="009C7F52" w:rsidRDefault="00731002">
      <w:pPr>
        <w:spacing w:after="80" w:line="240" w:lineRule="auto"/>
      </w:pPr>
      <w:bookmarkStart w:id="595" w:name="cite_340"/>
      <w:r>
        <w:rPr>
          <w:sz w:val="16"/>
          <w:vertAlign w:val="superscript"/>
        </w:rPr>
        <w:t>340</w:t>
      </w:r>
      <w:bookmarkEnd w:id="595"/>
      <w:r>
        <w:fldChar w:fldCharType="begin"/>
      </w:r>
      <w:r>
        <w:instrText>HYPERLINK "https://en.wikipedia.org/wiki/Pliny_the_Younger_on_Christians" \h</w:instrText>
      </w:r>
      <w:r>
        <w:fldChar w:fldCharType="separate"/>
      </w:r>
      <w:r>
        <w:rPr>
          <w:color w:val="0563C1"/>
          <w:sz w:val="18"/>
          <w:u w:val="single"/>
        </w:rPr>
        <w:t>Wikipedia, “Pliny the Younger on Christians”</w:t>
      </w:r>
      <w:r>
        <w:fldChar w:fldCharType="end"/>
      </w:r>
    </w:p>
    <w:p w14:paraId="5CD2402A" w14:textId="77777777" w:rsidR="009C7F52" w:rsidRDefault="00731002">
      <w:pPr>
        <w:spacing w:after="80" w:line="240" w:lineRule="auto"/>
      </w:pPr>
      <w:bookmarkStart w:id="596" w:name="cite_341"/>
      <w:r>
        <w:rPr>
          <w:sz w:val="16"/>
          <w:vertAlign w:val="superscript"/>
        </w:rPr>
        <w:t>341</w:t>
      </w:r>
      <w:bookmarkEnd w:id="596"/>
      <w:r>
        <w:fldChar w:fldCharType="begin"/>
      </w:r>
      <w:r>
        <w:instrText>HYPERLINK "https://en.wikipedia.org/wiki/Nicene_Creed" \h</w:instrText>
      </w:r>
      <w:r>
        <w:fldChar w:fldCharType="separate"/>
      </w:r>
      <w:r>
        <w:rPr>
          <w:color w:val="0563C1"/>
          <w:sz w:val="18"/>
          <w:u w:val="single"/>
        </w:rPr>
        <w:t>Nicene Creed, Wikipedia</w:t>
      </w:r>
      <w:r>
        <w:fldChar w:fldCharType="end"/>
      </w:r>
    </w:p>
    <w:p w14:paraId="08F46181" w14:textId="77777777" w:rsidR="009C7F52" w:rsidRDefault="00731002">
      <w:pPr>
        <w:spacing w:after="80" w:line="240" w:lineRule="auto"/>
      </w:pPr>
      <w:bookmarkStart w:id="597" w:name="cite_342"/>
      <w:r>
        <w:rPr>
          <w:sz w:val="16"/>
          <w:vertAlign w:val="superscript"/>
        </w:rPr>
        <w:t>342</w:t>
      </w:r>
      <w:bookmarkEnd w:id="597"/>
      <w:r>
        <w:fldChar w:fldCharType="begin"/>
      </w:r>
      <w:r>
        <w:instrText>HYPERLINK "https://earlychurchtexts.com/main/nicaea/creed_of_nicaea.shtml" \h</w:instrText>
      </w:r>
      <w:r>
        <w:fldChar w:fldCharType="separate"/>
      </w:r>
      <w:r>
        <w:rPr>
          <w:color w:val="0563C1"/>
          <w:sz w:val="18"/>
          <w:u w:val="single"/>
        </w:rPr>
        <w:t>Early Church Texts, Creed of Nicaea</w:t>
      </w:r>
      <w:r>
        <w:fldChar w:fldCharType="end"/>
      </w:r>
    </w:p>
    <w:p w14:paraId="224D47F7" w14:textId="77777777" w:rsidR="009C7F52" w:rsidRDefault="00731002">
      <w:pPr>
        <w:spacing w:after="80" w:line="240" w:lineRule="auto"/>
      </w:pPr>
      <w:bookmarkStart w:id="598" w:name="cite_343"/>
      <w:r>
        <w:rPr>
          <w:sz w:val="16"/>
          <w:vertAlign w:val="superscript"/>
        </w:rPr>
        <w:t>343</w:t>
      </w:r>
      <w:bookmarkEnd w:id="598"/>
      <w:r>
        <w:rPr>
          <w:sz w:val="18"/>
        </w:rPr>
        <w:t>Source: Early Church Texts, “The Creed of Nicaea — Agreed at the Council in 325”; Greek and English also available via Wikipedia, “Nicene Creed”</w:t>
      </w:r>
      <w:hyperlink r:id="rId56">
        <w:r>
          <w:rPr>
            <w:color w:val="0563C1"/>
            <w:sz w:val="18"/>
            <w:u w:val="single"/>
          </w:rPr>
          <w:t>[Source 1]</w:t>
        </w:r>
      </w:hyperlink>
      <w:hyperlink r:id="rId57">
        <w:r>
          <w:rPr>
            <w:color w:val="0563C1"/>
            <w:sz w:val="18"/>
            <w:u w:val="single"/>
          </w:rPr>
          <w:t>[Source 2]</w:t>
        </w:r>
      </w:hyperlink>
    </w:p>
    <w:p w14:paraId="09CE87C1" w14:textId="77777777" w:rsidR="009C7F52" w:rsidRDefault="00731002">
      <w:pPr>
        <w:spacing w:after="80" w:line="240" w:lineRule="auto"/>
      </w:pPr>
      <w:bookmarkStart w:id="599" w:name="cite_344"/>
      <w:r>
        <w:rPr>
          <w:sz w:val="16"/>
          <w:vertAlign w:val="superscript"/>
        </w:rPr>
        <w:t>344</w:t>
      </w:r>
      <w:bookmarkEnd w:id="599"/>
      <w:r>
        <w:fldChar w:fldCharType="begin"/>
      </w:r>
      <w:r>
        <w:instrText>HYPERLINK "https://www.oikoumene.org/resources/documents/nicene-constantinopolitan-creed" \h</w:instrText>
      </w:r>
      <w:r>
        <w:fldChar w:fldCharType="separate"/>
      </w:r>
      <w:r>
        <w:rPr>
          <w:color w:val="0563C1"/>
          <w:sz w:val="18"/>
          <w:u w:val="single"/>
        </w:rPr>
        <w:t>World Council of Churches, “Nicene-Constantinopolitan Creed”</w:t>
      </w:r>
      <w:r>
        <w:fldChar w:fldCharType="end"/>
      </w:r>
    </w:p>
    <w:p w14:paraId="533AB35B" w14:textId="77777777" w:rsidR="009C7F52" w:rsidRDefault="00731002">
      <w:pPr>
        <w:spacing w:after="80" w:line="240" w:lineRule="auto"/>
      </w:pPr>
      <w:bookmarkStart w:id="600" w:name="cite_345"/>
      <w:r>
        <w:rPr>
          <w:sz w:val="16"/>
          <w:vertAlign w:val="superscript"/>
        </w:rPr>
        <w:t>345</w:t>
      </w:r>
      <w:bookmarkEnd w:id="600"/>
      <w:r>
        <w:rPr>
          <w:sz w:val="18"/>
        </w:rPr>
        <w:t>Source: World Council of Churches, “Nicene-Constantinopolitan Creed”; Greek text also given at Wikipedia, “Nicene Creed”. Note that the filioque — Latin “and the Son,” added to the Spirit’s procession clause centuries later by the Western church and never accepted in the East — does not appear in this original 381 text; see the glossary entry on the Filioque below</w:t>
      </w:r>
      <w:hyperlink r:id="rId58">
        <w:r>
          <w:rPr>
            <w:color w:val="0563C1"/>
            <w:sz w:val="18"/>
            <w:u w:val="single"/>
          </w:rPr>
          <w:t>[Source 1]</w:t>
        </w:r>
      </w:hyperlink>
      <w:hyperlink r:id="rId59">
        <w:r>
          <w:rPr>
            <w:color w:val="0563C1"/>
            <w:sz w:val="18"/>
            <w:u w:val="single"/>
          </w:rPr>
          <w:t>[Source 2]</w:t>
        </w:r>
      </w:hyperlink>
    </w:p>
    <w:p w14:paraId="0DFF8566" w14:textId="77777777" w:rsidR="009C7F52" w:rsidRDefault="00731002">
      <w:pPr>
        <w:spacing w:after="80" w:line="240" w:lineRule="auto"/>
      </w:pPr>
      <w:bookmarkStart w:id="601" w:name="cite_346"/>
      <w:r>
        <w:rPr>
          <w:sz w:val="16"/>
          <w:vertAlign w:val="superscript"/>
        </w:rPr>
        <w:t>346</w:t>
      </w:r>
      <w:bookmarkEnd w:id="601"/>
      <w:r>
        <w:fldChar w:fldCharType="begin"/>
      </w:r>
      <w:r>
        <w:instrText>HYPERLINK "https://en.wikipedia.org/wiki/Chalcedonian_Definition" \h</w:instrText>
      </w:r>
      <w:r>
        <w:fldChar w:fldCharType="separate"/>
      </w:r>
      <w:r>
        <w:rPr>
          <w:color w:val="0563C1"/>
          <w:sz w:val="18"/>
          <w:u w:val="single"/>
        </w:rPr>
        <w:t>Chalcedonian Definition, Wikipedia</w:t>
      </w:r>
      <w:r>
        <w:fldChar w:fldCharType="end"/>
      </w:r>
    </w:p>
    <w:p w14:paraId="1EAD5DA4" w14:textId="77777777" w:rsidR="009C7F52" w:rsidRDefault="00731002">
      <w:pPr>
        <w:spacing w:after="80" w:line="240" w:lineRule="auto"/>
      </w:pPr>
      <w:bookmarkStart w:id="602" w:name="cite_347"/>
      <w:r>
        <w:rPr>
          <w:sz w:val="16"/>
          <w:vertAlign w:val="superscript"/>
        </w:rPr>
        <w:t>347</w:t>
      </w:r>
      <w:bookmarkEnd w:id="602"/>
      <w:r>
        <w:fldChar w:fldCharType="begin"/>
      </w:r>
      <w:r>
        <w:instrText>HYPERLINK "https://en.wikipedia.org/wiki/Chalcedonian_Definition" \h</w:instrText>
      </w:r>
      <w:r>
        <w:fldChar w:fldCharType="separate"/>
      </w:r>
      <w:r>
        <w:rPr>
          <w:color w:val="0563C1"/>
          <w:sz w:val="18"/>
          <w:u w:val="single"/>
        </w:rPr>
        <w:t>Source: Chalcedonian Definition, Wikipedia, citing Bindley, The Oecumenical Documents of the Faith (1899), p. 297</w:t>
      </w:r>
      <w:r>
        <w:fldChar w:fldCharType="end"/>
      </w:r>
    </w:p>
    <w:p w14:paraId="7BEE3045" w14:textId="77777777" w:rsidR="009C7F52" w:rsidRDefault="00731002">
      <w:pPr>
        <w:spacing w:after="80" w:line="240" w:lineRule="auto"/>
      </w:pPr>
      <w:bookmarkStart w:id="603" w:name="cite_348"/>
      <w:r>
        <w:rPr>
          <w:sz w:val="16"/>
          <w:vertAlign w:val="superscript"/>
        </w:rPr>
        <w:t>348</w:t>
      </w:r>
      <w:bookmarkEnd w:id="603"/>
      <w:r>
        <w:fldChar w:fldCharType="begin"/>
      </w:r>
      <w:r>
        <w:instrText>HYPERLINK "https://en.wikipedia.org/wiki/Athanasian_Creed" \h</w:instrText>
      </w:r>
      <w:r>
        <w:fldChar w:fldCharType="separate"/>
      </w:r>
      <w:r>
        <w:rPr>
          <w:color w:val="0563C1"/>
          <w:sz w:val="18"/>
          <w:u w:val="single"/>
        </w:rPr>
        <w:t>Athanasian Creed, Wikipedia</w:t>
      </w:r>
      <w:r>
        <w:fldChar w:fldCharType="end"/>
      </w:r>
    </w:p>
    <w:p w14:paraId="7BBEC325" w14:textId="77777777" w:rsidR="009C7F52" w:rsidRDefault="00731002">
      <w:pPr>
        <w:spacing w:after="80" w:line="240" w:lineRule="auto"/>
      </w:pPr>
      <w:bookmarkStart w:id="604" w:name="cite_349"/>
      <w:r>
        <w:rPr>
          <w:sz w:val="16"/>
          <w:vertAlign w:val="superscript"/>
        </w:rPr>
        <w:t>349</w:t>
      </w:r>
      <w:bookmarkEnd w:id="604"/>
      <w:r>
        <w:fldChar w:fldCharType="begin"/>
      </w:r>
      <w:r>
        <w:instrText>HYPERLINK "https://en.wikipedia.org/wiki/Athanasian_Creed" \h</w:instrText>
      </w:r>
      <w:r>
        <w:fldChar w:fldCharType="separate"/>
      </w:r>
      <w:r>
        <w:rPr>
          <w:color w:val="0563C1"/>
          <w:sz w:val="18"/>
          <w:u w:val="single"/>
        </w:rPr>
        <w:t>Source: Athanasian Creed, Wikipedia (full Latin and English text, with discussion of authorship and dating)</w:t>
      </w:r>
      <w:r>
        <w:fldChar w:fldCharType="end"/>
      </w:r>
    </w:p>
    <w:p w14:paraId="60515AD9" w14:textId="77777777" w:rsidR="009C7F52" w:rsidRDefault="00731002">
      <w:pPr>
        <w:spacing w:after="80" w:line="240" w:lineRule="auto"/>
      </w:pPr>
      <w:bookmarkStart w:id="605" w:name="cite_350"/>
      <w:r>
        <w:rPr>
          <w:sz w:val="16"/>
          <w:vertAlign w:val="superscript"/>
        </w:rPr>
        <w:t>350</w:t>
      </w:r>
      <w:bookmarkEnd w:id="605"/>
      <w:r>
        <w:fldChar w:fldCharType="begin"/>
      </w:r>
      <w:r>
        <w:instrText>HYPERLINK "https://www.britannica.com/topic/adoptionism" \h</w:instrText>
      </w:r>
      <w:r>
        <w:fldChar w:fldCharType="separate"/>
      </w:r>
      <w:r>
        <w:rPr>
          <w:color w:val="0563C1"/>
          <w:sz w:val="18"/>
          <w:u w:val="single"/>
        </w:rPr>
        <w:t>Adoptionism, Britannica</w:t>
      </w:r>
      <w:r>
        <w:fldChar w:fldCharType="end"/>
      </w:r>
    </w:p>
    <w:p w14:paraId="2C173324" w14:textId="77777777" w:rsidR="009C7F52" w:rsidRDefault="00731002">
      <w:pPr>
        <w:spacing w:after="80" w:line="240" w:lineRule="auto"/>
      </w:pPr>
      <w:bookmarkStart w:id="606" w:name="cite_351"/>
      <w:r>
        <w:rPr>
          <w:sz w:val="16"/>
          <w:vertAlign w:val="superscript"/>
        </w:rPr>
        <w:t>351</w:t>
      </w:r>
      <w:bookmarkEnd w:id="606"/>
      <w:r>
        <w:fldChar w:fldCharType="begin"/>
      </w:r>
      <w:r>
        <w:instrText>HYPERLINK "https://biblehub.com/q/what_are_enhypostasis_and_anhypostasis.htm" \h</w:instrText>
      </w:r>
      <w:r>
        <w:fldChar w:fldCharType="separate"/>
      </w:r>
      <w:r>
        <w:rPr>
          <w:color w:val="0563C1"/>
          <w:sz w:val="18"/>
          <w:u w:val="single"/>
        </w:rPr>
        <w:t>“What are Enhypostasis and Anhypostasis?”, Bible Hub</w:t>
      </w:r>
      <w:r>
        <w:fldChar w:fldCharType="end"/>
      </w:r>
    </w:p>
    <w:p w14:paraId="1111ACAB" w14:textId="77777777" w:rsidR="009C7F52" w:rsidRDefault="00731002">
      <w:pPr>
        <w:spacing w:after="80" w:line="240" w:lineRule="auto"/>
      </w:pPr>
      <w:bookmarkStart w:id="607" w:name="cite_352"/>
      <w:r>
        <w:rPr>
          <w:sz w:val="16"/>
          <w:vertAlign w:val="superscript"/>
        </w:rPr>
        <w:t>352</w:t>
      </w:r>
      <w:bookmarkEnd w:id="607"/>
      <w:r>
        <w:fldChar w:fldCharType="begin"/>
      </w:r>
      <w:r>
        <w:instrText>HYPERLINK "https://en.wikipedia.org/wiki/Nicene_Creed" \h</w:instrText>
      </w:r>
      <w:r>
        <w:fldChar w:fldCharType="separate"/>
      </w:r>
      <w:r>
        <w:rPr>
          <w:color w:val="0563C1"/>
          <w:sz w:val="18"/>
          <w:u w:val="single"/>
        </w:rPr>
        <w:t>Nicene Creed, Wikipedia</w:t>
      </w:r>
      <w:r>
        <w:fldChar w:fldCharType="end"/>
      </w:r>
    </w:p>
    <w:p w14:paraId="6E19E5A0" w14:textId="77777777" w:rsidR="009C7F52" w:rsidRDefault="00731002">
      <w:pPr>
        <w:spacing w:after="80" w:line="240" w:lineRule="auto"/>
      </w:pPr>
      <w:bookmarkStart w:id="608" w:name="cite_353"/>
      <w:r>
        <w:rPr>
          <w:sz w:val="16"/>
          <w:vertAlign w:val="superscript"/>
        </w:rPr>
        <w:t>353</w:t>
      </w:r>
      <w:bookmarkEnd w:id="608"/>
      <w:r>
        <w:fldChar w:fldCharType="begin"/>
      </w:r>
      <w:r>
        <w:instrText>HYPERLINK "https://en.wikipedia.org/wiki/Communicatio_idiomatum" \h</w:instrText>
      </w:r>
      <w:r>
        <w:fldChar w:fldCharType="separate"/>
      </w:r>
      <w:r>
        <w:rPr>
          <w:color w:val="0563C1"/>
          <w:sz w:val="18"/>
          <w:u w:val="single"/>
        </w:rPr>
        <w:t>Communicatio idiomatum, Wikipedia</w:t>
      </w:r>
      <w:r>
        <w:fldChar w:fldCharType="end"/>
      </w:r>
    </w:p>
    <w:p w14:paraId="728B0C3B" w14:textId="77777777" w:rsidR="009C7F52" w:rsidRDefault="00731002">
      <w:pPr>
        <w:spacing w:after="80" w:line="240" w:lineRule="auto"/>
      </w:pPr>
      <w:bookmarkStart w:id="609" w:name="cite_354"/>
      <w:r>
        <w:rPr>
          <w:sz w:val="16"/>
          <w:vertAlign w:val="superscript"/>
        </w:rPr>
        <w:t>354</w:t>
      </w:r>
      <w:bookmarkEnd w:id="609"/>
      <w:r>
        <w:fldChar w:fldCharType="begin"/>
      </w:r>
      <w:r>
        <w:instrText>HYPERLINK "https://www.britannica.com/topic/Elohim" \h</w:instrText>
      </w:r>
      <w:r>
        <w:fldChar w:fldCharType="separate"/>
      </w:r>
      <w:r>
        <w:rPr>
          <w:color w:val="0563C1"/>
          <w:sz w:val="18"/>
          <w:u w:val="single"/>
        </w:rPr>
        <w:t>Elohim, Encyclopedia Britannica</w:t>
      </w:r>
      <w:r>
        <w:fldChar w:fldCharType="end"/>
      </w:r>
    </w:p>
    <w:p w14:paraId="5B611CDB" w14:textId="77777777" w:rsidR="009C7F52" w:rsidRDefault="00731002">
      <w:pPr>
        <w:spacing w:after="80" w:line="240" w:lineRule="auto"/>
      </w:pPr>
      <w:bookmarkStart w:id="610" w:name="cite_355"/>
      <w:r>
        <w:rPr>
          <w:sz w:val="16"/>
          <w:vertAlign w:val="superscript"/>
        </w:rPr>
        <w:t>355</w:t>
      </w:r>
      <w:bookmarkEnd w:id="610"/>
      <w:r>
        <w:fldChar w:fldCharType="begin"/>
      </w:r>
      <w:r>
        <w:instrText>HYPERLINK "https://en.wikipedia.org/wiki/Chalcedonian_Definition" \h</w:instrText>
      </w:r>
      <w:r>
        <w:fldChar w:fldCharType="separate"/>
      </w:r>
      <w:r>
        <w:rPr>
          <w:color w:val="0563C1"/>
          <w:sz w:val="18"/>
          <w:u w:val="single"/>
        </w:rPr>
        <w:t>Chalcedonian Definition, Wikipedia</w:t>
      </w:r>
      <w:r>
        <w:fldChar w:fldCharType="end"/>
      </w:r>
    </w:p>
    <w:p w14:paraId="379CED47" w14:textId="77777777" w:rsidR="009C7F52" w:rsidRDefault="00731002">
      <w:pPr>
        <w:spacing w:after="80" w:line="240" w:lineRule="auto"/>
      </w:pPr>
      <w:bookmarkStart w:id="611" w:name="cite_356"/>
      <w:r>
        <w:rPr>
          <w:sz w:val="16"/>
          <w:vertAlign w:val="superscript"/>
        </w:rPr>
        <w:t>356</w:t>
      </w:r>
      <w:bookmarkEnd w:id="611"/>
      <w:r>
        <w:fldChar w:fldCharType="begin"/>
      </w:r>
      <w:r>
        <w:instrText>HYPERLINK "https://www.britannica.com/topic/filioque" \h</w:instrText>
      </w:r>
      <w:r>
        <w:fldChar w:fldCharType="separate"/>
      </w:r>
      <w:r>
        <w:rPr>
          <w:color w:val="0563C1"/>
          <w:sz w:val="18"/>
          <w:u w:val="single"/>
        </w:rPr>
        <w:t>Filioque, Encyclopedia Britannica</w:t>
      </w:r>
      <w:r>
        <w:fldChar w:fldCharType="end"/>
      </w:r>
    </w:p>
    <w:p w14:paraId="1A478FF7" w14:textId="77777777" w:rsidR="009C7F52" w:rsidRDefault="00731002">
      <w:pPr>
        <w:spacing w:after="80" w:line="240" w:lineRule="auto"/>
      </w:pPr>
      <w:bookmarkStart w:id="612" w:name="cite_357"/>
      <w:r>
        <w:rPr>
          <w:sz w:val="16"/>
          <w:vertAlign w:val="superscript"/>
        </w:rPr>
        <w:t>357</w:t>
      </w:r>
      <w:bookmarkEnd w:id="612"/>
      <w:r>
        <w:fldChar w:fldCharType="begin"/>
      </w:r>
      <w:r>
        <w:instrText>HYPERLINK "https://en.wikipedia.org/wiki/Nicene_Creed" \h</w:instrText>
      </w:r>
      <w:r>
        <w:fldChar w:fldCharType="separate"/>
      </w:r>
      <w:r>
        <w:rPr>
          <w:color w:val="0563C1"/>
          <w:sz w:val="18"/>
          <w:u w:val="single"/>
        </w:rPr>
        <w:t>Nicene Creed, Wikipedia</w:t>
      </w:r>
      <w:r>
        <w:fldChar w:fldCharType="end"/>
      </w:r>
    </w:p>
    <w:p w14:paraId="466AC209" w14:textId="77777777" w:rsidR="009C7F52" w:rsidRDefault="00731002">
      <w:pPr>
        <w:spacing w:after="80" w:line="240" w:lineRule="auto"/>
      </w:pPr>
      <w:bookmarkStart w:id="613" w:name="cite_358"/>
      <w:r>
        <w:rPr>
          <w:sz w:val="16"/>
          <w:vertAlign w:val="superscript"/>
        </w:rPr>
        <w:t>358</w:t>
      </w:r>
      <w:bookmarkEnd w:id="613"/>
      <w:r>
        <w:fldChar w:fldCharType="begin"/>
      </w:r>
      <w:r>
        <w:instrText>HYPERLINK "https://www.britannica.com/topic/Sabellianism" \h</w:instrText>
      </w:r>
      <w:r>
        <w:fldChar w:fldCharType="separate"/>
      </w:r>
      <w:r>
        <w:rPr>
          <w:color w:val="0563C1"/>
          <w:sz w:val="18"/>
          <w:u w:val="single"/>
        </w:rPr>
        <w:t>Sabellianism, Encyclopedia Britannica</w:t>
      </w:r>
      <w:r>
        <w:fldChar w:fldCharType="end"/>
      </w:r>
    </w:p>
    <w:p w14:paraId="08A29BCE" w14:textId="77777777" w:rsidR="009C7F52" w:rsidRDefault="00731002">
      <w:pPr>
        <w:spacing w:after="80" w:line="240" w:lineRule="auto"/>
      </w:pPr>
      <w:bookmarkStart w:id="614" w:name="cite_359"/>
      <w:r>
        <w:rPr>
          <w:sz w:val="16"/>
          <w:vertAlign w:val="superscript"/>
        </w:rPr>
        <w:t>359</w:t>
      </w:r>
      <w:bookmarkEnd w:id="614"/>
      <w:r>
        <w:fldChar w:fldCharType="begin"/>
      </w:r>
      <w:r>
        <w:instrText>HYPERLINK "https://www.newadvent.org/cathen/04308a.htm" \h</w:instrText>
      </w:r>
      <w:r>
        <w:fldChar w:fldCharType="separate"/>
      </w:r>
      <w:r>
        <w:rPr>
          <w:color w:val="0563C1"/>
          <w:sz w:val="18"/>
          <w:u w:val="single"/>
        </w:rPr>
        <w:t>Third Council of Constantinople, New Advent</w:t>
      </w:r>
      <w:r>
        <w:fldChar w:fldCharType="end"/>
      </w:r>
    </w:p>
    <w:p w14:paraId="613FDAB7" w14:textId="77777777" w:rsidR="009C7F52" w:rsidRDefault="00731002">
      <w:pPr>
        <w:spacing w:after="80" w:line="240" w:lineRule="auto"/>
      </w:pPr>
      <w:bookmarkStart w:id="615" w:name="cite_360"/>
      <w:r>
        <w:rPr>
          <w:sz w:val="16"/>
          <w:vertAlign w:val="superscript"/>
        </w:rPr>
        <w:t>360</w:t>
      </w:r>
      <w:bookmarkEnd w:id="615"/>
      <w:r>
        <w:fldChar w:fldCharType="begin"/>
      </w:r>
      <w:r>
        <w:instrText>HYPERLINK "https://www.britannica.com/topic/Socinians" \h</w:instrText>
      </w:r>
      <w:r>
        <w:fldChar w:fldCharType="separate"/>
      </w:r>
      <w:r>
        <w:rPr>
          <w:color w:val="0563C1"/>
          <w:sz w:val="18"/>
          <w:u w:val="single"/>
        </w:rPr>
        <w:t>Socinian, Encyclopedia Britannica</w:t>
      </w:r>
      <w:r>
        <w:fldChar w:fldCharType="end"/>
      </w:r>
    </w:p>
    <w:p w14:paraId="69B6971D" w14:textId="77777777" w:rsidR="009C7F52" w:rsidRDefault="00731002">
      <w:pPr>
        <w:spacing w:after="80" w:line="240" w:lineRule="auto"/>
      </w:pPr>
      <w:bookmarkStart w:id="616" w:name="cite_361"/>
      <w:r>
        <w:rPr>
          <w:sz w:val="16"/>
          <w:vertAlign w:val="superscript"/>
        </w:rPr>
        <w:t>361</w:t>
      </w:r>
      <w:bookmarkEnd w:id="616"/>
      <w:r>
        <w:fldChar w:fldCharType="begin"/>
      </w:r>
      <w:r>
        <w:instrText>HYPERLINK "https://en.wikipedia.org/wiki/Tawhid" \h</w:instrText>
      </w:r>
      <w:r>
        <w:fldChar w:fldCharType="separate"/>
      </w:r>
      <w:r>
        <w:rPr>
          <w:color w:val="0563C1"/>
          <w:sz w:val="18"/>
          <w:u w:val="single"/>
        </w:rPr>
        <w:t>Tawhid, Wikipedia</w:t>
      </w:r>
      <w:r>
        <w:fldChar w:fldCharType="end"/>
      </w:r>
    </w:p>
    <w:p w14:paraId="1CD01E4F" w14:textId="77777777" w:rsidR="009C7F52" w:rsidRDefault="00731002">
      <w:pPr>
        <w:spacing w:after="80" w:line="240" w:lineRule="auto"/>
      </w:pPr>
      <w:bookmarkStart w:id="617" w:name="cite_362"/>
      <w:r>
        <w:rPr>
          <w:sz w:val="16"/>
          <w:vertAlign w:val="superscript"/>
        </w:rPr>
        <w:t>362</w:t>
      </w:r>
      <w:bookmarkEnd w:id="617"/>
      <w:r>
        <w:fldChar w:fldCharType="begin"/>
      </w:r>
      <w:r>
        <w:instrText>HYPERLINK "https://www.britannica.com/topic/Theotokos" \h</w:instrText>
      </w:r>
      <w:r>
        <w:fldChar w:fldCharType="separate"/>
      </w:r>
      <w:r>
        <w:rPr>
          <w:color w:val="0563C1"/>
          <w:sz w:val="18"/>
          <w:u w:val="single"/>
        </w:rPr>
        <w:t>Theotokos, Encyclopedia Britannica</w:t>
      </w:r>
      <w:r>
        <w:fldChar w:fldCharType="end"/>
      </w:r>
    </w:p>
    <w:p w14:paraId="77279051" w14:textId="77777777" w:rsidR="009C7F52" w:rsidRDefault="00731002">
      <w:pPr>
        <w:spacing w:after="80" w:line="240" w:lineRule="auto"/>
      </w:pPr>
      <w:bookmarkStart w:id="618" w:name="cite_363"/>
      <w:r>
        <w:rPr>
          <w:sz w:val="16"/>
          <w:vertAlign w:val="superscript"/>
        </w:rPr>
        <w:t>363</w:t>
      </w:r>
      <w:bookmarkEnd w:id="618"/>
      <w:r>
        <w:fldChar w:fldCharType="begin"/>
      </w:r>
      <w:r>
        <w:instrText>HYPERLINK "https://www.amazon.com/Forgotten-Trinity-James-R-White/dp/1556617259" \h</w:instrText>
      </w:r>
      <w:r>
        <w:fldChar w:fldCharType="separate"/>
      </w:r>
      <w:r>
        <w:rPr>
          <w:color w:val="0563C1"/>
          <w:sz w:val="18"/>
          <w:u w:val="single"/>
        </w:rPr>
        <w:t>James R. White, The Forgotten Trinity, quoted in Amazon product listing</w:t>
      </w:r>
      <w:r>
        <w:fldChar w:fldCharType="end"/>
      </w:r>
    </w:p>
    <w:p w14:paraId="43D8688A" w14:textId="77777777" w:rsidR="009C7F52" w:rsidRDefault="00731002">
      <w:pPr>
        <w:spacing w:after="80" w:line="240" w:lineRule="auto"/>
      </w:pPr>
      <w:bookmarkStart w:id="619" w:name="cite_364"/>
      <w:r>
        <w:rPr>
          <w:sz w:val="16"/>
          <w:vertAlign w:val="superscript"/>
        </w:rPr>
        <w:t>364</w:t>
      </w:r>
      <w:bookmarkEnd w:id="619"/>
      <w:r>
        <w:fldChar w:fldCharType="begin"/>
      </w:r>
      <w:r>
        <w:instrText>HYPERLINK "https://www.britannica.com/topic/Yahweh" \h</w:instrText>
      </w:r>
      <w:r>
        <w:fldChar w:fldCharType="separate"/>
      </w:r>
      <w:r>
        <w:rPr>
          <w:color w:val="0563C1"/>
          <w:sz w:val="18"/>
          <w:u w:val="single"/>
        </w:rPr>
        <w:t>YHWH, Encyclopedia Britannica</w:t>
      </w:r>
      <w:r>
        <w:fldChar w:fldCharType="end"/>
      </w:r>
    </w:p>
    <w:p w14:paraId="602F4C60" w14:textId="77777777" w:rsidR="009C7F52" w:rsidRDefault="00731002">
      <w:pPr>
        <w:spacing w:after="80" w:line="240" w:lineRule="auto"/>
      </w:pPr>
      <w:bookmarkStart w:id="620" w:name="cite_365"/>
      <w:r>
        <w:rPr>
          <w:sz w:val="16"/>
          <w:vertAlign w:val="superscript"/>
        </w:rPr>
        <w:t>365</w:t>
      </w:r>
      <w:bookmarkEnd w:id="620"/>
      <w:r>
        <w:fldChar w:fldCharType="begin"/>
      </w:r>
      <w:r>
        <w:instrText>HYPERLINK "https://lexhampress.com/product/145653/the-unseen-realm-recovering-the-supernatural-worldview-of-the-bible" \h</w:instrText>
      </w:r>
      <w:r>
        <w:fldChar w:fldCharType="separate"/>
      </w:r>
      <w:r>
        <w:rPr>
          <w:color w:val="0563C1"/>
          <w:sz w:val="18"/>
          <w:u w:val="single"/>
        </w:rPr>
        <w:t>Lexham Press, The Unseen Realm</w:t>
      </w:r>
      <w:r>
        <w:fldChar w:fldCharType="end"/>
      </w:r>
    </w:p>
    <w:p w14:paraId="1191DB57" w14:textId="77777777" w:rsidR="009C7F52" w:rsidRDefault="00731002">
      <w:pPr>
        <w:spacing w:after="80" w:line="240" w:lineRule="auto"/>
      </w:pPr>
      <w:bookmarkStart w:id="621" w:name="cite_366"/>
      <w:r>
        <w:rPr>
          <w:sz w:val="16"/>
          <w:vertAlign w:val="superscript"/>
        </w:rPr>
        <w:t>366</w:t>
      </w:r>
      <w:bookmarkEnd w:id="621"/>
      <w:r>
        <w:fldChar w:fldCharType="begin"/>
      </w:r>
      <w:r>
        <w:instrText>HYPERLINK "https://www.amazon.com/Two-Powers-Heaven-Christianity-Christology/dp/1602585490" \h</w:instrText>
      </w:r>
      <w:r>
        <w:fldChar w:fldCharType="separate"/>
      </w:r>
      <w:r>
        <w:rPr>
          <w:color w:val="0563C1"/>
          <w:sz w:val="18"/>
          <w:u w:val="single"/>
        </w:rPr>
        <w:t>Two Powers in Heaven, Baylor University Press edition</w:t>
      </w:r>
      <w:r>
        <w:fldChar w:fldCharType="end"/>
      </w:r>
    </w:p>
    <w:p w14:paraId="239851A1" w14:textId="77777777" w:rsidR="009C7F52" w:rsidRDefault="00731002">
      <w:pPr>
        <w:spacing w:after="80" w:line="240" w:lineRule="auto"/>
      </w:pPr>
      <w:bookmarkStart w:id="622" w:name="cite_367"/>
      <w:r>
        <w:rPr>
          <w:sz w:val="16"/>
          <w:vertAlign w:val="superscript"/>
        </w:rPr>
        <w:t>367</w:t>
      </w:r>
      <w:bookmarkEnd w:id="622"/>
      <w:r>
        <w:fldChar w:fldCharType="begin"/>
      </w:r>
      <w:r>
        <w:instrText>HYPERLINK "https://www.amazon.com/-/es/Deuteronomy-Application-Commentary-Daniel-Block/dp/0310210488" \h</w:instrText>
      </w:r>
      <w:r>
        <w:fldChar w:fldCharType="separate"/>
      </w:r>
      <w:r>
        <w:rPr>
          <w:color w:val="0563C1"/>
          <w:sz w:val="18"/>
          <w:u w:val="single"/>
        </w:rPr>
        <w:t>Deuteronomy, NIV Application Commentary</w:t>
      </w:r>
      <w:r>
        <w:fldChar w:fldCharType="end"/>
      </w:r>
    </w:p>
    <w:p w14:paraId="258049BC" w14:textId="77777777" w:rsidR="009C7F52" w:rsidRDefault="00731002">
      <w:pPr>
        <w:spacing w:after="80" w:line="240" w:lineRule="auto"/>
      </w:pPr>
      <w:bookmarkStart w:id="623" w:name="cite_368"/>
      <w:r>
        <w:rPr>
          <w:sz w:val="16"/>
          <w:vertAlign w:val="superscript"/>
        </w:rPr>
        <w:t>368</w:t>
      </w:r>
      <w:bookmarkEnd w:id="623"/>
      <w:r>
        <w:fldChar w:fldCharType="begin"/>
      </w:r>
      <w:r>
        <w:instrText>HYPERLINK "https://www.press.uillinois.edu/books/?id=p065680" \h</w:instrText>
      </w:r>
      <w:r>
        <w:fldChar w:fldCharType="separate"/>
      </w:r>
      <w:r>
        <w:rPr>
          <w:color w:val="0563C1"/>
          <w:sz w:val="18"/>
          <w:u w:val="single"/>
        </w:rPr>
        <w:t>University of Illinois Press, The Only True God</w:t>
      </w:r>
      <w:r>
        <w:fldChar w:fldCharType="end"/>
      </w:r>
    </w:p>
    <w:p w14:paraId="45996645" w14:textId="77777777" w:rsidR="009C7F52" w:rsidRDefault="00731002">
      <w:pPr>
        <w:spacing w:after="80" w:line="240" w:lineRule="auto"/>
      </w:pPr>
      <w:bookmarkStart w:id="624" w:name="cite_369"/>
      <w:r>
        <w:rPr>
          <w:sz w:val="16"/>
          <w:vertAlign w:val="superscript"/>
        </w:rPr>
        <w:t>369</w:t>
      </w:r>
      <w:bookmarkEnd w:id="624"/>
      <w:r>
        <w:fldChar w:fldCharType="begin"/>
      </w:r>
      <w:r>
        <w:instrText>HYPERLINK "https://www.amazon.com/Forgotten-Trinity-James-R-White/dp/1556617259" \h</w:instrText>
      </w:r>
      <w:r>
        <w:fldChar w:fldCharType="separate"/>
      </w:r>
      <w:r>
        <w:rPr>
          <w:color w:val="0563C1"/>
          <w:sz w:val="18"/>
          <w:u w:val="single"/>
        </w:rPr>
        <w:t>Bethany House / Baker Publishing Group, The Forgotten Trinity</w:t>
      </w:r>
      <w:r>
        <w:fldChar w:fldCharType="end"/>
      </w:r>
    </w:p>
    <w:p w14:paraId="28F54F04" w14:textId="77777777" w:rsidR="009C7F52" w:rsidRDefault="00731002">
      <w:pPr>
        <w:spacing w:after="80" w:line="240" w:lineRule="auto"/>
      </w:pPr>
      <w:bookmarkStart w:id="625" w:name="cite_370"/>
      <w:r>
        <w:rPr>
          <w:sz w:val="16"/>
          <w:vertAlign w:val="superscript"/>
        </w:rPr>
        <w:t>370</w:t>
      </w:r>
      <w:bookmarkEnd w:id="625"/>
      <w:r>
        <w:fldChar w:fldCharType="begin"/>
      </w:r>
      <w:r>
        <w:instrText>HYPERLINK "https://www.amazon.com/Jesus-God-Israel-Testaments-Christology/dp/0802845592" \h</w:instrText>
      </w:r>
      <w:r>
        <w:fldChar w:fldCharType="separate"/>
      </w:r>
      <w:r>
        <w:rPr>
          <w:color w:val="0563C1"/>
          <w:sz w:val="18"/>
          <w:u w:val="single"/>
        </w:rPr>
        <w:t>Jesus and the God of Israel</w:t>
      </w:r>
      <w:r>
        <w:fldChar w:fldCharType="end"/>
      </w:r>
    </w:p>
    <w:p w14:paraId="65E52025" w14:textId="77777777" w:rsidR="009C7F52" w:rsidRDefault="00731002">
      <w:pPr>
        <w:spacing w:after="80" w:line="240" w:lineRule="auto"/>
      </w:pPr>
      <w:bookmarkStart w:id="626" w:name="cite_371"/>
      <w:r>
        <w:rPr>
          <w:sz w:val="16"/>
          <w:vertAlign w:val="superscript"/>
        </w:rPr>
        <w:t>371</w:t>
      </w:r>
      <w:bookmarkEnd w:id="626"/>
      <w:r>
        <w:fldChar w:fldCharType="begin"/>
      </w:r>
      <w:r>
        <w:instrText>HYPERLINK "https://www.amazon.com.au/Lord-Jesus-Christ-Larry-Hurtado/dp/0802831672" \h</w:instrText>
      </w:r>
      <w:r>
        <w:fldChar w:fldCharType="separate"/>
      </w:r>
      <w:r>
        <w:rPr>
          <w:color w:val="0563C1"/>
          <w:sz w:val="18"/>
          <w:u w:val="single"/>
        </w:rPr>
        <w:t>Lord Jesus Christ: Devotion to Jesus in Earliest Christianity</w:t>
      </w:r>
      <w:r>
        <w:fldChar w:fldCharType="end"/>
      </w:r>
    </w:p>
    <w:p w14:paraId="220F2786" w14:textId="77777777" w:rsidR="009C7F52" w:rsidRDefault="00731002">
      <w:pPr>
        <w:spacing w:after="80" w:line="240" w:lineRule="auto"/>
      </w:pPr>
      <w:bookmarkStart w:id="627" w:name="cite_372"/>
      <w:r>
        <w:rPr>
          <w:sz w:val="16"/>
          <w:vertAlign w:val="superscript"/>
        </w:rPr>
        <w:t>372</w:t>
      </w:r>
      <w:bookmarkEnd w:id="627"/>
      <w:r>
        <w:fldChar w:fldCharType="begin"/>
      </w:r>
      <w:r>
        <w:instrText>HYPERLINK "https://www.amazon.com/Holy-Trinity-Scripture-History-Theology/dp/0875520006" \h</w:instrText>
      </w:r>
      <w:r>
        <w:fldChar w:fldCharType="separate"/>
      </w:r>
      <w:r>
        <w:rPr>
          <w:color w:val="0563C1"/>
          <w:sz w:val="18"/>
          <w:u w:val="single"/>
        </w:rPr>
        <w:t>The Holy Trinity: In Scripture, History, Theology, and Worship</w:t>
      </w:r>
      <w:r>
        <w:fldChar w:fldCharType="end"/>
      </w:r>
    </w:p>
    <w:p w14:paraId="3A6C11BA" w14:textId="77777777" w:rsidR="009C7F52" w:rsidRDefault="00731002">
      <w:pPr>
        <w:spacing w:after="80" w:line="240" w:lineRule="auto"/>
      </w:pPr>
      <w:bookmarkStart w:id="628" w:name="cite_373"/>
      <w:r>
        <w:rPr>
          <w:sz w:val="16"/>
          <w:vertAlign w:val="superscript"/>
        </w:rPr>
        <w:t>373</w:t>
      </w:r>
      <w:bookmarkEnd w:id="628"/>
      <w:r>
        <w:fldChar w:fldCharType="begin"/>
      </w:r>
      <w:r>
        <w:instrText>HYPERLINK "https://www.amazon.com/Early-Christian-Doctrines-J-Kelly/dp/006064334X" \h</w:instrText>
      </w:r>
      <w:r>
        <w:fldChar w:fldCharType="separate"/>
      </w:r>
      <w:r>
        <w:rPr>
          <w:color w:val="0563C1"/>
          <w:sz w:val="18"/>
          <w:u w:val="single"/>
        </w:rPr>
        <w:t>Early Christian Doctrines: Revised Edition</w:t>
      </w:r>
      <w:r>
        <w:fldChar w:fldCharType="end"/>
      </w:r>
    </w:p>
    <w:p w14:paraId="5EF0E270" w14:textId="77777777" w:rsidR="009C7F52" w:rsidRDefault="00731002">
      <w:pPr>
        <w:spacing w:after="80" w:line="240" w:lineRule="auto"/>
      </w:pPr>
      <w:bookmarkStart w:id="629" w:name="cite_374"/>
      <w:r>
        <w:rPr>
          <w:sz w:val="16"/>
          <w:vertAlign w:val="superscript"/>
        </w:rPr>
        <w:t>374</w:t>
      </w:r>
      <w:bookmarkEnd w:id="629"/>
      <w:r>
        <w:fldChar w:fldCharType="begin"/>
      </w:r>
      <w:r>
        <w:instrText>HYPERLINK "https://www.amazon.com/Nicaea-Its-Legacy-Fourth-Century-Trinitarian/dp/0198755066" \h</w:instrText>
      </w:r>
      <w:r>
        <w:fldChar w:fldCharType="separate"/>
      </w:r>
      <w:r>
        <w:rPr>
          <w:color w:val="0563C1"/>
          <w:sz w:val="18"/>
          <w:u w:val="single"/>
        </w:rPr>
        <w:t>Nicaea and Its Legacy: An Approach to Fourth-Century Trinitarian Theology</w:t>
      </w:r>
      <w:r>
        <w:fldChar w:fldCharType="end"/>
      </w:r>
    </w:p>
    <w:p w14:paraId="5A2BC2AB" w14:textId="77777777" w:rsidR="009C7F52" w:rsidRDefault="00731002">
      <w:pPr>
        <w:spacing w:after="80" w:line="240" w:lineRule="auto"/>
      </w:pPr>
      <w:bookmarkStart w:id="630" w:name="cite_375"/>
      <w:r>
        <w:rPr>
          <w:sz w:val="16"/>
          <w:vertAlign w:val="superscript"/>
        </w:rPr>
        <w:t>375</w:t>
      </w:r>
      <w:bookmarkEnd w:id="630"/>
      <w:r>
        <w:fldChar w:fldCharType="begin"/>
      </w:r>
      <w:r>
        <w:instrText>HYPERLINK "https://www.amazon.com/Retrieving-Nicaea-Development-Trinitarian-Doctrine/dp/080103132X" \h</w:instrText>
      </w:r>
      <w:r>
        <w:fldChar w:fldCharType="separate"/>
      </w:r>
      <w:r>
        <w:rPr>
          <w:color w:val="0563C1"/>
          <w:sz w:val="18"/>
          <w:u w:val="single"/>
        </w:rPr>
        <w:t>Retrieving Nicaea: The Development and Meaning of Trinitarian Doctrine</w:t>
      </w:r>
      <w:r>
        <w:fldChar w:fldCharType="end"/>
      </w:r>
    </w:p>
    <w:p w14:paraId="5BD80E1C" w14:textId="77777777" w:rsidR="009C7F52" w:rsidRDefault="00731002">
      <w:pPr>
        <w:spacing w:after="80" w:line="240" w:lineRule="auto"/>
      </w:pPr>
      <w:bookmarkStart w:id="631" w:name="cite_376"/>
      <w:r>
        <w:rPr>
          <w:sz w:val="16"/>
          <w:vertAlign w:val="superscript"/>
        </w:rPr>
        <w:t>376</w:t>
      </w:r>
      <w:bookmarkEnd w:id="631"/>
      <w:r>
        <w:fldChar w:fldCharType="begin"/>
      </w:r>
      <w:r>
        <w:instrText>HYPERLINK "https://www.amazon.com/Formation-Christian-Theology-Vol-Nicene/dp/088141266X" \h</w:instrText>
      </w:r>
      <w:r>
        <w:fldChar w:fldCharType="separate"/>
      </w:r>
      <w:r>
        <w:rPr>
          <w:color w:val="0563C1"/>
          <w:sz w:val="18"/>
          <w:u w:val="single"/>
        </w:rPr>
        <w:t>The Nicene Faith: Formation of Christian Theology</w:t>
      </w:r>
      <w:r>
        <w:fldChar w:fldCharType="end"/>
      </w:r>
    </w:p>
    <w:p w14:paraId="0AA228E8" w14:textId="77777777" w:rsidR="009C7F52" w:rsidRDefault="00731002">
      <w:pPr>
        <w:spacing w:after="80" w:line="240" w:lineRule="auto"/>
      </w:pPr>
      <w:bookmarkStart w:id="632" w:name="cite_377"/>
      <w:r>
        <w:rPr>
          <w:sz w:val="16"/>
          <w:vertAlign w:val="superscript"/>
        </w:rPr>
        <w:t>377</w:t>
      </w:r>
      <w:bookmarkEnd w:id="632"/>
      <w:r>
        <w:fldChar w:fldCharType="begin"/>
      </w:r>
      <w:r>
        <w:instrText>HYPERLINK "https://www.crossway.org/books/the-creedal-imperative-tpb/" \h</w:instrText>
      </w:r>
      <w:r>
        <w:fldChar w:fldCharType="separate"/>
      </w:r>
      <w:r>
        <w:rPr>
          <w:color w:val="0563C1"/>
          <w:sz w:val="18"/>
          <w:u w:val="single"/>
        </w:rPr>
        <w:t>Crossway, The Creedal Imperative</w:t>
      </w:r>
      <w:r>
        <w:fldChar w:fldCharType="end"/>
      </w:r>
    </w:p>
    <w:p w14:paraId="0A0812DE" w14:textId="77777777" w:rsidR="009C7F52" w:rsidRDefault="00731002">
      <w:pPr>
        <w:spacing w:after="80" w:line="240" w:lineRule="auto"/>
      </w:pPr>
      <w:bookmarkStart w:id="633" w:name="cite_378"/>
      <w:r>
        <w:rPr>
          <w:sz w:val="16"/>
          <w:vertAlign w:val="superscript"/>
        </w:rPr>
        <w:t>378</w:t>
      </w:r>
      <w:bookmarkEnd w:id="633"/>
      <w:r>
        <w:fldChar w:fldCharType="begin"/>
      </w:r>
      <w:r>
        <w:instrText>HYPERLINK "https://www.amazon.com/Post-Reformation-Reformed-Dogmatics-Triunity-God/dp/0801022959" \h</w:instrText>
      </w:r>
      <w:r>
        <w:fldChar w:fldCharType="separate"/>
      </w:r>
      <w:r>
        <w:rPr>
          <w:color w:val="0563C1"/>
          <w:sz w:val="18"/>
          <w:u w:val="single"/>
        </w:rPr>
        <w:t>Post-Reformation Reformed Dogmatics: The Triunity of God</w:t>
      </w:r>
      <w:r>
        <w:fldChar w:fldCharType="end"/>
      </w:r>
    </w:p>
    <w:p w14:paraId="72C8862B" w14:textId="77777777" w:rsidR="009C7F52" w:rsidRDefault="00731002">
      <w:pPr>
        <w:spacing w:after="80" w:line="240" w:lineRule="auto"/>
      </w:pPr>
      <w:bookmarkStart w:id="634" w:name="cite_379"/>
      <w:r>
        <w:rPr>
          <w:sz w:val="16"/>
          <w:vertAlign w:val="superscript"/>
        </w:rPr>
        <w:t>379</w:t>
      </w:r>
      <w:bookmarkEnd w:id="634"/>
      <w:r>
        <w:fldChar w:fldCharType="begin"/>
      </w:r>
      <w:r>
        <w:instrText>HYPERLINK "https://www.amazon.com/Delighting-Trinity-Introduction-Christian-Faith/dp/0830839836" \h</w:instrText>
      </w:r>
      <w:r>
        <w:fldChar w:fldCharType="separate"/>
      </w:r>
      <w:r>
        <w:rPr>
          <w:color w:val="0563C1"/>
          <w:sz w:val="18"/>
          <w:u w:val="single"/>
        </w:rPr>
        <w:t>Delighting in the Trinity: An Introduction to the Christian Faith</w:t>
      </w:r>
      <w:r>
        <w:fldChar w:fldCharType="end"/>
      </w:r>
    </w:p>
    <w:p w14:paraId="11D01051" w14:textId="77777777" w:rsidR="009F2F79" w:rsidRDefault="001A04A2">
      <w:pPr>
        <w:spacing w:after="80"/>
      </w:pPr>
      <w:bookmarkStart w:id="635" w:name="cite_380"/>
      <w:r>
        <w:rPr>
          <w:sz w:val="16"/>
          <w:vertAlign w:val="superscript"/>
        </w:rPr>
        <w:t>380</w:t>
      </w:r>
      <w:bookmarkEnd w:id="635"/>
      <w:r>
        <w:rPr>
          <w:sz w:val="18"/>
        </w:rPr>
        <w:t>Geerhardus Vos, Reformed Dogmatics: A System of Christian Theology, single-volume ed., trans. and ed. Richard B. Gaffin Jr. (Bellingham, WA: Lexham Press, 2020), chap. 3, “The Trinity,” 48–53.</w:t>
      </w:r>
    </w:p>
    <w:p w14:paraId="760EAE17" w14:textId="77777777" w:rsidR="009F2F79" w:rsidRDefault="001A04A2">
      <w:pPr>
        <w:spacing w:after="80"/>
      </w:pPr>
      <w:bookmarkStart w:id="636" w:name="cite_381"/>
      <w:r>
        <w:rPr>
          <w:sz w:val="16"/>
          <w:vertAlign w:val="superscript"/>
        </w:rPr>
        <w:t>381</w:t>
      </w:r>
      <w:bookmarkEnd w:id="636"/>
      <w:r>
        <w:rPr>
          <w:sz w:val="18"/>
        </w:rPr>
        <w:t>Joel R. Beeke and Paul M. Smalley, Essentials of Reformed Systematic Theology (Wheaton, IL: Crossway, 2025), 161–166.</w:t>
      </w:r>
    </w:p>
    <w:p w14:paraId="2C39B12D" w14:textId="77777777" w:rsidR="009F2F79" w:rsidRDefault="001A04A2">
      <w:pPr>
        <w:spacing w:after="80"/>
      </w:pPr>
      <w:bookmarkStart w:id="637" w:name="cite_382"/>
      <w:r>
        <w:rPr>
          <w:sz w:val="16"/>
          <w:vertAlign w:val="superscript"/>
        </w:rPr>
        <w:t>382</w:t>
      </w:r>
      <w:bookmarkEnd w:id="637"/>
      <w:r>
        <w:rPr>
          <w:sz w:val="18"/>
        </w:rPr>
        <w:t>Vos, Reformed Dogmatics, 66–78.</w:t>
      </w:r>
    </w:p>
    <w:p w14:paraId="3C4ED8C0" w14:textId="77777777" w:rsidR="009F2F79" w:rsidRDefault="001A04A2">
      <w:pPr>
        <w:spacing w:after="80"/>
      </w:pPr>
      <w:bookmarkStart w:id="638" w:name="cite_383"/>
      <w:r>
        <w:rPr>
          <w:sz w:val="16"/>
          <w:vertAlign w:val="superscript"/>
        </w:rPr>
        <w:t>383</w:t>
      </w:r>
      <w:bookmarkEnd w:id="638"/>
      <w:r>
        <w:rPr>
          <w:sz w:val="18"/>
        </w:rPr>
        <w:t>Beeke and Smalley, Essentials of Reformed Systematic Theology, 166–170.</w:t>
      </w:r>
    </w:p>
    <w:p w14:paraId="37DE0994" w14:textId="77777777" w:rsidR="009F2F79" w:rsidRDefault="001A04A2">
      <w:pPr>
        <w:spacing w:after="80"/>
      </w:pPr>
      <w:bookmarkStart w:id="639" w:name="cite_384"/>
      <w:r>
        <w:rPr>
          <w:sz w:val="16"/>
          <w:vertAlign w:val="superscript"/>
        </w:rPr>
        <w:t>384</w:t>
      </w:r>
      <w:bookmarkEnd w:id="639"/>
      <w:r>
        <w:rPr>
          <w:sz w:val="18"/>
        </w:rPr>
        <w:t>Vos, Reformed Dogmatics, 79–86.</w:t>
      </w:r>
    </w:p>
    <w:p w14:paraId="5C2245B6" w14:textId="77777777" w:rsidR="009F2F79" w:rsidRDefault="001A04A2">
      <w:pPr>
        <w:spacing w:after="80"/>
      </w:pPr>
      <w:bookmarkStart w:id="640" w:name="cite_385"/>
      <w:r>
        <w:rPr>
          <w:sz w:val="16"/>
          <w:vertAlign w:val="superscript"/>
        </w:rPr>
        <w:t>385</w:t>
      </w:r>
      <w:bookmarkEnd w:id="640"/>
      <w:r>
        <w:rPr>
          <w:sz w:val="18"/>
        </w:rPr>
        <w:t>Vos, Reformed Dogmatics, 53–65.</w:t>
      </w:r>
    </w:p>
    <w:p w14:paraId="29D933E1" w14:textId="77777777" w:rsidR="009F2F79" w:rsidRDefault="001A04A2">
      <w:pPr>
        <w:spacing w:after="80"/>
      </w:pPr>
      <w:bookmarkStart w:id="641" w:name="cite_386"/>
      <w:r>
        <w:rPr>
          <w:sz w:val="16"/>
          <w:vertAlign w:val="superscript"/>
        </w:rPr>
        <w:t>386</w:t>
      </w:r>
      <w:bookmarkEnd w:id="641"/>
      <w:r>
        <w:rPr>
          <w:sz w:val="18"/>
        </w:rPr>
        <w:t>Beeke and Smalley, Essentials of Reformed Systematic Theology, 171–174.</w:t>
      </w:r>
    </w:p>
    <w:p w14:paraId="0CA813A3" w14:textId="77777777" w:rsidR="009F2F79" w:rsidRDefault="001A04A2">
      <w:pPr>
        <w:spacing w:after="80"/>
      </w:pPr>
      <w:bookmarkStart w:id="642" w:name="cite_387"/>
      <w:r>
        <w:rPr>
          <w:sz w:val="16"/>
          <w:vertAlign w:val="superscript"/>
        </w:rPr>
        <w:t>387</w:t>
      </w:r>
      <w:bookmarkEnd w:id="642"/>
      <w:r>
        <w:rPr>
          <w:sz w:val="18"/>
        </w:rPr>
        <w:t>Vos, Reformed Dogmatics, 64–72.</w:t>
      </w:r>
    </w:p>
    <w:p w14:paraId="2705FFFA" w14:textId="77777777" w:rsidR="009F2F79" w:rsidRDefault="001A04A2">
      <w:pPr>
        <w:spacing w:after="80"/>
      </w:pPr>
      <w:bookmarkStart w:id="643" w:name="cite_388"/>
      <w:r>
        <w:rPr>
          <w:sz w:val="16"/>
          <w:vertAlign w:val="superscript"/>
        </w:rPr>
        <w:t>388</w:t>
      </w:r>
      <w:bookmarkEnd w:id="643"/>
      <w:r>
        <w:rPr>
          <w:sz w:val="18"/>
        </w:rPr>
        <w:t>Beeke and Smalley, Essentials of Reformed Systematic Theology, 163–166.</w:t>
      </w:r>
    </w:p>
    <w:p w14:paraId="2C39D04B" w14:textId="77777777" w:rsidR="009F2F79" w:rsidRDefault="001A04A2">
      <w:pPr>
        <w:spacing w:after="80"/>
      </w:pPr>
      <w:bookmarkStart w:id="644" w:name="cite_389"/>
      <w:r>
        <w:rPr>
          <w:sz w:val="16"/>
          <w:vertAlign w:val="superscript"/>
        </w:rPr>
        <w:t>389</w:t>
      </w:r>
      <w:bookmarkEnd w:id="644"/>
      <w:r>
        <w:rPr>
          <w:sz w:val="18"/>
        </w:rPr>
        <w:t>Beeke and Smalley, Essentials of Reformed Systematic Theology, 161–171.</w:t>
      </w:r>
    </w:p>
    <w:p w14:paraId="40F8A91C" w14:textId="77777777" w:rsidR="009F2F79" w:rsidRDefault="001A04A2">
      <w:pPr>
        <w:spacing w:after="80"/>
      </w:pPr>
      <w:bookmarkStart w:id="645" w:name="cite_390"/>
      <w:r>
        <w:rPr>
          <w:sz w:val="16"/>
          <w:vertAlign w:val="superscript"/>
        </w:rPr>
        <w:t>390</w:t>
      </w:r>
      <w:bookmarkEnd w:id="645"/>
      <w:r>
        <w:rPr>
          <w:sz w:val="18"/>
        </w:rPr>
        <w:t>Source-image register: IMG_0228.jpeg–IMG_0266.jpeg, corresponding sequentially to Vos, Reformed Dogmatics, single-volume edition, 48–86.</w:t>
      </w:r>
    </w:p>
    <w:p w14:paraId="1E7C652D" w14:textId="77777777" w:rsidR="009F2F79" w:rsidRDefault="001A04A2">
      <w:pPr>
        <w:spacing w:after="80"/>
      </w:pPr>
      <w:bookmarkStart w:id="646" w:name="cite_391"/>
      <w:r>
        <w:rPr>
          <w:sz w:val="16"/>
          <w:vertAlign w:val="superscript"/>
        </w:rPr>
        <w:t>391</w:t>
      </w:r>
      <w:bookmarkEnd w:id="646"/>
      <w:r>
        <w:rPr>
          <w:sz w:val="18"/>
        </w:rPr>
        <w:t>Source-image register: IMG_0267.png–IMG_0306.png, corresponding to the supplied excerpt of Beeke and Smalley, Essentials of Reformed Systematic Theology, 161–174.</w:t>
      </w:r>
    </w:p>
    <w:sectPr w:rsidR="009F2F79">
      <w:footnotePr>
        <w:numRestart w:val="eachSect"/>
      </w:footnotePr>
      <w:pgSz w:w="12240" w:h="15840"/>
      <w:pgMar w:top="1037" w:right="1123" w:bottom="1037" w:left="11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itstream Charter">
    <w:altName w:val="Cambria"/>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URW Bookman">
    <w:altName w:val="Cambria"/>
    <w:panose1 w:val="020B0604020202020204"/>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AED6E38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8297135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52"/>
    <w:rsid w:val="00077149"/>
    <w:rsid w:val="001A04A2"/>
    <w:rsid w:val="00294D8D"/>
    <w:rsid w:val="00583763"/>
    <w:rsid w:val="00731002"/>
    <w:rsid w:val="007D6CCB"/>
    <w:rsid w:val="009C7F52"/>
    <w:rsid w:val="009F2F79"/>
    <w:rsid w:val="00A26DB4"/>
    <w:rsid w:val="00A563C4"/>
    <w:rsid w:val="00A6477D"/>
    <w:rsid w:val="00CF354B"/>
    <w:rsid w:val="00E3033A"/>
    <w:rsid w:val="00E70DA9"/>
    <w:rsid w:val="00F7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4184F020"/>
  <w15:docId w15:val="{E5F2A17E-DED0-4C19-A610-03A0019A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69" w:lineRule="auto"/>
    </w:pPr>
    <w:rPr>
      <w:rFonts w:ascii="Bitstream Charter" w:hAnsi="Bitstream Charter"/>
      <w:color w:val="2A211D"/>
      <w:sz w:val="22"/>
    </w:rPr>
  </w:style>
  <w:style w:type="paragraph" w:styleId="Heading1">
    <w:name w:val="heading 1"/>
    <w:basedOn w:val="Normal"/>
    <w:next w:val="BodyText"/>
    <w:link w:val="Heading1Char"/>
    <w:uiPriority w:val="9"/>
    <w:qFormat/>
    <w:rsid w:val="00A10FD9"/>
    <w:pPr>
      <w:keepNext/>
      <w:keepLines/>
      <w:spacing w:before="560" w:after="200"/>
      <w:jc w:val="center"/>
      <w:outlineLvl w:val="0"/>
    </w:pPr>
    <w:rPr>
      <w:rFonts w:asciiTheme="majorHAnsi" w:eastAsiaTheme="majorEastAsia" w:hAnsiTheme="majorHAnsi" w:cstheme="majorBidi"/>
      <w:b/>
      <w:color w:val="671C2A"/>
      <w:sz w:val="48"/>
      <w:szCs w:val="40"/>
    </w:rPr>
  </w:style>
  <w:style w:type="paragraph" w:styleId="Heading2">
    <w:name w:val="heading 2"/>
    <w:basedOn w:val="Normal"/>
    <w:next w:val="BodyText"/>
    <w:link w:val="Heading2Char"/>
    <w:uiPriority w:val="9"/>
    <w:semiHidden/>
    <w:unhideWhenUsed/>
    <w:qFormat/>
    <w:rsid w:val="00A10FD9"/>
    <w:pPr>
      <w:keepNext/>
      <w:keepLines/>
      <w:pageBreakBefore/>
      <w:spacing w:before="360" w:after="200"/>
      <w:outlineLvl w:val="1"/>
    </w:pPr>
    <w:rPr>
      <w:rFonts w:asciiTheme="majorHAnsi" w:eastAsiaTheme="majorEastAsia" w:hAnsiTheme="majorHAnsi" w:cstheme="majorBidi"/>
      <w:b/>
      <w:color w:val="671C2A"/>
      <w:sz w:val="36"/>
      <w:szCs w:val="32"/>
    </w:rPr>
  </w:style>
  <w:style w:type="paragraph" w:styleId="Heading3">
    <w:name w:val="heading 3"/>
    <w:basedOn w:val="Normal"/>
    <w:next w:val="BodyText"/>
    <w:link w:val="Heading3Char"/>
    <w:uiPriority w:val="9"/>
    <w:semiHidden/>
    <w:unhideWhenUsed/>
    <w:qFormat/>
    <w:rsid w:val="00A10FD9"/>
    <w:pPr>
      <w:keepNext/>
      <w:keepLines/>
      <w:spacing w:before="360" w:after="200"/>
      <w:outlineLvl w:val="2"/>
    </w:pPr>
    <w:rPr>
      <w:rFonts w:ascii="URW Bookman" w:eastAsiaTheme="majorEastAsia" w:hAnsi="URW Bookman" w:cstheme="majorBidi"/>
      <w:b/>
      <w:smallCaps/>
      <w:color w:val="A68037"/>
      <w:sz w:val="26"/>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ind w:firstLine="317"/>
    </w:pPr>
  </w:style>
  <w:style w:type="paragraph" w:customStyle="1" w:styleId="FirstParagraph">
    <w:name w:val="First Paragraph"/>
    <w:basedOn w:val="BodyText"/>
    <w:next w:val="BodyText"/>
    <w:qFormat/>
    <w:pPr>
      <w:ind w:firstLine="0"/>
    </w:pPr>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36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ceptaustin.org/angel_of_the_lord" TargetMode="External"/><Relationship Id="rId18" Type="http://schemas.openxmlformats.org/officeDocument/2006/relationships/hyperlink" Target="https://azbyka.ru/otechnik/books/file/18476-One-God-One-Lord-Early-Christian-Devotion-and-Ancient-Jewish-Monotheism.pdf" TargetMode="External"/><Relationship Id="rId26" Type="http://schemas.openxmlformats.org/officeDocument/2006/relationships/hyperlink" Target="https://en.wikipedia.org/wiki/Apollinaris_of_Laodicea" TargetMode="External"/><Relationship Id="rId39" Type="http://schemas.openxmlformats.org/officeDocument/2006/relationships/hyperlink" Target="https://en.wikipedia.org/wiki/Maximus_the_Confessor" TargetMode="External"/><Relationship Id="rId21" Type="http://schemas.openxmlformats.org/officeDocument/2006/relationships/hyperlink" Target="https://iep.utm.edu/philo/" TargetMode="External"/><Relationship Id="rId34" Type="http://schemas.openxmlformats.org/officeDocument/2006/relationships/hyperlink" Target="https://en.wikipedia.org/wiki/Eutychianism" TargetMode="External"/><Relationship Id="rId42" Type="http://schemas.openxmlformats.org/officeDocument/2006/relationships/hyperlink" Target="https://learn.ligonier.org/articles/great-schism" TargetMode="External"/><Relationship Id="rId47" Type="http://schemas.openxmlformats.org/officeDocument/2006/relationships/hyperlink" Target="https://catholicism.org/the-relations-in-the-blessed-trinity.html" TargetMode="External"/><Relationship Id="rId50" Type="http://schemas.openxmlformats.org/officeDocument/2006/relationships/hyperlink" Target="https://www.historyskills.com/classroom/year-8/michael-servetus/" TargetMode="External"/><Relationship Id="rId55" Type="http://schemas.openxmlformats.org/officeDocument/2006/relationships/hyperlink" Target="https://reformedwiki.com/confessions/westminster/2" TargetMode="External"/><Relationship Id="rId7" Type="http://schemas.openxmlformats.org/officeDocument/2006/relationships/hyperlink" Target="https://en.wikisource.org/wiki/1911_Encyclop%C3%A6dia_Britannica/Tetragrammaton" TargetMode="External"/><Relationship Id="rId2" Type="http://schemas.openxmlformats.org/officeDocument/2006/relationships/styles" Target="styles.xml"/><Relationship Id="rId16" Type="http://schemas.openxmlformats.org/officeDocument/2006/relationships/hyperlink" Target="https://www.goodreads.com/en/book/show/650277.Two_Powers_in_Heaven" TargetMode="External"/><Relationship Id="rId29" Type="http://schemas.openxmlformats.org/officeDocument/2006/relationships/hyperlink" Target="https://en.wikipedia.org/wiki/Council_of_Ephesus" TargetMode="External"/><Relationship Id="rId11" Type="http://schemas.openxmlformats.org/officeDocument/2006/relationships/hyperlink" Target="https://petergoeman.com/is-there-a-divine-council-in-psalm-82/" TargetMode="External"/><Relationship Id="rId24" Type="http://schemas.openxmlformats.org/officeDocument/2006/relationships/hyperlink" Target="https://philgons.com/2008/04/is-the-trinity-one-what-and-three-whos/" TargetMode="External"/><Relationship Id="rId32" Type="http://schemas.openxmlformats.org/officeDocument/2006/relationships/hyperlink" Target="https://en.wikipedia.org/wiki/Council_of_Ephesus" TargetMode="External"/><Relationship Id="rId37" Type="http://schemas.openxmlformats.org/officeDocument/2006/relationships/hyperlink" Target="https://en.wikipedia.org/wiki/Maximus_the_Confessor" TargetMode="External"/><Relationship Id="rId40" Type="http://schemas.openxmlformats.org/officeDocument/2006/relationships/hyperlink" Target="https://www.britannica.com/event/Photian-Schism" TargetMode="External"/><Relationship Id="rId45" Type="http://schemas.openxmlformats.org/officeDocument/2006/relationships/hyperlink" Target="https://www.brepols.net/products/IS-9780888442925-1" TargetMode="External"/><Relationship Id="rId53" Type="http://schemas.openxmlformats.org/officeDocument/2006/relationships/hyperlink" Target="https://reformeddogmatika.com/heidelberg-catechism/" TargetMode="External"/><Relationship Id="rId58" Type="http://schemas.openxmlformats.org/officeDocument/2006/relationships/hyperlink" Target="https://www.oikoumene.org/resources/documents/nicene-constantinopolitan-creed" TargetMode="External"/><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hyperlink" Target="https://larryhurtado.wordpress.com/2017/12/12/hurtado-books-on-jesus-devotion/" TargetMode="External"/><Relationship Id="rId14" Type="http://schemas.openxmlformats.org/officeDocument/2006/relationships/hyperlink" Target="https://archive.org/details/twopowersinheave0000sega" TargetMode="External"/><Relationship Id="rId22" Type="http://schemas.openxmlformats.org/officeDocument/2006/relationships/hyperlink" Target="https://zondervanacademic.com/blog/is-jesus-god-rom-95-mondays-with-mounce" TargetMode="External"/><Relationship Id="rId27" Type="http://schemas.openxmlformats.org/officeDocument/2006/relationships/hyperlink" Target="https://www.britannica.com/biography/Apollinaris-the-Younger" TargetMode="External"/><Relationship Id="rId30" Type="http://schemas.openxmlformats.org/officeDocument/2006/relationships/hyperlink" Target="https://en.wikipedia.org/wiki/Council_of_Ephesus" TargetMode="External"/><Relationship Id="rId35" Type="http://schemas.openxmlformats.org/officeDocument/2006/relationships/hyperlink" Target="https://www.britannica.com/biography/Eutyches" TargetMode="External"/><Relationship Id="rId43" Type="http://schemas.openxmlformats.org/officeDocument/2006/relationships/hyperlink" Target="https://en.wikipedia.org/wiki/East%E2%80%93West_Schism" TargetMode="External"/><Relationship Id="rId48" Type="http://schemas.openxmlformats.org/officeDocument/2006/relationships/hyperlink" Target="https://www.teleiosministries.com/pdfs/Doctrines_of_Men/errors_trinity_servetus.pdf" TargetMode="External"/><Relationship Id="rId56" Type="http://schemas.openxmlformats.org/officeDocument/2006/relationships/hyperlink" Target="https://earlychurchtexts.com/main/nicaea/creed_of_nicaea.shtml" TargetMode="External"/><Relationship Id="rId8" Type="http://schemas.openxmlformats.org/officeDocument/2006/relationships/hyperlink" Target="https://biblicalmissiology.org/blog/2018/07/19/the-grammar-of-elohim/" TargetMode="External"/><Relationship Id="rId51" Type="http://schemas.openxmlformats.org/officeDocument/2006/relationships/hyperlink" Target="https://en.wikipedia.org/wiki/Michael_Servetus" TargetMode="External"/><Relationship Id="rId3" Type="http://schemas.openxmlformats.org/officeDocument/2006/relationships/settings" Target="settings.xml"/><Relationship Id="rId12" Type="http://schemas.openxmlformats.org/officeDocument/2006/relationships/hyperlink" Target="https://roysreflections.com/2021/03/09/the-angel-of-the-lord-and-abraham-genesis-22/" TargetMode="External"/><Relationship Id="rId17" Type="http://schemas.openxmlformats.org/officeDocument/2006/relationships/hyperlink" Target="https://www.amazon.com/Two-Powers-Heaven-Christianity-Christology/dp/1602585490" TargetMode="External"/><Relationship Id="rId25" Type="http://schemas.openxmlformats.org/officeDocument/2006/relationships/hyperlink" Target="https://www.booksataglance.com/book-summaries/forgotten-trinity-james-r-white/" TargetMode="External"/><Relationship Id="rId33" Type="http://schemas.openxmlformats.org/officeDocument/2006/relationships/hyperlink" Target="https://en.wikipedia.org/wiki/Cyril_of_Alexandria" TargetMode="External"/><Relationship Id="rId38" Type="http://schemas.openxmlformats.org/officeDocument/2006/relationships/hyperlink" Target="https://en.wikipedia.org/wiki/Monothelitism" TargetMode="External"/><Relationship Id="rId46" Type="http://schemas.openxmlformats.org/officeDocument/2006/relationships/hyperlink" Target="https://equip.sbts.edu/publications/journals/journal-of-theology/sbjt-212-summer-2017/trinity-economy-thomas-aquinas/" TargetMode="External"/><Relationship Id="rId59" Type="http://schemas.openxmlformats.org/officeDocument/2006/relationships/hyperlink" Target="https://en.wikipedia.org/wiki/Nicene_Creed" TargetMode="External"/><Relationship Id="rId20" Type="http://schemas.openxmlformats.org/officeDocument/2006/relationships/hyperlink" Target="https://plato.stanford.edu/entries/philo/" TargetMode="External"/><Relationship Id="rId41" Type="http://schemas.openxmlformats.org/officeDocument/2006/relationships/hyperlink" Target="https://orthodoxwiki.org/Filioque" TargetMode="External"/><Relationship Id="rId54" Type="http://schemas.openxmlformats.org/officeDocument/2006/relationships/hyperlink" Target="https://www.the1689confession.com/1689/chapter-2" TargetMode="External"/><Relationship Id="rId1" Type="http://schemas.openxmlformats.org/officeDocument/2006/relationships/numbering" Target="numbering.xml"/><Relationship Id="rId6" Type="http://schemas.openxmlformats.org/officeDocument/2006/relationships/hyperlink" Target="https://www.britannica.com/topic/Yahweh" TargetMode="External"/><Relationship Id="rId15" Type="http://schemas.openxmlformats.org/officeDocument/2006/relationships/hyperlink" Target="https://books.google.com/books/about/Two_Powers_in_Heaven.html?id=LRzCB9xSRFsC" TargetMode="External"/><Relationship Id="rId23" Type="http://schemas.openxmlformats.org/officeDocument/2006/relationships/hyperlink" Target="https://repository.sbts.edu/bitstream/handle/10392/3953/Carraway_sbts_0207D_10066.pdf" TargetMode="External"/><Relationship Id="rId28" Type="http://schemas.openxmlformats.org/officeDocument/2006/relationships/hyperlink" Target="https://en.wikipedia.org/wiki/Nestorius" TargetMode="External"/><Relationship Id="rId36" Type="http://schemas.openxmlformats.org/officeDocument/2006/relationships/hyperlink" Target="https://en.wikipedia.org/wiki/Monothelitism" TargetMode="External"/><Relationship Id="rId49" Type="http://schemas.openxmlformats.org/officeDocument/2006/relationships/hyperlink" Target="https://uludag.edu.tr/dosyalar/garbiyat/oksident/dergi_dosyalari/2022_4_2_talha_fortaci.htm" TargetMode="External"/><Relationship Id="rId57" Type="http://schemas.openxmlformats.org/officeDocument/2006/relationships/hyperlink" Target="https://en.wikipedia.org/wiki/Nicene_Creed" TargetMode="External"/><Relationship Id="rId10" Type="http://schemas.openxmlformats.org/officeDocument/2006/relationships/hyperlink" Target="https://thethinkingcup.com/psalm82-annotated-translation-divine-council-lawsuit-and-interpretation/" TargetMode="External"/><Relationship Id="rId31" Type="http://schemas.openxmlformats.org/officeDocument/2006/relationships/hyperlink" Target="https://en.wikipedia.org/wiki/Cyril_of_Alexandria" TargetMode="External"/><Relationship Id="rId44" Type="http://schemas.openxmlformats.org/officeDocument/2006/relationships/hyperlink" Target="https://franciscan-archive.org/lombardus/I-Sent.html" TargetMode="External"/><Relationship Id="rId52" Type="http://schemas.openxmlformats.org/officeDocument/2006/relationships/hyperlink" Target="https://www.heidelberg-catechism.com/en/history/?s=15"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Eloh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103105</Words>
  <Characters>587701</Characters>
  <Application>Microsoft Office Word</Application>
  <DocSecurity>0</DocSecurity>
  <Lines>4897</Lines>
  <Paragraphs>1378</Paragraphs>
  <ScaleCrop>false</ScaleCrop>
  <Company/>
  <LinksUpToDate>false</LinksUpToDate>
  <CharactersWithSpaces>689428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jeffrey delee</dc:creator>
  <cp:keywords/>
  <cp:lastModifiedBy>jeffrey delee</cp:lastModifiedBy>
  <cp:revision>2</cp:revision>
  <dcterms:created xsi:type="dcterms:W3CDTF">2026-09-12T14:38:00Z</dcterms:created>
  <dcterms:modified xsi:type="dcterms:W3CDTF">2026-09-12T14:38:00Z</dcterms:modified>
</cp:coreProperties>
</file>