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the-two-cities"/>
    <w:p>
      <w:pPr>
        <w:spacing w:after="120"/>
        <w:jc w:val="center"/>
      </w:pPr>
      <w:r>
        <w:rPr>
          <w:b/>
          <w:color w:val="1B3A5C"/>
          <w:sz w:val="72"/>
        </w:rPr>
        <w:t xml:space="preserve">THE TWO CITIES</w:t>
      </w:r>
    </w:p>
    <w:bookmarkStart w:id="22" w:name="X215022cc18e4793e4e9ab9a7b1896b9ac3127d6"/>
    <w:p>
      <w:pPr>
        <w:spacing w:after="120"/>
        <w:jc w:val="center"/>
      </w:pPr>
      <w:r>
        <w:rPr>
          <w:b w:val="0"/>
          <w:color w:val="B8860B"/>
          <w:sz w:val="36"/>
        </w:rPr>
        <w:t xml:space="preserve">Babel and Jerusalem: An Exhaustive Biblical-Theological Study</w:t>
      </w:r>
    </w:p>
    <w:p>
      <w:pPr>
        <w:spacing w:after="120"/>
        <w:jc w:val="center"/>
      </w:pPr>
      <w:r>
        <w:rPr>
          <w:b w:val="0"/>
          <w:color w:val="C8BFA0"/>
          <w:sz w:val="24"/>
        </w:rPr>
        <w:t>─────────────────────────────────────────</w:t>
      </w:r>
    </w:p>
    <w:bookmarkStart w:id="20" w:name="X374d87ad49612ad572c8f4345d960a824213775"/>
    <w:p>
      <w:pPr>
        <w:spacing w:after="80"/>
        <w:jc w:val="center"/>
      </w:pPr>
      <w:r>
        <w:rPr>
          <w:b w:val="0"/>
          <w:color w:val="5A5A5A"/>
          <w:sz w:val="28"/>
        </w:rPr>
        <w:t xml:space="preserve">Two Names · Two Loves · Two Kingdoms · Two Destinies</w:t>
      </w:r>
    </w:p>
    <w:bookmarkEnd w:id="20"/>
    <w:bookmarkStart w:id="21" w:name="X102c868abe27f6859992cfc05511d82d76bb9c1"/>
    <w:p>
      <w:pPr>
        <w:spacing w:after="1200"/>
        <w:jc w:val="center"/>
      </w:pPr>
      <w:r>
        <w:rPr>
          <w:b w:val="0"/>
          <w:color w:val="5A5A5A"/>
          <w:sz w:val="22"/>
        </w:rPr>
        <w:t xml:space="preserve">Genesis · Prophets · Christ · Church · Revelation</w:t>
      </w:r>
    </w:p>
    <w:p>
      <w:pPr>
        <w:spacing w:after="80"/>
        <w:jc w:val="center"/>
      </w:pPr>
      <w:r>
        <w:rPr>
          <w:b w:val="0"/>
          <w:color w:val="5A5A5A"/>
          <w:sz w:val="22"/>
        </w:rPr>
        <w:t xml:space="preserve">Prepared for Personal Bible Study</w:t>
      </w:r>
    </w:p>
    <w:p>
      <w:pPr>
        <w:jc w:val="center"/>
      </w:pPr>
      <w:r>
        <w:rPr>
          <w:b w:val="0"/>
          <w:color w:val="5A5A5A"/>
          <w:sz w:val="22"/>
        </w:rPr>
        <w:t xml:space="preserve">September 2026</w:t>
      </w:r>
    </w:p>
    <w:bookmarkEnd w:id="21"/>
    <w:bookmarkEnd w:id="22"/>
    <w:bookmarkEnd w:id="23"/>
    <w:bookmarkStart w:id="24" w:name="table-of-contents"/>
    <w:p>
      <w:pPr>
        <w:pStyle w:val="Heading1"/>
        <w:pageBreakBefore/>
        <w:spacing w:after="240"/>
        <w:jc w:val="center"/>
      </w:pPr>
      <w:r>
        <w:t xml:space="preserve">TABLE OF CONTENTS</w:t>
      </w:r>
    </w:p>
    <w:p>
      <w:pPr>
        <w:pStyle w:val="FirstParagraph"/>
      </w:pPr>
      <w:r>
        <w:t xml:space="preserve">Introduction; Hebrew and Greek Vocabulary; Cain and the First City; Babel; Abraham and the Promised City; Salem and Zion; Jerusalem under David and Solomon; Jerusalem’s Apostasy; Babylon and Exile; The Prophetic Two Cities; Jesus and Jerusalem; The Apostolic Church; Hebrews and the City to Come; First Peter’s Babylon; Revelation’s Babylon; The New Jerusalem; Augustine’s Two Loves; Major Theological Distinctions; Synthesis; Sources.</w:t>
      </w:r>
    </w:p>
    <w:bookmarkEnd w:id="24"/>
    <w:bookmarkStart w:id="25" w:name="introduction"/>
    <w:p>
      <w:pPr>
        <w:pStyle w:val="Heading1"/>
      </w:pPr>
      <w:r>
        <w:t xml:space="preserve">INTRODUCTION</w:t>
      </w:r>
    </w:p>
    <w:p>
      <w:pPr>
        <w:pStyle w:val="FirstParagraph"/>
      </w:pPr>
      <w:r>
        <w:t xml:space="preserve">Scripture tells the history of humanity partly through two cities. The first is built from below as people gather to secure themselves, magnify their own name, centralize power, and resist God’s command. Its first monumental expression is Babel, and its mature biblical name is Babylon. The other is chosen by God as the place of his name, covenant kingship, atonement, and promised peace. Its historical name is Jerusalem, its theological name is Zion, and its final form is the New Jerusalem descending from heaven.</w:t>
      </w:r>
    </w:p>
    <w:p>
      <w:pPr>
        <w:pStyle w:val="BodyText"/>
      </w:pPr>
      <w:r>
        <w:t xml:space="preserve">The contrast is not merely geographical. Historical Jerusalem can behave like Sodom, Egypt, and Babylon. Babylon can temporarily serve as God’s instrument of judgment. Faithful Israelites can live in exile and seek a pagan city’s welfare without belonging to its idolatry. The visible church can imitate Babylon through prestige, exploitation, coercion, and self-protection while using Jerusalem’s vocabulary. The two cities are ultimately two societies ordered by opposed worship and love.</w:t>
      </w:r>
    </w:p>
    <w:p>
      <w:pPr>
        <w:pStyle w:val="BodyText"/>
      </w:pPr>
      <w:r>
        <w:t xml:space="preserve">Genesis introduces the contrast through names. Babel’s builders say,</w:t>
      </w:r>
      <w:r>
        <w:t xml:space="preserve"> </w:t>
      </w:r>
      <w:r>
        <w:t xml:space="preserve">“</w:t>
      </w:r>
      <w:r>
        <w:t xml:space="preserve">Let us make for ourselves a name</w:t>
      </w:r>
      <w:r>
        <w:t xml:space="preserve">”</w:t>
      </w:r>
      <w:r>
        <w:t xml:space="preserve"> </w:t>
      </w:r>
      <w:r>
        <w:t xml:space="preserve">(Genesis 11:4). God then calls Abram and promises,</w:t>
      </w:r>
      <w:r>
        <w:t xml:space="preserve"> </w:t>
      </w:r>
      <w:r>
        <w:t xml:space="preserve">“</w:t>
      </w:r>
      <w:r>
        <w:t xml:space="preserve">I will make your name great</w:t>
      </w:r>
      <w:r>
        <w:t xml:space="preserve">”</w:t>
      </w:r>
      <w:r>
        <w:t xml:space="preserve"> </w:t>
      </w:r>
      <w:r>
        <w:t xml:space="preserve">(Genesis 12:2). Babel grasps through collective achievement what Abraham receives by promise. Babel builds upward to prevent scattering; Abraham leaves visible security and lives in tents, awaiting the city whose architect and builder is God (Hebrews 11:9–10).</w:t>
      </w:r>
    </w:p>
    <w:p>
      <w:pPr>
        <w:pStyle w:val="BodyText"/>
      </w:pPr>
      <w:r>
        <w:t xml:space="preserve">The theme also prevents salvation from being reduced to private experience. Sin becomes architectural, political, economic, and liturgical. Babylon is a world-order in which kings, merchants, and idolaters cooperate, accumulate wealth, exploit bodies, shed blood, and intoxicate nations. Salvation likewise creates a people, a commonwealth, a temple-city, and a reconciled society beneath the Lamb.</w:t>
      </w:r>
    </w:p>
    <w:p>
      <w:pPr>
        <w:pStyle w:val="BodyText"/>
      </w:pPr>
      <w:r>
        <w:t xml:space="preserve">Revelation supplies the final contrast. Babylon rises through rebellious history, appears permanent, and falls. New Jerusalem does not rise through human construction; it comes down from God as a bride. One city says,</w:t>
      </w:r>
      <w:r>
        <w:t xml:space="preserve"> </w:t>
      </w:r>
      <w:r>
        <w:t xml:space="preserve">“</w:t>
      </w:r>
      <w:r>
        <w:t xml:space="preserve">I sit as a queen</w:t>
      </w:r>
      <w:r>
        <w:t xml:space="preserve">”</w:t>
      </w:r>
      <w:r>
        <w:t xml:space="preserve">; the other receives God’s glory. One traffics in human lives; the other heals the nations. One is remembered for judgment; the other bears God’s name and sees his face.</w:t>
      </w:r>
    </w:p>
    <w:bookmarkEnd w:id="25"/>
    <w:bookmarkStart w:id="30" w:name="section-1-hebrew-and-greek-vocabulary"/>
    <w:p>
      <w:pPr>
        <w:pStyle w:val="Heading1"/>
      </w:pPr>
      <w:r>
        <w:t xml:space="preserve">SECTION 1: HEBREW AND GREEK VOCABULARY</w:t>
      </w:r>
    </w:p>
    <w:bookmarkStart w:id="26" w:name="ir-עיר-city"/>
    <w:p>
      <w:pPr>
        <w:pStyle w:val="Heading2"/>
      </w:pPr>
      <w:r>
        <w:t xml:space="preserve">Ir (עִיר) — City</w:t>
      </w:r>
    </w:p>
    <w:p>
      <w:pPr>
        <w:pStyle w:val="FirstParagraph"/>
      </w:pPr>
      <w:r>
        <w:t xml:space="preserve">The Hebrew</w:t>
      </w:r>
      <w:r>
        <w:t xml:space="preserve"> </w:t>
      </w:r>
      <w:r>
        <w:rPr>
          <w:iCs/>
          <w:i/>
        </w:rPr>
        <w:t xml:space="preserve">ir</w:t>
      </w:r>
      <w:r>
        <w:t xml:space="preserve"> </w:t>
      </w:r>
      <w:r>
        <w:t xml:space="preserve">(H5892) means city or town. Scripture does not condemn cities as such. Jerusalem is a city, prophets envision restored cities, and the Bible ends in a garden-city. Cities concentrate human capacities: walls protect, markets exchange, rulers judge, temples worship, and monuments preserve memory. These capacities can serve neighborly life under God or magnify rebellion.</w:t>
      </w:r>
    </w:p>
    <w:bookmarkEnd w:id="26"/>
    <w:bookmarkStart w:id="27" w:name="bavel-בבל-babel-and-babylon"/>
    <w:p>
      <w:pPr>
        <w:pStyle w:val="Heading2"/>
      </w:pPr>
      <w:r>
        <w:t xml:space="preserve">Bavel (בָּבֶל) — Babel and Babylon</w:t>
      </w:r>
    </w:p>
    <w:p>
      <w:pPr>
        <w:pStyle w:val="FirstParagraph"/>
      </w:pPr>
      <w:r>
        <w:t xml:space="preserve">The same Hebrew name</w:t>
      </w:r>
      <w:r>
        <w:t xml:space="preserve"> </w:t>
      </w:r>
      <w:r>
        <w:rPr>
          <w:iCs/>
          <w:i/>
        </w:rPr>
        <w:t xml:space="preserve">Bavel</w:t>
      </w:r>
      <w:r>
        <w:t xml:space="preserve"> </w:t>
      </w:r>
      <w:r>
        <w:t xml:space="preserve">(H894) designates Babel in Genesis 11 and Babylon later. English translation can obscure this continuity. Genesis associates the name with</w:t>
      </w:r>
      <w:r>
        <w:t xml:space="preserve"> </w:t>
      </w:r>
      <w:r>
        <w:rPr>
          <w:iCs/>
          <w:i/>
        </w:rPr>
        <w:t xml:space="preserve">balal</w:t>
      </w:r>
      <w:r>
        <w:t xml:space="preserve">,</w:t>
      </w:r>
      <w:r>
        <w:t xml:space="preserve"> </w:t>
      </w:r>
      <w:r>
        <w:t xml:space="preserve">“</w:t>
      </w:r>
      <w:r>
        <w:t xml:space="preserve">confuse,</w:t>
      </w:r>
      <w:r>
        <w:t xml:space="preserve">”</w:t>
      </w:r>
      <w:r>
        <w:t xml:space="preserve"> </w:t>
      </w:r>
      <w:r>
        <w:t xml:space="preserve">although Akkadian</w:t>
      </w:r>
      <w:r>
        <w:t xml:space="preserve"> </w:t>
      </w:r>
      <w:r>
        <w:rPr>
          <w:iCs/>
          <w:i/>
        </w:rPr>
        <w:t xml:space="preserve">Bab-ilu</w:t>
      </w:r>
      <w:r>
        <w:t xml:space="preserve"> </w:t>
      </w:r>
      <w:r>
        <w:t xml:space="preserve">likely meant</w:t>
      </w:r>
      <w:r>
        <w:t xml:space="preserve"> </w:t>
      </w:r>
      <w:r>
        <w:t xml:space="preserve">“</w:t>
      </w:r>
      <w:r>
        <w:t xml:space="preserve">gate of god.</w:t>
      </w:r>
      <w:r>
        <w:t xml:space="preserve">”</w:t>
      </w:r>
      <w:r>
        <w:t xml:space="preserve"> </w:t>
      </w:r>
      <w:r>
        <w:t xml:space="preserve">Scripture’s wordplay is theological: the city claiming to join earth and heaven becomes the place of confusion.</w:t>
      </w:r>
    </w:p>
    <w:bookmarkEnd w:id="27"/>
    <w:bookmarkStart w:id="28" w:name="jerusalem-zion-and-name"/>
    <w:p>
      <w:pPr>
        <w:pStyle w:val="Heading2"/>
      </w:pPr>
      <w:r>
        <w:t xml:space="preserve">Jerusalem, Zion, and Name</w:t>
      </w:r>
    </w:p>
    <w:p>
      <w:pPr>
        <w:pStyle w:val="FirstParagraph"/>
      </w:pPr>
      <w:r>
        <w:rPr>
          <w:iCs/>
          <w:i/>
        </w:rPr>
        <w:t xml:space="preserve">Yerushalayim</w:t>
      </w:r>
      <w:r>
        <w:t xml:space="preserve"> </w:t>
      </w:r>
      <w:r>
        <w:t xml:space="preserve">(H3389) is Jerusalem; its precise etymology is debated and should not bear more weight than the text permits.</w:t>
      </w:r>
      <w:r>
        <w:t xml:space="preserve"> </w:t>
      </w:r>
      <w:r>
        <w:rPr>
          <w:iCs/>
          <w:i/>
        </w:rPr>
        <w:t xml:space="preserve">Tsiyyon</w:t>
      </w:r>
      <w:r>
        <w:t xml:space="preserve"> </w:t>
      </w:r>
      <w:r>
        <w:t xml:space="preserve">(H6726) first names David’s captured stronghold, then expands to the temple-city, its people, and eschatological dwelling.</w:t>
      </w:r>
      <w:r>
        <w:t xml:space="preserve"> </w:t>
      </w:r>
      <w:r>
        <w:rPr>
          <w:iCs/>
          <w:i/>
        </w:rPr>
        <w:t xml:space="preserve">Shem</w:t>
      </w:r>
      <w:r>
        <w:t xml:space="preserve"> </w:t>
      </w:r>
      <w:r>
        <w:t xml:space="preserve">(H8034),</w:t>
      </w:r>
      <w:r>
        <w:t xml:space="preserve"> </w:t>
      </w:r>
      <w:r>
        <w:t xml:space="preserve">“</w:t>
      </w:r>
      <w:r>
        <w:t xml:space="preserve">name,</w:t>
      </w:r>
      <w:r>
        <w:t xml:space="preserve">”</w:t>
      </w:r>
      <w:r>
        <w:t xml:space="preserve"> </w:t>
      </w:r>
      <w:r>
        <w:t xml:space="preserve">joins the story: Babel makes its own name; God gives Abram a name; God places his name at Jerusalem; the redeemed finally bear his name.</w:t>
      </w:r>
    </w:p>
    <w:bookmarkEnd w:id="28"/>
    <w:bookmarkStart w:id="29" w:name="polis-and-politeuma"/>
    <w:p>
      <w:pPr>
        <w:pStyle w:val="Heading2"/>
      </w:pPr>
      <w:r>
        <w:t xml:space="preserve">Polis and Politeuma</w:t>
      </w:r>
    </w:p>
    <w:p>
      <w:pPr>
        <w:pStyle w:val="FirstParagraph"/>
      </w:pPr>
      <w:r>
        <w:t xml:space="preserve">Greek</w:t>
      </w:r>
      <w:r>
        <w:t xml:space="preserve"> </w:t>
      </w:r>
      <w:r>
        <w:rPr>
          <w:iCs/>
          <w:i/>
        </w:rPr>
        <w:t xml:space="preserve">polis</w:t>
      </w:r>
      <w:r>
        <w:t xml:space="preserve"> </w:t>
      </w:r>
      <w:r>
        <w:t xml:space="preserve">(G4172) means city. Hebrews uses it for the divinely founded city Abraham awaited.</w:t>
      </w:r>
      <w:r>
        <w:t xml:space="preserve"> </w:t>
      </w:r>
      <w:r>
        <w:rPr>
          <w:iCs/>
          <w:i/>
        </w:rPr>
        <w:t xml:space="preserve">Politeuma</w:t>
      </w:r>
      <w:r>
        <w:t xml:space="preserve"> </w:t>
      </w:r>
      <w:r>
        <w:t xml:space="preserve">(G4175) means commonwealth or citizenship. Philippians 3:20 locates Christian citizenship in heaven, not to cancel earthly duty but to identify the supreme allegiance from which believers await the Savior.</w:t>
      </w:r>
    </w:p>
    <w:tbl>
      <w:tblPr>
        <w:tblStyle w:val="Table"/>
        <w:tblW w:type="dxa" w:w="9360"/>
        <w:tblLayout w:type="fixed"/>
        <w:tblLook w:firstRow="1" w:lastRow="0" w:firstColumn="0" w:lastColumn="0" w:noHBand="0" w:noVBand="0" w:val="0020"/>
        <w:jc w:val="start"/>
      </w:tblPr>
      <w:tblGrid>
        <w:gridCol w:w="1512"/>
        <w:gridCol w:w="1944"/>
        <w:gridCol w:w="2232"/>
        <w:gridCol w:w="3672"/>
      </w:tblGrid>
      <w:tr>
        <w:trPr>
          <w:tblHeader w:val="true"/>
          <w:tblHeader w:val="true"/>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Term</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Basic Sense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Key Texts</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Theological Force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iCs/>
                <w:i/>
                <w:color w:val="222222"/>
                <w:sz w:val="18"/>
              </w:rPr>
              <w:t xml:space="preserve">Ir</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City</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4:17; Psalm 46:4</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Human loves given public form</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iCs/>
                <w:i/>
                <w:color w:val="222222"/>
                <w:sz w:val="18"/>
              </w:rPr>
              <w:t xml:space="preserve">Bavel</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Babel/Babylon</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11; Jeremiah 50–51</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Autonomous unity and imperial pride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iCs/>
                <w:i/>
                <w:color w:val="222222"/>
                <w:sz w:val="18"/>
              </w:rPr>
              <w:t xml:space="preserve">Tsiyyon</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Zion</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2 Samuel 5:7; Psalm 48</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God’s chosen dwelling and kingdom</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iCs/>
                <w:i/>
                <w:color w:val="222222"/>
                <w:sz w:val="18"/>
              </w:rPr>
              <w:t xml:space="preserve">Shem</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Name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11:4; 12:2</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Grasped glory versus bestowed identity</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iCs/>
                <w:i/>
                <w:color w:val="222222"/>
                <w:sz w:val="18"/>
              </w:rPr>
              <w:t xml:space="preserve">Polis</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City</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Hebrews 11:10; Revelation 21:2</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Historical and eschatological community</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iCs/>
                <w:i/>
                <w:color w:val="222222"/>
                <w:sz w:val="18"/>
              </w:rPr>
              <w:t xml:space="preserve">Politeuma</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Commonwealth</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Philippians 3:20</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Ultimate citizenship under Christ</w:t>
            </w:r>
          </w:p>
        </w:tc>
      </w:tr>
    </w:tbl>
    <w:bookmarkEnd w:id="29"/>
    <w:bookmarkEnd w:id="30"/>
    <w:bookmarkStart w:id="31" w:name="section-2-cain-and-the-first-human-city"/>
    <w:p>
      <w:pPr>
        <w:pStyle w:val="Heading1"/>
        <w:pageBreakBefore/>
      </w:pPr>
      <w:r>
        <w:t xml:space="preserve">SECTION 2: CAIN AND THE FIRST HUMAN CITY</w:t>
      </w:r>
    </w:p>
    <w:p>
      <w:pPr>
        <w:pStyle w:val="FirstParagraph"/>
      </w:pPr>
      <w:r>
        <w:t xml:space="preserve">Cain builds Scripture’s first city after murdering Abel and receiving a sentence of wandering (Genesis 4:17). He names it after his son Enoch. The city appears as an attempt to answer exile, vulnerability, and death through permanence and family reputation without reconciliation to God. This does not make masonry or urban life sinful; it reveals how good cultural capacities can become substitutes for God.</w:t>
      </w:r>
    </w:p>
    <w:p>
      <w:pPr>
        <w:pStyle w:val="BodyText"/>
      </w:pPr>
      <w:r>
        <w:t xml:space="preserve">Cain’s descendants develop animal husbandry, music, and metalworking. Common grace permits genuine technical and artistic achievements among fallen people. Yet the genealogy culminates in Lamech’s song of vengeance. Culture magnifies the love governing it: tools can cultivate creation or equip domination; poetry can praise God or celebrate bloodshed.</w:t>
      </w:r>
    </w:p>
    <w:p>
      <w:pPr>
        <w:pStyle w:val="BodyText"/>
      </w:pPr>
      <w:r>
        <w:t xml:space="preserve">Genesis contrasts Cain’s line with Seth’s line, in which people call upon the LORD’s name. This is not biological moral purity. Both lines descend from Adam, and Noah survives judgment only through grace. The city of God exists through promise and worship, not superior blood.</w:t>
      </w:r>
    </w:p>
    <w:bookmarkEnd w:id="31"/>
    <w:bookmarkStart w:id="32" w:name="Xa7157166fc120ea1a6cb212128c9cda26e6680e"/>
    <w:p>
      <w:pPr>
        <w:pStyle w:val="Heading1"/>
      </w:pPr>
      <w:r>
        <w:t xml:space="preserve">SECTION 3: BABEL — THE CITY THAT MAKES ITS OWN NAME</w:t>
      </w:r>
    </w:p>
    <w:p>
      <w:pPr>
        <w:pStyle w:val="FirstParagraph"/>
      </w:pPr>
      <w:r>
        <w:t xml:space="preserve">Humanity settles in Shinar with one language. Linguistic unity is not the sin; Pentecost later produces understanding across languages. Babel’s unity is directed against the commission to fill the earth. The builders repeatedly say,</w:t>
      </w:r>
      <w:r>
        <w:t xml:space="preserve"> </w:t>
      </w:r>
      <w:r>
        <w:t xml:space="preserve">“</w:t>
      </w:r>
      <w:r>
        <w:t xml:space="preserve">Come, let us,</w:t>
      </w:r>
      <w:r>
        <w:t xml:space="preserve">”</w:t>
      </w:r>
      <w:r>
        <w:t xml:space="preserve"> </w:t>
      </w:r>
      <w:r>
        <w:t xml:space="preserve">while God is absent from their deliberation except as the height they intend to reach.</w:t>
      </w:r>
    </w:p>
    <w:p>
      <w:pPr>
        <w:pStyle w:val="BodyText"/>
      </w:pPr>
      <w:r>
        <w:t xml:space="preserve">Brick and bitumen exhibit technology adapted to Mesopotamia. The tower</w:t>
      </w:r>
      <w:r>
        <w:t xml:space="preserve"> </w:t>
      </w:r>
      <w:r>
        <w:t xml:space="preserve">“</w:t>
      </w:r>
      <w:r>
        <w:t xml:space="preserve">in the heavens</w:t>
      </w:r>
      <w:r>
        <w:t xml:space="preserve">”</w:t>
      </w:r>
      <w:r>
        <w:t xml:space="preserve"> </w:t>
      </w:r>
      <w:r>
        <w:t xml:space="preserve">probably evokes a ziggurat, a constructed sacred mountain. The project is religious as well as political. Yet God must</w:t>
      </w:r>
      <w:r>
        <w:t xml:space="preserve"> </w:t>
      </w:r>
      <w:r>
        <w:t xml:space="preserve">“</w:t>
      </w:r>
      <w:r>
        <w:t xml:space="preserve">come down</w:t>
      </w:r>
      <w:r>
        <w:t xml:space="preserve">”</w:t>
      </w:r>
      <w:r>
        <w:t xml:space="preserve"> </w:t>
      </w:r>
      <w:r>
        <w:t xml:space="preserve">to see it, an ironic dismissal of human grandeur.</w:t>
      </w:r>
    </w:p>
    <w:p>
      <w:pPr>
        <w:pStyle w:val="BodyText"/>
      </w:pPr>
      <w:r>
        <w:t xml:space="preserve">Its purpose is explicit:</w:t>
      </w:r>
      <w:r>
        <w:t xml:space="preserve"> </w:t>
      </w:r>
      <w:r>
        <w:t xml:space="preserve">“</w:t>
      </w:r>
      <w:r>
        <w:t xml:space="preserve">Let us make for ourselves a name, otherwise we will be scattered.</w:t>
      </w:r>
      <w:r>
        <w:t xml:space="preserve">”</w:t>
      </w:r>
      <w:r>
        <w:t xml:space="preserve"> </w:t>
      </w:r>
      <w:r>
        <w:t xml:space="preserve">The city seeks identity through monument and permanence through centralization. It fears dispersion more than disobedience. Religion becomes the instrument of civilization’s glory.</w:t>
      </w:r>
    </w:p>
    <w:p>
      <w:pPr>
        <w:pStyle w:val="BodyText"/>
      </w:pPr>
      <w:r>
        <w:t xml:space="preserve">God confuses their speech and scatters them. Judgment restrains concentrated rebellion and accomplishes the movement humanity refused. Pentecost reverses Babel without erasing cultural difference: many languages proclaim God’s works, unity centers on the crucified Christ, and the church moves outward in mission.</w:t>
      </w:r>
    </w:p>
    <w:tbl>
      <w:tblPr>
        <w:tblStyle w:val="Table"/>
        <w:tblW w:type="dxa" w:w="9360"/>
        <w:tblLayout w:type="fixed"/>
        <w:tblLook w:firstRow="1" w:lastRow="0" w:firstColumn="0" w:lastColumn="0" w:noHBand="0" w:noVBand="0" w:val="0020"/>
        <w:jc w:val="start"/>
      </w:tblPr>
      <w:tblGrid>
        <w:gridCol w:w="2664"/>
        <w:gridCol w:w="6696"/>
      </w:tblGrid>
      <w:tr>
        <w:trPr>
          <w:tblHeader w:val="true"/>
          <w:tblHeader w:val="true"/>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Babel</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Pentecost</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Humanity builds upward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The Spirit descends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One speech magnifies a human name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Many languages magnify God’s deeds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Consolidation resists God’s command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Witness moves toward the nations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Uniformity serves autonomous power</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Diversity receives unity in Christ</w:t>
            </w:r>
          </w:p>
        </w:tc>
      </w:tr>
    </w:tbl>
    <w:bookmarkEnd w:id="32"/>
    <w:bookmarkStart w:id="33" w:name="section-4-abraham-and-the-promised-city"/>
    <w:p>
      <w:pPr>
        <w:pStyle w:val="Heading1"/>
      </w:pPr>
      <w:r>
        <w:t xml:space="preserve">SECTION 4: ABRAHAM AND THE PROMISED CITY</w:t>
      </w:r>
    </w:p>
    <w:p>
      <w:pPr>
        <w:pStyle w:val="FirstParagraph"/>
      </w:pPr>
      <w:r>
        <w:t xml:space="preserve">Genesis 12 follows Babel deliberately. Abram leaves country, relatives, and father’s house because God speaks. Babel settles to prevent scattering; Abram travels by faith. Babel manufactures a name; God promises to make Abram’s name great so all families will be blessed.</w:t>
      </w:r>
    </w:p>
    <w:p>
      <w:pPr>
        <w:pStyle w:val="BodyText"/>
      </w:pPr>
      <w:r>
        <w:t xml:space="preserve">Abraham lives in tents and builds altars. The tent confesses provisional possession; the altar confesses divine ownership. He is not irresponsible toward earthly life—he manages a household, negotiates, rescues Lot, and purchases burial land—but he refuses to confuse present arrangements with final inheritance.</w:t>
      </w:r>
    </w:p>
    <w:p>
      <w:pPr>
        <w:pStyle w:val="BodyText"/>
      </w:pPr>
      <w:r>
        <w:t xml:space="preserve">Hebrews 11 says he awaited the city with foundations whose architect and builder is God.</w:t>
      </w:r>
      <w:r>
        <w:t xml:space="preserve"> </w:t>
      </w:r>
      <w:r>
        <w:t xml:space="preserve">“</w:t>
      </w:r>
      <w:r>
        <w:t xml:space="preserve">Heavenly</w:t>
      </w:r>
      <w:r>
        <w:t xml:space="preserve">”</w:t>
      </w:r>
      <w:r>
        <w:t xml:space="preserve"> </w:t>
      </w:r>
      <w:r>
        <w:t xml:space="preserve">does not mean unreal or permanently disembodied. The city originates in God’s design and will descend into renewed creation.</w:t>
      </w:r>
    </w:p>
    <w:p>
      <w:pPr>
        <w:pStyle w:val="BodyText"/>
      </w:pPr>
      <w:r>
        <w:t xml:space="preserve">Sodom functions as Babel’s companion city. Ezekiel 16:49–50 identifies pride, abundance, ease, neglect of the poor, and abomination. Genesis 19 shows public life organized to protect predation. Lot’s movement toward, into, and finally out of Sodom warns that residence can become accommodation, while his rescue demonstrates grace.</w:t>
      </w:r>
    </w:p>
    <w:bookmarkEnd w:id="33"/>
    <w:bookmarkStart w:id="34" w:name="section-5-salem-zion-and-davids-city"/>
    <w:p>
      <w:pPr>
        <w:pStyle w:val="Heading1"/>
      </w:pPr>
      <w:r>
        <w:t xml:space="preserve">SECTION 5: SALEM, ZION, AND DAVID’S CITY</w:t>
      </w:r>
    </w:p>
    <w:p>
      <w:pPr>
        <w:pStyle w:val="FirstParagraph"/>
      </w:pPr>
      <w:r>
        <w:t xml:space="preserve">Melchizedek is king of Salem and priest of God Most High (Genesis 14). Psalm 76 associates Salem with Zion; Psalm 110 develops the priest-king pattern; Hebrews applies it to Christ. Before Israel possesses Jerusalem, Scripture places there a king whose name is associated with righteousness and whose city with peace.</w:t>
      </w:r>
    </w:p>
    <w:p>
      <w:pPr>
        <w:pStyle w:val="BodyText"/>
      </w:pPr>
      <w:r>
        <w:t xml:space="preserve">Abraham later offers Isaac in Moriah, where God provides a substitute. Second Chronicles 3:1 identifies Solomon’s temple site with Mount Moriah. Jerusalem’s geography becomes associated with beloved son, sacrifice, and divine provision. Isaac is spared and cannot redeem others, but the pattern anticipates the Son whom the Father gives.</w:t>
      </w:r>
    </w:p>
    <w:p>
      <w:pPr>
        <w:pStyle w:val="BodyText"/>
      </w:pPr>
      <w:r>
        <w:t xml:space="preserve">David captures the Jebusite stronghold, names it the city of David, and brings the ark there (2 Samuel 5–6). Zion joins Davidic kingship and God’s throne-presence. Yet its significance rests upon divine election, not native superiority.</w:t>
      </w:r>
    </w:p>
    <w:bookmarkEnd w:id="34"/>
    <w:bookmarkStart w:id="35" w:name="X5062ea388887e8c12ad0f52904800b747a4ed6f"/>
    <w:p>
      <w:pPr>
        <w:pStyle w:val="Heading1"/>
      </w:pPr>
      <w:r>
        <w:t xml:space="preserve">SECTION 6: JERUSALEM UNDER DAVID AND SOLOMON</w:t>
      </w:r>
    </w:p>
    <w:p>
      <w:pPr>
        <w:pStyle w:val="FirstParagraph"/>
      </w:pPr>
      <w:r>
        <w:t xml:space="preserve">David proposes to build God a house. God instead promises to build David a</w:t>
      </w:r>
      <w:r>
        <w:t xml:space="preserve"> </w:t>
      </w:r>
      <w:r>
        <w:t xml:space="preserve">“</w:t>
      </w:r>
      <w:r>
        <w:t xml:space="preserve">house,</w:t>
      </w:r>
      <w:r>
        <w:t xml:space="preserve">”</w:t>
      </w:r>
      <w:r>
        <w:t xml:space="preserve"> </w:t>
      </w:r>
      <w:r>
        <w:t xml:space="preserve">a dynasty, and appoints his son to build the temple (2 Samuel 7). Jerusalem cannot place God in debt through religious patronage. The initiative remains God’s, and temple hope becomes joined to the everlasting Davidic promise.</w:t>
      </w:r>
    </w:p>
    <w:p>
      <w:pPr>
        <w:pStyle w:val="BodyText"/>
      </w:pPr>
      <w:r>
        <w:t xml:space="preserve">Solomon constructs the temple, and the glory fills it. Yet his prayer confesses that the highest heaven cannot contain God. Presence is real without spatial imprisonment. The prayer anticipates sin, defeat, drought, exile, repentance, and forgiveness. Jerusalem is not a charm preventing judgment but the covenant center associated with confession and mercy.</w:t>
      </w:r>
    </w:p>
    <w:p>
      <w:pPr>
        <w:pStyle w:val="BodyText"/>
      </w:pPr>
      <w:r>
        <w:t xml:space="preserve">Solomon prays for foreigners so all peoples may know God’s name. Election serves mission. Yet his reign also displays Babel’s temptation: wealth, horses, forced labor, prestige, and idolatrous alliances compromise wisdom. The city of peace can reproduce Egypt and Babylon when power separates from covenant obedience.</w:t>
      </w:r>
    </w:p>
    <w:bookmarkEnd w:id="35"/>
    <w:bookmarkStart w:id="36" w:name="section-7-jerusalem-becomes-babylonian"/>
    <w:p>
      <w:pPr>
        <w:pStyle w:val="Heading1"/>
      </w:pPr>
      <w:r>
        <w:t xml:space="preserve">SECTION 7: JERUSALEM BECOMES BABYLONIAN</w:t>
      </w:r>
    </w:p>
    <w:p>
      <w:pPr>
        <w:pStyle w:val="FirstParagraph"/>
      </w:pPr>
      <w:r>
        <w:t xml:space="preserve">Psalms celebrate Zion because God dwells there. Psalm 46’s river gladdens the city; Psalm 48 calls it the city of the great King; Psalm 87 imagines nations registered as born there. Its security rests upon presence, not stone.</w:t>
      </w:r>
    </w:p>
    <w:p>
      <w:pPr>
        <w:pStyle w:val="BodyText"/>
      </w:pPr>
      <w:r>
        <w:t xml:space="preserve">The prophets refuse to let election become presumption. Isaiah calls Jerusalem’s leaders rulers of Sodom because worship coexists with bloodshed. Jeremiah condemns those chanting</w:t>
      </w:r>
      <w:r>
        <w:t xml:space="preserve"> </w:t>
      </w:r>
      <w:r>
        <w:t xml:space="preserve">“</w:t>
      </w:r>
      <w:r>
        <w:t xml:space="preserve">the temple of the LORD</w:t>
      </w:r>
      <w:r>
        <w:t xml:space="preserve">”</w:t>
      </w:r>
      <w:r>
        <w:t xml:space="preserve"> </w:t>
      </w:r>
      <w:r>
        <w:t xml:space="preserve">while stealing, murdering, committing adultery, and worshiping idols. The</w:t>
      </w:r>
      <w:r>
        <w:t xml:space="preserve"> </w:t>
      </w:r>
      <w:r>
        <w:t xml:space="preserve">“</w:t>
      </w:r>
      <w:r>
        <w:t xml:space="preserve">den of robbers</w:t>
      </w:r>
      <w:r>
        <w:t xml:space="preserve">”</w:t>
      </w:r>
      <w:r>
        <w:t xml:space="preserve"> </w:t>
      </w:r>
      <w:r>
        <w:t xml:space="preserve">is the sanctuary misused as protection from repentance.</w:t>
      </w:r>
    </w:p>
    <w:p>
      <w:pPr>
        <w:pStyle w:val="BodyText"/>
      </w:pPr>
      <w:r>
        <w:t xml:space="preserve">Micah declares Zion will be plowed because rulers take bribes, priests teach for pay, and prophets divine for money while saying disaster cannot come because God is among them. Historical Jerusalem can embody Babylon’s loves. Sacred names never nullify God’s moral character.</w:t>
      </w:r>
    </w:p>
    <w:bookmarkEnd w:id="36"/>
    <w:bookmarkStart w:id="37" w:name="section-8-babylon-judgment-and-exile"/>
    <w:p>
      <w:pPr>
        <w:pStyle w:val="Heading1"/>
      </w:pPr>
      <w:r>
        <w:t xml:space="preserve">SECTION 8: BABYLON, JUDGMENT, AND EXILE</w:t>
      </w:r>
    </w:p>
    <w:p>
      <w:pPr>
        <w:pStyle w:val="FirstParagraph"/>
      </w:pPr>
      <w:r>
        <w:t xml:space="preserve">Babylon destroys Jerusalem, burns the temple, ends the Davidic throne’s visible rule, and carries Judah away. Politically this is imperial conquest; covenantally it is God’s announced judgment. Babylon’s gods have not defeated the LORD. God gives his defiled city over.</w:t>
      </w:r>
    </w:p>
    <w:p>
      <w:pPr>
        <w:pStyle w:val="BodyText"/>
      </w:pPr>
      <w:r>
        <w:t xml:space="preserve">Nebuchadnezzar is called God’s servant instrumentally (Jeremiah 25:9), yet Babylon remains morally responsible. Habakkuk asks how God can use a nation more wicked than Judah. The answer promises Babylon’s later judgment: the proud is not upright, while the righteous lives by faith. Being used providentially is not being approved morally.</w:t>
      </w:r>
    </w:p>
    <w:p>
      <w:pPr>
        <w:pStyle w:val="BodyText"/>
      </w:pPr>
      <w:r>
        <w:t xml:space="preserve">Daniel and his companions learn Babylonian literature and serve government without surrendering worship. Nebuchadnezzar’s image demands coerced unity; the three refuse even without guaranteeing rescue. Daniel 4 exposes Babel’s ancient boast when the king praises</w:t>
      </w:r>
      <w:r>
        <w:t xml:space="preserve"> </w:t>
      </w:r>
      <w:r>
        <w:t xml:space="preserve">“</w:t>
      </w:r>
      <w:r>
        <w:t xml:space="preserve">Babylon the great</w:t>
      </w:r>
      <w:r>
        <w:t xml:space="preserve">”</w:t>
      </w:r>
      <w:r>
        <w:t xml:space="preserve"> </w:t>
      </w:r>
      <w:r>
        <w:t xml:space="preserve">built by his power for his glory. Judgment falls while the boast remains in his mouth.</w:t>
      </w:r>
    </w:p>
    <w:p>
      <w:pPr>
        <w:pStyle w:val="BodyText"/>
      </w:pPr>
      <w:r>
        <w:t xml:space="preserve">Belshazzar later uses Jerusalem’s sacred vessels for idolatrous pleasure. The handwriting announces that his kingdom is numbered, weighed, and divided. Babylon falls that night. Its permanence was borrowed time.</w:t>
      </w:r>
    </w:p>
    <w:bookmarkEnd w:id="37"/>
    <w:bookmarkStart w:id="38" w:name="section-9-the-prophetic-two-cities"/>
    <w:p>
      <w:pPr>
        <w:pStyle w:val="Heading1"/>
      </w:pPr>
      <w:r>
        <w:t xml:space="preserve">SECTION 9: THE PROPHETIC TWO CITIES</w:t>
      </w:r>
    </w:p>
    <w:p>
      <w:pPr>
        <w:pStyle w:val="FirstParagraph"/>
      </w:pPr>
      <w:r>
        <w:t xml:space="preserve">Isaiah 13–14 portrays Babylon’s pride and collapse. The royal boast to ascend heaven and become like the Most High ends in descent to the grave. Babel’s upward project has become imperial theology.</w:t>
      </w:r>
    </w:p>
    <w:p>
      <w:pPr>
        <w:pStyle w:val="BodyText"/>
      </w:pPr>
      <w:r>
        <w:t xml:space="preserve">Isaiah 40–52 answers with comfort for Zion. God prepares a new exodus, returns as shepherd, announces his reign, and restores Jerusalem. Yet restoration moves through the suffering Servant. Zion is not saved by superior civic strength but through substitutionary suffering.</w:t>
      </w:r>
    </w:p>
    <w:p>
      <w:pPr>
        <w:pStyle w:val="BodyText"/>
      </w:pPr>
      <w:r>
        <w:t xml:space="preserve">Isaiah 60–66 portrays nations coming to Jerusalem’s light, bringing their glory in worship. This is not Babylonian extraction with sacred language; nations are incorporated into peace beneath God’s glory. God still looks to the humble who trembles at his word, not merely to impressive architecture.</w:t>
      </w:r>
    </w:p>
    <w:p>
      <w:pPr>
        <w:pStyle w:val="BodyText"/>
      </w:pPr>
      <w:r>
        <w:t xml:space="preserve">Jeremiah 50–51 announces Babylon’s fall and calls God’s people to come out. The empire used for judgment is judged for pride, idolatry, and violence against Zion. Revelation later adopts this exodus-from-Babylon pattern.</w:t>
      </w:r>
    </w:p>
    <w:p>
      <w:pPr>
        <w:pStyle w:val="BodyText"/>
      </w:pPr>
      <w:r>
        <w:t xml:space="preserve">Zechariah sees Jerusalem inhabited beyond ordinary walls because God is a wall of fire and glory within. Babel centralizes from fear of scattering; restored Zion is secure through presence.</w:t>
      </w:r>
    </w:p>
    <w:bookmarkEnd w:id="38"/>
    <w:bookmarkStart w:id="39" w:name="section-10-faithful-life-in-babylon"/>
    <w:p>
      <w:pPr>
        <w:pStyle w:val="Heading1"/>
      </w:pPr>
      <w:r>
        <w:t xml:space="preserve">SECTION 10: FAITHFUL LIFE IN BABYLON</w:t>
      </w:r>
    </w:p>
    <w:p>
      <w:pPr>
        <w:pStyle w:val="FirstParagraph"/>
      </w:pPr>
      <w:r>
        <w:t xml:space="preserve">Jeremiah 29 commands exiles to build houses, plant gardens, raise families, seek the city’s</w:t>
      </w:r>
      <w:r>
        <w:t xml:space="preserve"> </w:t>
      </w:r>
      <w:r>
        <w:rPr>
          <w:iCs/>
          <w:i/>
        </w:rPr>
        <w:t xml:space="preserve">shalom</w:t>
      </w:r>
      <w:r>
        <w:t xml:space="preserve">, and pray for it. They must reject false promises of immediate escape and live patiently within God’s timetable. Pilgrimage is neither assimilation nor social abandonment.</w:t>
      </w:r>
    </w:p>
    <w:p>
      <w:pPr>
        <w:pStyle w:val="BodyText"/>
      </w:pPr>
      <w:r>
        <w:t xml:space="preserve">Psalm 137 refuses to forget Jerusalem by Babylon’s rivers. Its grief and imprecation arise from catastrophic violence and longing for justice. It gives victims truthful speech while leaving vengeance to God; it does not authorize private retaliation.</w:t>
      </w:r>
    </w:p>
    <w:p>
      <w:pPr>
        <w:pStyle w:val="BodyText"/>
      </w:pPr>
      <w:r>
        <w:t xml:space="preserve">Daniel’s public witness and Esther’s hidden providential reversals demonstrate different forms of fidelity under empire. Believers can serve neighbors and institutions while drawing uncompromising boundaries at worship and obedience.</w:t>
      </w:r>
    </w:p>
    <w:bookmarkEnd w:id="39"/>
    <w:bookmarkStart w:id="40" w:name="section-11-jesus-and-jerusalem"/>
    <w:p>
      <w:pPr>
        <w:pStyle w:val="Heading1"/>
      </w:pPr>
      <w:r>
        <w:t xml:space="preserve">SECTION 11: JESUS AND JERUSALEM</w:t>
      </w:r>
    </w:p>
    <w:p>
      <w:pPr>
        <w:pStyle w:val="FirstParagraph"/>
      </w:pPr>
      <w:r>
        <w:t xml:space="preserve">Jesus sets his face toward Jerusalem, enters as Zechariah’s humble king, and receives acclamation. Yet Luke surrounds the entry with tears because the city has not recognized the things making for peace. Jerusalem’s true King arrives without Babel’s coercive splendor.</w:t>
      </w:r>
    </w:p>
    <w:p>
      <w:pPr>
        <w:pStyle w:val="BodyText"/>
      </w:pPr>
      <w:r>
        <w:t xml:space="preserve">Jesus invokes Isaiah’s house of prayer and Jeremiah’s den of robbers in the temple action. Mark frames it with the fruitless fig tree. The action is prophetic judgment against worship that obstructs the nations and bears leaves without covenant fruit.</w:t>
      </w:r>
    </w:p>
    <w:p>
      <w:pPr>
        <w:pStyle w:val="BodyText"/>
      </w:pPr>
      <w:r>
        <w:t xml:space="preserve">“</w:t>
      </w:r>
      <w:r>
        <w:t xml:space="preserve">Jerusalem, Jerusalem</w:t>
      </w:r>
      <w:r>
        <w:t xml:space="preserve">”</w:t>
      </w:r>
      <w:r>
        <w:t xml:space="preserve"> </w:t>
      </w:r>
      <w:r>
        <w:t xml:space="preserve">is lament, not gloating. The city kills prophets, yet Jesus speaks with compassion and announces desolation. Election intensifies accountability. Christians may never use Jerusalem’s fall for arrogant contempt; the church also stands only by grace.</w:t>
      </w:r>
    </w:p>
    <w:p>
      <w:pPr>
        <w:pStyle w:val="BodyText"/>
      </w:pPr>
      <w:r>
        <w:t xml:space="preserve">Jesus is crucified outside the gate through cooperation between religious and imperial power. Apostate Jerusalem and Babylonian Rome converge against the true King. Yet resurrection vindicates the rejected stone, and forgiveness is proclaimed beginning at Jerusalem.</w:t>
      </w:r>
    </w:p>
    <w:p>
      <w:pPr>
        <w:pStyle w:val="BodyText"/>
      </w:pPr>
      <w:r>
        <w:t xml:space="preserve">Pentecost gathers nations in Jerusalem but sends witness outward to the earth’s ends. This is redeemed anti-Babel unity: the Spirit creates understanding across languages around Christ and generates mission rather than fearful consolidation.</w:t>
      </w:r>
    </w:p>
    <w:bookmarkEnd w:id="40"/>
    <w:bookmarkStart w:id="41" w:name="section-12-the-church-between-the-cities"/>
    <w:p>
      <w:pPr>
        <w:pStyle w:val="Heading1"/>
      </w:pPr>
      <w:r>
        <w:t xml:space="preserve">SECTION 12: THE CHURCH BETWEEN THE CITIES</w:t>
      </w:r>
    </w:p>
    <w:p>
      <w:pPr>
        <w:pStyle w:val="FirstParagraph"/>
      </w:pPr>
      <w:r>
        <w:t xml:space="preserve">Ephesians 2 describes Jew and Gentile reconciled by Christ’s blood into one new humanity and one dwelling by the Spirit. Church unity is not Babel’s sameness. Hostility dies at the cross, and diverse peoples receive one Father.</w:t>
      </w:r>
    </w:p>
    <w:p>
      <w:pPr>
        <w:pStyle w:val="BodyText"/>
      </w:pPr>
      <w:r>
        <w:t xml:space="preserve">Philippians 3:20 declares heavenly citizenship in a Roman colony proud of its status. This allegiance does not erase ordinary civic responsibility; it judges every earthly loyalty and directs hope toward the Savior who will transform the body.</w:t>
      </w:r>
    </w:p>
    <w:p>
      <w:pPr>
        <w:pStyle w:val="BodyText"/>
      </w:pPr>
      <w:r>
        <w:t xml:space="preserve">Romans 13 presents authority as God’s servant for public justice. Revelation 13 portrays empire as beast when it blasphemes, persecutes, demands worship, and controls economic life. Authority is legitimate as accountable service and beastly when it absolutizes itself.</w:t>
      </w:r>
    </w:p>
    <w:p>
      <w:pPr>
        <w:pStyle w:val="BodyText"/>
      </w:pPr>
      <w:r>
        <w:t xml:space="preserve">The church can imitate Babylon. Corinth’s status factions, exploitation of the poor, lawsuits, and fascination with impressive leaders show worldly loves inside Christian institutions. A congregation becomes Babylonian whenever it uses Christ’s name to pursue prestige, commodify people, conceal injustice, or protect power from repentance.</w:t>
      </w:r>
    </w:p>
    <w:bookmarkEnd w:id="41"/>
    <w:bookmarkStart w:id="42" w:name="section-13-the-city-that-is-to-come"/>
    <w:p>
      <w:pPr>
        <w:pStyle w:val="Heading1"/>
      </w:pPr>
      <w:r>
        <w:t xml:space="preserve">SECTION 13: THE CITY THAT IS TO COME</w:t>
      </w:r>
    </w:p>
    <w:p>
      <w:pPr>
        <w:pStyle w:val="FirstParagraph"/>
      </w:pPr>
      <w:r>
        <w:t xml:space="preserve">Hebrews describes Abraham living in tents while awaiting God’s founded city. Believers have already come to Mount Zion, heavenly Jerusalem, the festal assembly, God the Judge, Jesus the mediator, and sprinkled blood (Hebrews 12:22–24). The city is already accessed through Christ and not yet consummated.</w:t>
      </w:r>
    </w:p>
    <w:p>
      <w:pPr>
        <w:pStyle w:val="BodyText"/>
      </w:pPr>
      <w:r>
        <w:t xml:space="preserve">Jesus suffers outside the gate, so Christians go to him bearing reproach:</w:t>
      </w:r>
      <w:r>
        <w:t xml:space="preserve"> </w:t>
      </w:r>
      <w:r>
        <w:t xml:space="preserve">“</w:t>
      </w:r>
      <w:r>
        <w:t xml:space="preserve">here we do not have a lasting city, but we are seeking the city which is to come.</w:t>
      </w:r>
      <w:r>
        <w:t xml:space="preserve">”</w:t>
      </w:r>
      <w:r>
        <w:t xml:space="preserve"> </w:t>
      </w:r>
      <w:r>
        <w:t xml:space="preserve">The city of God is reached through allegiance to the rejected Messiah, not acceptance by the present city.</w:t>
      </w:r>
    </w:p>
    <w:p>
      <w:pPr>
        <w:pStyle w:val="BodyText"/>
      </w:pPr>
      <w:r>
        <w:t xml:space="preserve">First Peter addresses elect exiles and ends with greetings from</w:t>
      </w:r>
      <w:r>
        <w:t xml:space="preserve"> </w:t>
      </w:r>
      <w:r>
        <w:t xml:space="preserve">“</w:t>
      </w:r>
      <w:r>
        <w:t xml:space="preserve">she who is in Babylon,</w:t>
      </w:r>
      <w:r>
        <w:t xml:space="preserve">”</w:t>
      </w:r>
      <w:r>
        <w:t xml:space="preserve"> </w:t>
      </w:r>
      <w:r>
        <w:t xml:space="preserve">likely the church in Rome. Christians honor everyone, love the brotherhood, fear God, and honor the emperor. The ruler receives respect; God alone receives ultimate fear. The church conquers not by becoming another empire but through holiness, suffering, hope, and witness.</w:t>
      </w:r>
    </w:p>
    <w:bookmarkEnd w:id="42"/>
    <w:bookmarkStart w:id="43" w:name="section-14-babylon-the-great"/>
    <w:p>
      <w:pPr>
        <w:pStyle w:val="Heading1"/>
      </w:pPr>
      <w:r>
        <w:t xml:space="preserve">SECTION 14: BABYLON THE GREAT</w:t>
      </w:r>
    </w:p>
    <w:p>
      <w:pPr>
        <w:pStyle w:val="FirstParagraph"/>
      </w:pPr>
      <w:r>
        <w:t xml:space="preserve">Revelation gathers Babel, historical Babylon, Tyre, Rome, and every recurring anti-God civilization into Babylon the Great. She is prostitute, city, economic system, and persecuting culture. A first-century imperial referent does not exhaust the symbol.</w:t>
      </w:r>
    </w:p>
    <w:p>
      <w:pPr>
        <w:pStyle w:val="BodyText"/>
      </w:pPr>
      <w:r>
        <w:t xml:space="preserve">Babylon rides the beast, dressed in luxury, holding abominations, and drunk with saints’ blood. Seductive culture allies with coercive power. The beast eventually destroys her, revealing the instability of relationships ordered by appetite and domination.</w:t>
      </w:r>
    </w:p>
    <w:p>
      <w:pPr>
        <w:pStyle w:val="BodyText"/>
      </w:pPr>
      <w:r>
        <w:t xml:space="preserve">Kings commit immorality, merchants grow rich, and seafarers profit from excess. Her cargo culminates in human bodies and souls. People become commodities. When Babylon falls, the powerful mourn lost profit rather than injustice, revealing their worship.</w:t>
      </w:r>
    </w:p>
    <w:p>
      <w:pPr>
        <w:pStyle w:val="BodyText"/>
      </w:pPr>
      <w:r>
        <w:t xml:space="preserve">“</w:t>
      </w:r>
      <w:r>
        <w:t xml:space="preserve">Come out of her, my people</w:t>
      </w:r>
      <w:r>
        <w:t xml:space="preserve">”</w:t>
      </w:r>
      <w:r>
        <w:t xml:space="preserve"> </w:t>
      </w:r>
      <w:r>
        <w:t xml:space="preserve">requires nonparticipation in idolatry, exploitation, and violence. It does not always demand geographic flight, since Revelation’s churches remain within Roman cities. Christians work and trade among neighbors while refusing Babylon’s moral and liturgical order.</w:t>
      </w:r>
    </w:p>
    <w:p>
      <w:pPr>
        <w:pStyle w:val="BodyText"/>
      </w:pPr>
      <w:r>
        <w:t xml:space="preserve">Babylon says she sits as queen and will never mourn. Judgment comes in one hour. Heaven’s rejoicing is not sadism but celebration of vindicated justice, ended oppression, and answered blood. The prostitute falls as the bride prepares for the Lamb.</w:t>
      </w:r>
    </w:p>
    <w:bookmarkEnd w:id="43"/>
    <w:bookmarkStart w:id="44" w:name="section-15-the-new-jerusalem"/>
    <w:p>
      <w:pPr>
        <w:pStyle w:val="Heading1"/>
      </w:pPr>
      <w:r>
        <w:t xml:space="preserve">SECTION 15: THE NEW JERUSALEM</w:t>
      </w:r>
    </w:p>
    <w:p>
      <w:pPr>
        <w:pStyle w:val="FirstParagraph"/>
      </w:pPr>
      <w:r>
        <w:t xml:space="preserve">New Jerusalem comes down from heaven from God, prepared as a bride. Its direction is the opposite of Babel. Salvation is not humanity’s successful climb into heaven but God bringing his dwelling to renewed earth.</w:t>
      </w:r>
    </w:p>
    <w:p>
      <w:pPr>
        <w:pStyle w:val="BodyText"/>
      </w:pPr>
      <w:r>
        <w:t xml:space="preserve">The city is both place and people: the angel promises to show the bride and shows Jerusalem. Its architecture portrays redeemed corporate beauty, security, holiness, and communion. Its light is God’s glory, and its lamp is the Lamb.</w:t>
      </w:r>
    </w:p>
    <w:p>
      <w:pPr>
        <w:pStyle w:val="BodyText"/>
      </w:pPr>
      <w:r>
        <w:t xml:space="preserve">Length, width, and height are equal, recalling the cubic Most Holy Place. The entire city is sanctuary. No temple building is needed because God and the Lamb are its temple. Nations walk by its light and bring their glory, so redeemed diversity enters worship rather than disappearing into Babel’s uniformity.</w:t>
      </w:r>
    </w:p>
    <w:p>
      <w:pPr>
        <w:pStyle w:val="BodyText"/>
      </w:pPr>
      <w:r>
        <w:t xml:space="preserve">The city’s gates bear Israel’s tribal names; foundations bear apostolic names. The gates never close, because no hostile night remains. Nothing unclean enters, yet the nations are healed.</w:t>
      </w:r>
    </w:p>
    <w:p>
      <w:pPr>
        <w:pStyle w:val="BodyText"/>
      </w:pPr>
      <w:r>
        <w:t xml:space="preserve">The river of life flows from God’s throne, and the tree of life heals the nations. Eden becomes a city-garden. The curse is gone; servants see God’s face; his name rests upon them. Babel sought its own name, but Jerusalem’s citizens receive God’s name. Babylon sold human lives; Jerusalem gives life freely.</w:t>
      </w:r>
    </w:p>
    <w:tbl>
      <w:tblPr>
        <w:tblStyle w:val="Table"/>
        <w:tblW w:type="dxa" w:w="9360"/>
        <w:tblLayout w:type="fixed"/>
        <w:tblLook w:firstRow="1" w:lastRow="0" w:firstColumn="0" w:lastColumn="0" w:noHBand="0" w:noVBand="0" w:val="0020"/>
        <w:jc w:val="start"/>
      </w:tblPr>
      <w:tblGrid>
        <w:gridCol w:w="2664"/>
        <w:gridCol w:w="6696"/>
      </w:tblGrid>
      <w:tr>
        <w:trPr>
          <w:tblHeader w:val="true"/>
          <w:tblHeader w:val="true"/>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Babylon the Great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New Jerusalem</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Rises through rebellious history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Descends from God</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Prostitute allied to the beast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Bride belonging to the Lamb</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Adorned to seduce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Radiant with God’s glory</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Intoxicates and exploits nations</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Illuminates and heals nations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Trades in human lives</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Gives the water of life freely</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Drunk with saints’ blood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God wipes away every tear</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Falls in one hour</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Reigns forever</w:t>
            </w:r>
          </w:p>
        </w:tc>
      </w:tr>
    </w:tbl>
    <w:bookmarkEnd w:id="44"/>
    <w:bookmarkStart w:id="47" w:name="section-16-augustine-and-the-two-loves"/>
    <w:p>
      <w:pPr>
        <w:pStyle w:val="Heading1"/>
      </w:pPr>
      <w:r>
        <w:t xml:space="preserve">SECTION 16: AUGUSTINE AND THE TWO LOVES</w:t>
      </w:r>
    </w:p>
    <w:p>
      <w:pPr>
        <w:pStyle w:val="FirstParagraph"/>
      </w:pPr>
      <w:r>
        <w:t xml:space="preserve">Augustine’s</w:t>
      </w:r>
      <w:r>
        <w:t xml:space="preserve"> </w:t>
      </w:r>
      <w:r>
        <w:rPr>
          <w:iCs/>
          <w:i/>
        </w:rPr>
        <w:t xml:space="preserve">City of God</w:t>
      </w:r>
      <w:r>
        <w:t xml:space="preserve"> </w:t>
      </w:r>
      <w:r>
        <w:t xml:space="preserve">refuses to identify God’s kingdom with imperial Rome or any earthly state. Two cities arise from two ultimate loves: the earthly city from love of self raised to contempt of God, and the heavenly city from love of God that rightly orders the self.</w:t>
      </w:r>
    </w:p>
    <w:p>
      <w:pPr>
        <w:pStyle w:val="BodyText"/>
      </w:pPr>
      <w:r>
        <w:t xml:space="preserve">The cities remain intermingled until judgment. They cannot be mapped perfectly onto church and state, one nation and another, or religious and secular work. The visible church contains hypocrites; the earthly city contains real temporal goods and civic virtues. God alone knows final membership, although worship and fruit reveal allegiances.</w:t>
      </w:r>
    </w:p>
    <w:p>
      <w:pPr>
        <w:pStyle w:val="BodyText"/>
      </w:pPr>
      <w:r>
        <w:t xml:space="preserve">Pilgrims of the heavenly city may seek earthly peace. Jeremiah 29 supplies the pattern: work for a city’s welfare without calling it ultimate. Christians can serve just government, medicine, education, art, commerce, and neighborly order while knowing that only the Lamb gives final peace.</w:t>
      </w:r>
    </w:p>
    <w:bookmarkStart w:id="45" w:name="Xd9c8822d2a9392753c744ff331d558f1b715dfa"/>
    <w:p>
      <w:pPr>
        <w:pStyle w:val="Heading2"/>
      </w:pPr>
      <w:r>
        <w:t xml:space="preserve">Augustine’s Historical Setting and Argument</w:t>
      </w:r>
    </w:p>
    <w:p>
      <w:pPr>
        <w:pStyle w:val="FirstParagraph"/>
      </w:pPr>
      <w:r>
        <w:t xml:space="preserve">Augustine wrote after the sack of Rome in AD 410, when critics alleged that abandonment of the traditional gods had weakened the empire. His answer challenged the religious mythology of Rome itself. Roman greatness had never produced moral innocence, and political success could not establish the truth of pagan worship. Earthly empires receive temporal goods through providence, but no empire becomes righteous merely by becoming powerful.</w:t>
      </w:r>
    </w:p>
    <w:p>
      <w:pPr>
        <w:pStyle w:val="BodyText"/>
      </w:pPr>
      <w:r>
        <w:t xml:space="preserve">The argument remains relevant whenever Christians interpret political strength as proof of divine favor. Providence can grant victory, stability, wealth, and cultural influence without identifying a nation with the city of God. Conversely, political defeat does not prove Christ’s kingdom has failed. The heavenly city was never dependent upon Rome’s invulnerability.</w:t>
      </w:r>
    </w:p>
    <w:bookmarkEnd w:id="45"/>
    <w:bookmarkStart w:id="46" w:name="peace-as-an-ordered-good"/>
    <w:p>
      <w:pPr>
        <w:pStyle w:val="Heading2"/>
      </w:pPr>
      <w:r>
        <w:t xml:space="preserve">Peace as an Ordered Good</w:t>
      </w:r>
    </w:p>
    <w:p>
      <w:pPr>
        <w:pStyle w:val="FirstParagraph"/>
      </w:pPr>
      <w:r>
        <w:t xml:space="preserve">Augustine does not despise earthly peace. Even the earthly city desires a form of order because households, trade, judgment, and ordinary life cannot persist in total chaos. The disagreement concerns the end to which peace is directed. Babylon wants peace as stable possession of its chosen loves; the city of God receives peace as rightly ordered communion under God.</w:t>
      </w:r>
    </w:p>
    <w:p>
      <w:pPr>
        <w:pStyle w:val="BodyText"/>
      </w:pPr>
      <w:r>
        <w:t xml:space="preserve">Temporal peace is therefore a genuine but limited good. Christians can cooperate with unbelieving neighbors to restrain violence, protect families, preserve truthful courts, heal disease, and educate children. They cannot promise that these goods will remove the deeper alienation healed only through Christ.</w:t>
      </w:r>
    </w:p>
    <w:bookmarkEnd w:id="46"/>
    <w:bookmarkEnd w:id="47"/>
    <w:bookmarkStart w:id="52" w:name="Xb40684a6818f24ccc175642469be8dc6af62f22"/>
    <w:p>
      <w:pPr>
        <w:pStyle w:val="Heading1"/>
      </w:pPr>
      <w:r>
        <w:t xml:space="preserve">SECTION 17: THE PSALMS AS SONGS OF THE CITY</w:t>
      </w:r>
    </w:p>
    <w:bookmarkStart w:id="48" w:name="X1b5c1303c3b917b165a4cb93788332d4dd6aeed"/>
    <w:p>
      <w:pPr>
        <w:pStyle w:val="Heading2"/>
      </w:pPr>
      <w:r>
        <w:t xml:space="preserve">Psalms 46 and 48 — God in the Midst of Zion</w:t>
      </w:r>
    </w:p>
    <w:p>
      <w:pPr>
        <w:pStyle w:val="FirstParagraph"/>
      </w:pPr>
      <w:r>
        <w:t xml:space="preserve">Psalm 46 portrays nations roaring and kingdoms tottering while the city of God remains glad because God is in her midst. Its river is striking because historical Jerusalem possessed no great river comparable to the Nile or Euphrates. The theological river represents the life and security proceeding from divine presence, anticipating Ezekiel 47 and Revelation 22.</w:t>
      </w:r>
    </w:p>
    <w:p>
      <w:pPr>
        <w:pStyle w:val="BodyText"/>
      </w:pPr>
      <w:r>
        <w:t xml:space="preserve">Psalm 48 invites worshipers to walk around Zion and count her towers so they may tell the next generation. Yet the conclusion directs confidence beyond masonry:</w:t>
      </w:r>
      <w:r>
        <w:t xml:space="preserve"> </w:t>
      </w:r>
      <w:r>
        <w:t xml:space="preserve">“</w:t>
      </w:r>
      <w:r>
        <w:t xml:space="preserve">This God is our God forever and ever.</w:t>
      </w:r>
      <w:r>
        <w:t xml:space="preserve">”</w:t>
      </w:r>
      <w:r>
        <w:t xml:space="preserve"> </w:t>
      </w:r>
      <w:r>
        <w:t xml:space="preserve">The walls matter as signs of providential protection, but God himself is the city’s enduring security.</w:t>
      </w:r>
    </w:p>
    <w:bookmarkEnd w:id="48"/>
    <w:bookmarkStart w:id="49" w:name="psalm-87-enemies-registered-as-citizens"/>
    <w:p>
      <w:pPr>
        <w:pStyle w:val="Heading2"/>
      </w:pPr>
      <w:r>
        <w:t xml:space="preserve">Psalm 87 — Enemies Registered as Citizens</w:t>
      </w:r>
    </w:p>
    <w:p>
      <w:pPr>
        <w:pStyle w:val="FirstParagraph"/>
      </w:pPr>
      <w:r>
        <w:t xml:space="preserve">Psalm 87 names Rahab, Babylon, Philistia, Tyre, and Cush as peoples recorded among those who know God. The astonishing claim is that former enemies will be said to have been born in Zion. Election of the city does not culminate in permanent ethnic exclusion; it becomes the means by which the nations receive a new birthplace.</w:t>
      </w:r>
    </w:p>
    <w:p>
      <w:pPr>
        <w:pStyle w:val="BodyText"/>
      </w:pPr>
      <w:r>
        <w:t xml:space="preserve">This movement is fulfilled through the Gospel’s incorporation of Gentiles into the commonwealth of promise. They are not tolerated visitors living forever at the edge of God’s city. In Christ they become fellow citizens and members of God’s household.</w:t>
      </w:r>
    </w:p>
    <w:bookmarkEnd w:id="49"/>
    <w:bookmarkStart w:id="50" w:name="psalms-120134-pilgrimage-toward-the-city"/>
    <w:p>
      <w:pPr>
        <w:pStyle w:val="Heading2"/>
      </w:pPr>
      <w:r>
        <w:t xml:space="preserve">Psalms 120–134 — Pilgrimage toward the City</w:t>
      </w:r>
    </w:p>
    <w:p>
      <w:pPr>
        <w:pStyle w:val="FirstParagraph"/>
      </w:pPr>
      <w:r>
        <w:t xml:space="preserve">The Songs of Ascents accompany movement toward Jerusalem. They begin with distress in deceptive and violent lands and culminate in worship at Zion. Psalm 122 rejoices in Jerusalem as the place where tribes gather and thrones of judgment stand; it commands prayer for the city’s peace.</w:t>
      </w:r>
    </w:p>
    <w:p>
      <w:pPr>
        <w:pStyle w:val="BodyText"/>
      </w:pPr>
      <w:r>
        <w:t xml:space="preserve">These songs form pilgrims who know both the danger of the journey and the joy of assembled worship. The city is desired not simply for architecture but because God gathers his people there around word, sacrifice, justice, and blessing.</w:t>
      </w:r>
    </w:p>
    <w:bookmarkEnd w:id="50"/>
    <w:bookmarkStart w:id="51" w:name="psalm-137-exile-without-forgetfulness"/>
    <w:p>
      <w:pPr>
        <w:pStyle w:val="Heading2"/>
      </w:pPr>
      <w:r>
        <w:t xml:space="preserve">Psalm 137 — Exile without Forgetfulness</w:t>
      </w:r>
    </w:p>
    <w:p>
      <w:pPr>
        <w:pStyle w:val="FirstParagraph"/>
      </w:pPr>
      <w:r>
        <w:t xml:space="preserve">The exiles’ inability to sing Zion’s songs for Babylonian entertainment is not rejection of worship but refusal to let holy memory become an imperial performance.</w:t>
      </w:r>
      <w:r>
        <w:t xml:space="preserve"> </w:t>
      </w:r>
      <w:r>
        <w:t xml:space="preserve">“</w:t>
      </w:r>
      <w:r>
        <w:t xml:space="preserve">If I forget you, O Jerusalem</w:t>
      </w:r>
      <w:r>
        <w:t xml:space="preserve">”</w:t>
      </w:r>
      <w:r>
        <w:t xml:space="preserve"> </w:t>
      </w:r>
      <w:r>
        <w:t xml:space="preserve">expresses covenant allegiance within displacement.</w:t>
      </w:r>
    </w:p>
    <w:p>
      <w:pPr>
        <w:pStyle w:val="BodyText"/>
      </w:pPr>
      <w:r>
        <w:t xml:space="preserve">The psalm’s terrible closing imprecation must be read within Babylon’s violence and the Old Testament appeal for measured divine justice. The New Testament forbids personal vengeance while continuing to pray for the vindication of martyrs. Scripture neither trivializes trauma nor hands retaliation to the victim as private right.</w:t>
      </w:r>
    </w:p>
    <w:bookmarkEnd w:id="51"/>
    <w:bookmarkEnd w:id="52"/>
    <w:bookmarkStart w:id="57" w:name="section-18-isaiahs-city-and-the-servant"/>
    <w:p>
      <w:pPr>
        <w:pStyle w:val="Heading1"/>
      </w:pPr>
      <w:r>
        <w:t xml:space="preserve">SECTION 18: ISAIAH’S CITY AND THE SERVANT</w:t>
      </w:r>
    </w:p>
    <w:bookmarkStart w:id="53" w:name="the-faithful-city-becomes-a-harlot"/>
    <w:p>
      <w:pPr>
        <w:pStyle w:val="Heading2"/>
      </w:pPr>
      <w:r>
        <w:t xml:space="preserve">The Faithful City Becomes a Harlot</w:t>
      </w:r>
    </w:p>
    <w:p>
      <w:pPr>
        <w:pStyle w:val="FirstParagraph"/>
      </w:pPr>
      <w:r>
        <w:t xml:space="preserve">Isaiah 1:21 laments that the faithful city has become a harlot. Righteousness once lodged in her, but now murderers, corrupt rulers, bribes, and neglect of the vulnerable define public life. The city’s apostasy is covenantal adultery, a category Revelation later applies to Babylon.</w:t>
      </w:r>
    </w:p>
    <w:p>
      <w:pPr>
        <w:pStyle w:val="BodyText"/>
      </w:pPr>
      <w:r>
        <w:t xml:space="preserve">God promises to turn his hand against the city, smelt away dross, restore judges, and again call her the city of righteousness. Redemption includes purification of public justice. Zion is redeemed by justice and her repentant ones by righteousness; rebels and sinners are shattered.</w:t>
      </w:r>
    </w:p>
    <w:bookmarkEnd w:id="53"/>
    <w:bookmarkStart w:id="54" w:name="the-mountain-above-the-nations"/>
    <w:p>
      <w:pPr>
        <w:pStyle w:val="Heading2"/>
      </w:pPr>
      <w:r>
        <w:t xml:space="preserve">The Mountain above the Nations</w:t>
      </w:r>
    </w:p>
    <w:p>
      <w:pPr>
        <w:pStyle w:val="FirstParagraph"/>
      </w:pPr>
      <w:r>
        <w:t xml:space="preserve">Isaiah 2 envisions the mountain of the LORD’s house established above the mountains. Nations stream upward, seeking instruction, and God’s law goes out from Zion. The result is adjudicated peace: swords become plowshares because God judges among peoples.</w:t>
      </w:r>
    </w:p>
    <w:p>
      <w:pPr>
        <w:pStyle w:val="BodyText"/>
      </w:pPr>
      <w:r>
        <w:t xml:space="preserve">This is the opposite of Babel’s mountain-city. At Babel humanity gathers around its own monumental ascent and one name. At Zion the nations freely come to receive God’s word, retain their identity as nations, and learn peace under his judgment.</w:t>
      </w:r>
    </w:p>
    <w:bookmarkEnd w:id="54"/>
    <w:bookmarkStart w:id="55" w:name="two-women-and-two-cities-in-isaiah"/>
    <w:p>
      <w:pPr>
        <w:pStyle w:val="Heading2"/>
      </w:pPr>
      <w:r>
        <w:t xml:space="preserve">Two Women and Two Cities in Isaiah</w:t>
      </w:r>
    </w:p>
    <w:p>
      <w:pPr>
        <w:pStyle w:val="FirstParagraph"/>
      </w:pPr>
      <w:r>
        <w:t xml:space="preserve">Isaiah 47 depicts virgin daughter Babylon descending from throne to dust. She trusted sorceries, luxury, and the thought,</w:t>
      </w:r>
      <w:r>
        <w:t xml:space="preserve"> </w:t>
      </w:r>
      <w:r>
        <w:t xml:space="preserve">“</w:t>
      </w:r>
      <w:r>
        <w:t xml:space="preserve">I am, and there is no one besides me.</w:t>
      </w:r>
      <w:r>
        <w:t xml:space="preserve">”</w:t>
      </w:r>
      <w:r>
        <w:t xml:space="preserve"> </w:t>
      </w:r>
      <w:r>
        <w:t xml:space="preserve">This parody of divine uniqueness reveals imperial self-deification. Her merchants and astrologers cannot save her.</w:t>
      </w:r>
    </w:p>
    <w:p>
      <w:pPr>
        <w:pStyle w:val="BodyText"/>
      </w:pPr>
      <w:r>
        <w:t xml:space="preserve">Isaiah 54 addresses barren, afflicted Zion and commands her to sing because God will enlarge her family, restore her compassionately, and establish her in righteousness. Babylon boasts while secure and becomes childless; Zion appears desolate and receives children by promise. Revelation’s prostitute and bride develop this prophetic contrast.</w:t>
      </w:r>
    </w:p>
    <w:bookmarkEnd w:id="55"/>
    <w:bookmarkStart w:id="56" w:name="the-servant-creates-zions-future"/>
    <w:p>
      <w:pPr>
        <w:pStyle w:val="Heading2"/>
      </w:pPr>
      <w:r>
        <w:t xml:space="preserve">The Servant Creates Zion’s Future</w:t>
      </w:r>
    </w:p>
    <w:p>
      <w:pPr>
        <w:pStyle w:val="FirstParagraph"/>
      </w:pPr>
      <w:r>
        <w:t xml:space="preserve">Isaiah’s city hope cannot be detached from the Servant. He bears the sins of many, justifies many, and brings peace through chastisement. Zion’s children and worldwide enlargement follow his suffering. The restored city is populated by people redeemed through substitution, not citizens vindicated by national innocence.</w:t>
      </w:r>
    </w:p>
    <w:bookmarkEnd w:id="56"/>
    <w:bookmarkEnd w:id="57"/>
    <w:bookmarkStart w:id="61" w:name="X2fdf78ca85e00fac0b42e7efa1e859d86302302"/>
    <w:p>
      <w:pPr>
        <w:pStyle w:val="Heading1"/>
      </w:pPr>
      <w:r>
        <w:t xml:space="preserve">SECTION 19: DANIEL AND THE SUCCESSION OF BEASTLY CITIES</w:t>
      </w:r>
    </w:p>
    <w:bookmarkStart w:id="58" w:name="the-statue-and-the-stone"/>
    <w:p>
      <w:pPr>
        <w:pStyle w:val="Heading2"/>
      </w:pPr>
      <w:r>
        <w:t xml:space="preserve">The Statue and the Stone</w:t>
      </w:r>
    </w:p>
    <w:p>
      <w:pPr>
        <w:pStyle w:val="FirstParagraph"/>
      </w:pPr>
      <w:r>
        <w:t xml:space="preserve">Daniel 2 portrays successive empires as a dazzling statue composed of diminishing materials. A stone cut without human hands strikes the image, reduces it to chaff, and becomes a mountain filling the earth. Human kingdoms appear monumental yet share one fragile destiny; God’s kingdom begins in unimpressive form and becomes universal.</w:t>
      </w:r>
    </w:p>
    <w:p>
      <w:pPr>
        <w:pStyle w:val="BodyText"/>
      </w:pPr>
      <w:r>
        <w:t xml:space="preserve">The stone’s divine origin directly challenges Babel’s manufactured bricks. The final kingdom is not another imperial layer added to the statue. It comes from God, judges the whole idolatrous order, and fills the world.</w:t>
      </w:r>
    </w:p>
    <w:bookmarkEnd w:id="58"/>
    <w:bookmarkStart w:id="59" w:name="the-beasts-from-the-sea"/>
    <w:p>
      <w:pPr>
        <w:pStyle w:val="Heading2"/>
      </w:pPr>
      <w:r>
        <w:t xml:space="preserve">The Beasts from the Sea</w:t>
      </w:r>
    </w:p>
    <w:p>
      <w:pPr>
        <w:pStyle w:val="FirstParagraph"/>
      </w:pPr>
      <w:r>
        <w:t xml:space="preserve">Daniel 7 retells imperial history as beasts arising from the chaotic sea. From the human viewpoint empires glitter like precious metals; from heaven’s court they resemble predatory animals. The Ancient of Days judges, and one like a son of man receives everlasting dominion shared with the saints.</w:t>
      </w:r>
    </w:p>
    <w:p>
      <w:pPr>
        <w:pStyle w:val="BodyText"/>
      </w:pPr>
      <w:r>
        <w:t xml:space="preserve">Jesus’ self-designation as Son of Man claims this kingdom. His dominion differs from beasts because he receives it from the Father through suffering and vindication. Revelation later combines Daniel’s beasts with Babylon’s city to expose idolatrous empire.</w:t>
      </w:r>
    </w:p>
    <w:bookmarkEnd w:id="59"/>
    <w:bookmarkStart w:id="60" w:name="prayer-toward-jerusalem"/>
    <w:p>
      <w:pPr>
        <w:pStyle w:val="Heading2"/>
      </w:pPr>
      <w:r>
        <w:t xml:space="preserve">Prayer toward Jerusalem</w:t>
      </w:r>
    </w:p>
    <w:p>
      <w:pPr>
        <w:pStyle w:val="FirstParagraph"/>
      </w:pPr>
      <w:r>
        <w:t xml:space="preserve">Daniel opens his windows toward Jerusalem and prays despite the decree. Direction expresses covenant hope, not a belief that God is trapped geographically. His prayer in Daniel 9 confesses Israel’s sin, vindicates God’s judgment, and appeals for the city called by God’s name.</w:t>
      </w:r>
    </w:p>
    <w:p>
      <w:pPr>
        <w:pStyle w:val="BodyText"/>
      </w:pPr>
      <w:r>
        <w:t xml:space="preserve">Faithful longing for Jerusalem therefore includes repentance. Daniel does not romanticize his people or blame exile only on Babylon. The city’s restoration must be an act of mercy.</w:t>
      </w:r>
    </w:p>
    <w:bookmarkEnd w:id="60"/>
    <w:bookmarkEnd w:id="61"/>
    <w:bookmarkStart w:id="62" w:name="Xe2fedd609523fae690ef03ac0e93fa9d8433c85"/>
    <w:p>
      <w:pPr>
        <w:pStyle w:val="Heading1"/>
      </w:pPr>
      <w:r>
        <w:t xml:space="preserve">SECTION 20: GALATIANS AND THE TWO JERUSALEMS</w:t>
      </w:r>
    </w:p>
    <w:p>
      <w:pPr>
        <w:pStyle w:val="FirstParagraph"/>
      </w:pPr>
      <w:r>
        <w:t xml:space="preserve">Paul’s allegorical argument in Galatians 4 contrasts Hagar and Sarah, slavery and promise, present Jerusalem and Jerusalem above. The passage is difficult and has often been misused against Jewish people. Paul’s polemic concerns reliance upon the Mosaic covenant as a means of securing inheritance rather than receiving the promise through Christ.</w:t>
      </w:r>
    </w:p>
    <w:p>
      <w:pPr>
        <w:pStyle w:val="BodyText"/>
      </w:pPr>
      <w:r>
        <w:t xml:space="preserve">“</w:t>
      </w:r>
      <w:r>
        <w:t xml:space="preserve">Jerusalem above is free; she is our mother.</w:t>
      </w:r>
      <w:r>
        <w:t xml:space="preserve">”</w:t>
      </w:r>
      <w:r>
        <w:t xml:space="preserve"> </w:t>
      </w:r>
      <w:r>
        <w:t xml:space="preserve">The heavenly city is constituted by promise, analogous to Isaac’s supernatural birth. Physical proximity to historical Jerusalem cannot provide the freedom accomplished by Christ.</w:t>
      </w:r>
    </w:p>
    <w:p>
      <w:pPr>
        <w:pStyle w:val="BodyText"/>
      </w:pPr>
      <w:r>
        <w:t xml:space="preserve">This does not mean Old Testament Jerusalem was simply evil or that God’s promises failed. Paul himself loves his kinsmen and insists in Romans 9–11 that Gentiles must not boast. The contrast is eschatological: the old age in bondage cannot generate the inheritance; God brings the promised family through Christ and the Spirit.</w:t>
      </w:r>
    </w:p>
    <w:bookmarkEnd w:id="62"/>
    <w:bookmarkStart w:id="67" w:name="X079b7cb15047dbdf1a492326c7d4ed8ceb4a369"/>
    <w:p>
      <w:pPr>
        <w:pStyle w:val="Heading1"/>
      </w:pPr>
      <w:r>
        <w:t xml:space="preserve">SECTION 21: POLITICAL AND ECCLESIAL DISCERNMENT</w:t>
      </w:r>
    </w:p>
    <w:bookmarkStart w:id="63" w:name="when-authority-becomes-beastly"/>
    <w:p>
      <w:pPr>
        <w:pStyle w:val="Heading2"/>
      </w:pPr>
      <w:r>
        <w:t xml:space="preserve">When Authority Becomes Beastly</w:t>
      </w:r>
    </w:p>
    <w:p>
      <w:pPr>
        <w:pStyle w:val="FirstParagraph"/>
      </w:pPr>
      <w:r>
        <w:t xml:space="preserve">Government becomes Babylonian when it demands ultimate allegiance, treats image and slogan as sacred, controls conscience, criminalizes faithful worship, or sacrifices persons to national glory. Revelation’s beast receives worship because political absolutism is a religious claim.</w:t>
      </w:r>
    </w:p>
    <w:p>
      <w:pPr>
        <w:pStyle w:val="BodyText"/>
      </w:pPr>
      <w:r>
        <w:t xml:space="preserve">Resistance need not always take the same form. Daniel serves administrations, the three Hebrews refuse the image, Esther uses court access, apostles accept punishment but continue preaching, and Revelation’s martyrs conquer through faithful testimony. What remains constant is refusal to render to Caesar what belongs to God.</w:t>
      </w:r>
    </w:p>
    <w:bookmarkEnd w:id="63"/>
    <w:bookmarkStart w:id="64" w:name="when-commerce-becomes-babylonian"/>
    <w:p>
      <w:pPr>
        <w:pStyle w:val="Heading2"/>
      </w:pPr>
      <w:r>
        <w:t xml:space="preserve">When Commerce Becomes Babylonian</w:t>
      </w:r>
    </w:p>
    <w:p>
      <w:pPr>
        <w:pStyle w:val="FirstParagraph"/>
      </w:pPr>
      <w:r>
        <w:t xml:space="preserve">Revelation 18 condemns not exchange itself but luxury sustained by exploitation, complicity with idolatrous power, and commodification of human beings. Christian economic ethics must ask not merely whether a transaction is legal or profitable, but whose suffering is hidden inside the price.</w:t>
      </w:r>
    </w:p>
    <w:p>
      <w:pPr>
        <w:pStyle w:val="BodyText"/>
      </w:pPr>
      <w:r>
        <w:t xml:space="preserve">The church bears an alternative economy through generosity, honest labor, care for the poor, refusal of partiality, and the Lord’s Table where status cannot determine access. These practices do not construct the New Jerusalem, but they witness to its coming order.</w:t>
      </w:r>
    </w:p>
    <w:bookmarkEnd w:id="64"/>
    <w:bookmarkStart w:id="65" w:name="when-the-church-builds-babel"/>
    <w:p>
      <w:pPr>
        <w:pStyle w:val="Heading2"/>
      </w:pPr>
      <w:r>
        <w:t xml:space="preserve">When the Church Builds Babel</w:t>
      </w:r>
    </w:p>
    <w:p>
      <w:pPr>
        <w:pStyle w:val="FirstParagraph"/>
      </w:pPr>
      <w:r>
        <w:t xml:space="preserve">Churches build Babel whenever unity is achieved through coercive silence rather than truth, leaders make a name rather than exalt Christ, growth becomes a monument to institutional survival, or vulnerable people are treated as expendable material. Religious branding can reproduce Genesis 11 while speaking Christian words.</w:t>
      </w:r>
    </w:p>
    <w:p>
      <w:pPr>
        <w:pStyle w:val="BodyText"/>
      </w:pPr>
      <w:r>
        <w:t xml:space="preserve">A faithful church receives its name from Christ, treats gifts as service, practices correction, protects the weak, welcomes the nations, and measures greatness by the cross. Its unity is Spirit-created communion in truth, not managed sameness.</w:t>
      </w:r>
    </w:p>
    <w:bookmarkEnd w:id="65"/>
    <w:bookmarkStart w:id="66" w:name="grief-hope-and-public-faithfulness"/>
    <w:p>
      <w:pPr>
        <w:pStyle w:val="Heading2"/>
      </w:pPr>
      <w:r>
        <w:t xml:space="preserve">Grief, Hope, and Public Faithfulness</w:t>
      </w:r>
    </w:p>
    <w:p>
      <w:pPr>
        <w:pStyle w:val="FirstParagraph"/>
      </w:pPr>
      <w:r>
        <w:t xml:space="preserve">Citizens of the heavenly city are permitted to grieve the corruption or loss of earthly cities they love. Jeremiah weeps for Jerusalem; exiles mourn Zion; Jesus weeps over the city. Pilgrim detachment is not emotional indifference.</w:t>
      </w:r>
    </w:p>
    <w:p>
      <w:pPr>
        <w:pStyle w:val="BodyText"/>
      </w:pPr>
      <w:r>
        <w:t xml:space="preserve">Hope prevents grief from becoming idolatrous despair. No election, institution, nation, or civilization bears the weight of final salvation. The city with foundations remains secure because its builder is God.</w:t>
      </w:r>
    </w:p>
    <w:bookmarkEnd w:id="66"/>
    <w:bookmarkEnd w:id="67"/>
    <w:bookmarkStart w:id="73" w:name="X04967e7d4f3dff2ba97696712b71a445b7986ed"/>
    <w:p>
      <w:pPr>
        <w:pStyle w:val="Heading1"/>
      </w:pPr>
      <w:r>
        <w:t xml:space="preserve">SECTION 22: MAJOR THEOLOGICAL DISTINCTIONS</w:t>
      </w:r>
    </w:p>
    <w:bookmarkStart w:id="68" w:name="cities-are-not-inherently-evil"/>
    <w:p>
      <w:pPr>
        <w:pStyle w:val="Heading2"/>
      </w:pPr>
      <w:r>
        <w:t xml:space="preserve">Cities Are Not Inherently Evil</w:t>
      </w:r>
    </w:p>
    <w:p>
      <w:pPr>
        <w:pStyle w:val="FirstParagraph"/>
      </w:pPr>
      <w:r>
        <w:t xml:space="preserve">The Bible begins in a garden and ends in a city-garden. Architecture, government, trade, and culture are creational goods. They become Babylonian when ordered toward idolatry, domination, exploitation, and autonomous glory.</w:t>
      </w:r>
    </w:p>
    <w:bookmarkEnd w:id="68"/>
    <w:bookmarkStart w:id="69" w:name="jerusalem-is-not-automatically-faithful"/>
    <w:p>
      <w:pPr>
        <w:pStyle w:val="Heading2"/>
      </w:pPr>
      <w:r>
        <w:t xml:space="preserve">Jerusalem Is Not Automatically Faithful</w:t>
      </w:r>
    </w:p>
    <w:p>
      <w:pPr>
        <w:pStyle w:val="FirstParagraph"/>
      </w:pPr>
      <w:r>
        <w:t xml:space="preserve">Prophets call Jerusalem Sodom; Jesus judges its temple; Revelation calls the place of crucifixion Sodom and Egypt. Sacred institutions never override God’s holiness.</w:t>
      </w:r>
    </w:p>
    <w:bookmarkEnd w:id="69"/>
    <w:bookmarkStart w:id="70" w:name="separation-is-not-isolation"/>
    <w:p>
      <w:pPr>
        <w:pStyle w:val="Heading2"/>
      </w:pPr>
      <w:r>
        <w:t xml:space="preserve">Separation Is Not Isolation</w:t>
      </w:r>
    </w:p>
    <w:p>
      <w:pPr>
        <w:pStyle w:val="FirstParagraph"/>
      </w:pPr>
      <w:r>
        <w:t xml:space="preserve">Christians come out of Babylon’s sins while seeking Babylon’s temporal welfare. Holiness combines nonparticipation in idolatry with active neighbor-love.</w:t>
      </w:r>
    </w:p>
    <w:bookmarkEnd w:id="70"/>
    <w:bookmarkStart w:id="71" w:name="unity-is-not-uniformity"/>
    <w:p>
      <w:pPr>
        <w:pStyle w:val="Heading2"/>
      </w:pPr>
      <w:r>
        <w:t xml:space="preserve">Unity Is Not Uniformity</w:t>
      </w:r>
    </w:p>
    <w:p>
      <w:pPr>
        <w:pStyle w:val="FirstParagraph"/>
      </w:pPr>
      <w:r>
        <w:t xml:space="preserve">Babel’s sameness serves a self-made name. Pentecost honors multiple languages in one Gospel. New Jerusalem receives the nations’ glory. Christian unity is communion under Christ, not cultural erasure.</w:t>
      </w:r>
    </w:p>
    <w:bookmarkEnd w:id="71"/>
    <w:bookmarkStart w:id="72" w:name="patriotism-is-not-ultimate-allegiance"/>
    <w:p>
      <w:pPr>
        <w:pStyle w:val="Heading2"/>
      </w:pPr>
      <w:r>
        <w:t xml:space="preserve">Patriotism Is Not Ultimate Allegiance</w:t>
      </w:r>
    </w:p>
    <w:p>
      <w:pPr>
        <w:pStyle w:val="FirstParagraph"/>
      </w:pPr>
      <w:r>
        <w:t xml:space="preserve">Love of place and public service may be proper. No nation is the New Jerusalem, and no political order deserves messianic trust. Heavenly citizenship relativizes every flag.</w:t>
      </w:r>
    </w:p>
    <w:bookmarkEnd w:id="72"/>
    <w:bookmarkEnd w:id="73"/>
    <w:bookmarkStart w:id="79" w:name="X3c1f7e52adad56aa7506552bc77cccb173a4f8e"/>
    <w:p>
      <w:pPr>
        <w:pStyle w:val="Heading1"/>
      </w:pPr>
      <w:r>
        <w:t xml:space="preserve">SECTION 23: SYNTHESIS AND STUDY CONCLUSIONS</w:t>
      </w:r>
    </w:p>
    <w:bookmarkStart w:id="74" w:name="the-canonical-movement"/>
    <w:p>
      <w:pPr>
        <w:pStyle w:val="Heading2"/>
      </w:pPr>
      <w:r>
        <w:t xml:space="preserve">The Canonical Movement</w:t>
      </w:r>
    </w:p>
    <w:p>
      <w:pPr>
        <w:pStyle w:val="FirstParagraph"/>
      </w:pPr>
      <w:r>
        <w:t xml:space="preserve">The story proceeds from Cain’s self-protective city to Babel’s autonomous unity; from Abraham’s pilgrimage to God’s chosen Zion; from Jerusalem’s corruption to exile in imperial Babylon; from Christ’s rejection at Jerusalem to a transnational church; and from Babylon’s final fall to Jerusalem’s gracious descent.</w:t>
      </w:r>
    </w:p>
    <w:bookmarkEnd w:id="74"/>
    <w:bookmarkStart w:id="75" w:name="two-names-and-two-loves"/>
    <w:p>
      <w:pPr>
        <w:pStyle w:val="Heading2"/>
      </w:pPr>
      <w:r>
        <w:t xml:space="preserve">Two Names and Two Loves</w:t>
      </w:r>
    </w:p>
    <w:p>
      <w:pPr>
        <w:pStyle w:val="FirstParagraph"/>
      </w:pPr>
      <w:r>
        <w:t xml:space="preserve">Babel says,</w:t>
      </w:r>
      <w:r>
        <w:t xml:space="preserve"> </w:t>
      </w:r>
      <w:r>
        <w:t xml:space="preserve">“</w:t>
      </w:r>
      <w:r>
        <w:t xml:space="preserve">Let us make a name.</w:t>
      </w:r>
      <w:r>
        <w:t xml:space="preserve">”</w:t>
      </w:r>
      <w:r>
        <w:t xml:space="preserve"> </w:t>
      </w:r>
      <w:r>
        <w:t xml:space="preserve">God tells Abram,</w:t>
      </w:r>
      <w:r>
        <w:t xml:space="preserve"> </w:t>
      </w:r>
      <w:r>
        <w:t xml:space="preserve">“</w:t>
      </w:r>
      <w:r>
        <w:t xml:space="preserve">I will make your name great.</w:t>
      </w:r>
      <w:r>
        <w:t xml:space="preserve">”</w:t>
      </w:r>
      <w:r>
        <w:t xml:space="preserve"> </w:t>
      </w:r>
      <w:r>
        <w:t xml:space="preserve">The redeemed finally bear God’s name. The earthly city manufactures identity through achievement, ancestry, nation, wealth, or power. The heavenly city receives identity through promise and union with Christ.</w:t>
      </w:r>
    </w:p>
    <w:p>
      <w:pPr>
        <w:pStyle w:val="BodyText"/>
      </w:pPr>
      <w:r>
        <w:t xml:space="preserve">Love of self becomes Babylonian when self is enthroned as the final good and God and neighbor become instruments. Love of God restores proper creaturely self-love and neighbor-love because life is received rather than seized.</w:t>
      </w:r>
    </w:p>
    <w:bookmarkEnd w:id="75"/>
    <w:bookmarkStart w:id="76" w:name="two-forms-of-power-and-economy"/>
    <w:p>
      <w:pPr>
        <w:pStyle w:val="Heading2"/>
      </w:pPr>
      <w:r>
        <w:t xml:space="preserve">Two Forms of Power and Economy</w:t>
      </w:r>
    </w:p>
    <w:p>
      <w:pPr>
        <w:pStyle w:val="FirstParagraph"/>
      </w:pPr>
      <w:r>
        <w:t xml:space="preserve">Babylon standardizes, monumentalizes, seduces, and coerces. Jesus rules through truth, service, sacrifice, resurrection, and the Spirit. The church becomes Babylonian when it pursues Christ’s ends through the beast’s methods.</w:t>
      </w:r>
    </w:p>
    <w:p>
      <w:pPr>
        <w:pStyle w:val="BodyText"/>
      </w:pPr>
      <w:r>
        <w:t xml:space="preserve">Babylon’s economy ends in trafficked persons. New Jerusalem’s river is offered freely. Ordinary markets are not abolished, but every economy is judged by whether persons become commodities and wealth becomes detached from justice.</w:t>
      </w:r>
    </w:p>
    <w:bookmarkEnd w:id="76"/>
    <w:bookmarkStart w:id="77" w:name="master-cross-reference-table"/>
    <w:p>
      <w:pPr>
        <w:pStyle w:val="Heading2"/>
      </w:pPr>
      <w:r>
        <w:t xml:space="preserve">Master Cross-Reference Table</w:t>
      </w:r>
    </w:p>
    <w:tbl>
      <w:tblPr>
        <w:tblStyle w:val="Table"/>
        <w:tblW w:type="dxa" w:w="9360"/>
        <w:tblLayout w:type="fixed"/>
        <w:tblLook w:firstRow="1" w:lastRow="0" w:firstColumn="0" w:lastColumn="0" w:noHBand="0" w:noVBand="0" w:val="0020"/>
        <w:jc w:val="start"/>
      </w:tblPr>
      <w:tblGrid>
        <w:gridCol w:w="2664"/>
        <w:gridCol w:w="6696"/>
      </w:tblGrid>
      <w:tr>
        <w:trPr>
          <w:tblHeader w:val="true"/>
          <w:tblHeader w:val="true"/>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Theme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line="240" w:lineRule="auto"/>
              <w:jc w:val="left"/>
            </w:pPr>
            <w:r>
              <w:rPr>
                <w:b/>
                <w:color w:val="1B3A5C"/>
                <w:sz w:val="18"/>
              </w:rPr>
              <w:t xml:space="preserve">Key Texts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Cain’s city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4:10–24</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Babel’s name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11:1–9</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Abram’s call</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12:1–3; Hebrews 11:8–16</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Sodom</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18–19; Ezekiel 16:49–50</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Salem and Zion</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Genesis 14; 2 Samuel 5–7; Psalm 110</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Jerusalem’s temple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1 Kings 6–8; Psalm 122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Jerusalem called Sodom</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Isaiah 1; Revelation 11:8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Temple presumption</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Jeremiah 7; Micah 3; Mark 11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Babylon as instrument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Jeremiah 25; Habakkuk 1–2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Faithful exile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Daniel 1–6; Esther; Jeremiah 29</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Babylon judged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Isaiah 13–14; Jeremiah 50–51; Daniel 5</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Zion restored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Isaiah 40; 52; 60–66; Zechariah 2; 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Jesus and Jerusalem</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Luke 13:31–35; 19:28–48; 21:5–36</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Pentecost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Acts 2:1–41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Heavenly citizenship</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Philippians 3:20–21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Authority and beast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Romans 13; Revelation 13</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Heavenly Jerusalem</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Galatians 4; Hebrews 12–13</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Church in Babylon</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1 Peter 1–2; 5:13</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Babylon the Great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Revelation 17–19</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New Jerusalem</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line="240" w:lineRule="auto"/>
              <w:jc w:val="left"/>
            </w:pPr>
            <w:r>
              <w:rPr>
                <w:color w:val="222222"/>
                <w:sz w:val="18"/>
              </w:rPr>
              <w:t xml:space="preserve">Revelation 21–22</w:t>
            </w:r>
          </w:p>
        </w:tc>
      </w:tr>
    </w:tbl>
    <w:bookmarkEnd w:id="77"/>
    <w:bookmarkStart w:id="78" w:name="final-word"/>
    <w:p>
      <w:pPr>
        <w:pStyle w:val="Heading2"/>
      </w:pPr>
      <w:r>
        <w:t xml:space="preserve">Final Word</w:t>
      </w:r>
    </w:p>
    <w:p>
      <w:pPr>
        <w:pStyle w:val="FirstParagraph"/>
      </w:pPr>
      <w:r>
        <w:t xml:space="preserve">Babel and Jerusalem are two answers to life east of Eden. Babel answers vulnerability by building upward, consolidating power, manufacturing identity, and refusing dependence. Jerusalem, at its best, witnesses that God chooses, names, dwells, atones, and establishes peace. When historical Jerusalem forgets grace, it becomes Babel in sacred clothing.</w:t>
      </w:r>
    </w:p>
    <w:p>
      <w:pPr>
        <w:pStyle w:val="BodyText"/>
      </w:pPr>
      <w:r>
        <w:t xml:space="preserve">Jesus Christ determines the final contrast. He is the rejected King crucified outside the city and the risen Lord who creates one people from the nations. His church lives among earthly cities, seeks their welfare, refuses idolatrous allegiance, and confesses that no present city is lasting.</w:t>
      </w:r>
    </w:p>
    <w:p>
      <w:pPr>
        <w:pStyle w:val="BodyText"/>
      </w:pPr>
      <w:r>
        <w:t xml:space="preserve">The final city is not humanity’s successful ascent. It descends from God. Its glory is God’s glory, its temple is God and the Lamb, its citizens bear God’s name, and its river gives life. Babylon’s tower never reaches heaven, but in New Jerusalem heaven comes to earth.</w:t>
      </w:r>
    </w:p>
    <w:bookmarkEnd w:id="78"/>
    <w:bookmarkEnd w:id="79"/>
    <w:bookmarkStart w:id="80" w:name="key-sources-and-further-reading"/>
    <w:p>
      <w:pPr>
        <w:pStyle w:val="Heading1"/>
      </w:pPr>
      <w:r>
        <w:t xml:space="preserve">KEY SOURCES AND FURTHER READING</w:t>
      </w:r>
    </w:p>
    <w:p>
      <w:pPr>
        <w:numPr>
          <w:ilvl w:val="0"/>
          <w:numId w:val="1001"/>
        </w:numPr>
        <w:pStyle w:val="Compact"/>
      </w:pPr>
      <w:r>
        <w:t xml:space="preserve">Augustine.</w:t>
      </w:r>
      <w:r>
        <w:t xml:space="preserve"> </w:t>
      </w:r>
      <w:r>
        <w:rPr>
          <w:iCs/>
          <w:i/>
        </w:rPr>
        <w:t xml:space="preserve">The City of God against the Pagans</w:t>
      </w:r>
      <w:r>
        <w:t xml:space="preserve">.</w:t>
      </w:r>
    </w:p>
    <w:p>
      <w:pPr>
        <w:numPr>
          <w:ilvl w:val="0"/>
          <w:numId w:val="1001"/>
        </w:numPr>
        <w:pStyle w:val="Compact"/>
      </w:pPr>
      <w:r>
        <w:t xml:space="preserve">Alexander, T. Desmond.</w:t>
      </w:r>
      <w:r>
        <w:t xml:space="preserve"> </w:t>
      </w:r>
      <w:r>
        <w:rPr>
          <w:iCs/>
          <w:i/>
        </w:rPr>
        <w:t xml:space="preserve">From Eden to the New Jerusalem</w:t>
      </w:r>
      <w:r>
        <w:t xml:space="preserve">.</w:t>
      </w:r>
    </w:p>
    <w:p>
      <w:pPr>
        <w:numPr>
          <w:ilvl w:val="0"/>
          <w:numId w:val="1001"/>
        </w:numPr>
        <w:pStyle w:val="Compact"/>
      </w:pPr>
      <w:r>
        <w:t xml:space="preserve">Beale, G. K.</w:t>
      </w:r>
      <w:r>
        <w:t xml:space="preserve"> </w:t>
      </w:r>
      <w:r>
        <w:rPr>
          <w:iCs/>
          <w:i/>
        </w:rPr>
        <w:t xml:space="preserve">The Temple and the Church’s Mission</w:t>
      </w:r>
      <w:r>
        <w:t xml:space="preserve">.</w:t>
      </w:r>
    </w:p>
    <w:p>
      <w:pPr>
        <w:numPr>
          <w:ilvl w:val="0"/>
          <w:numId w:val="1001"/>
        </w:numPr>
        <w:pStyle w:val="Compact"/>
      </w:pPr>
      <w:r>
        <w:t xml:space="preserve">Leithart, Peter J.</w:t>
      </w:r>
      <w:r>
        <w:t xml:space="preserve"> </w:t>
      </w:r>
      <w:r>
        <w:rPr>
          <w:iCs/>
          <w:i/>
        </w:rPr>
        <w:t xml:space="preserve">Between Babel and Beast</w:t>
      </w:r>
      <w:r>
        <w:t xml:space="preserve">.</w:t>
      </w:r>
    </w:p>
    <w:p>
      <w:pPr>
        <w:numPr>
          <w:ilvl w:val="0"/>
          <w:numId w:val="1001"/>
        </w:numPr>
        <w:pStyle w:val="Compact"/>
      </w:pPr>
      <w:r>
        <w:t xml:space="preserve">O’Donovan, Oliver.</w:t>
      </w:r>
      <w:r>
        <w:t xml:space="preserve"> </w:t>
      </w:r>
      <w:r>
        <w:rPr>
          <w:iCs/>
          <w:i/>
        </w:rPr>
        <w:t xml:space="preserve">The Desire of the Nations</w:t>
      </w:r>
      <w:r>
        <w:t xml:space="preserve">.</w:t>
      </w:r>
    </w:p>
    <w:p>
      <w:pPr>
        <w:numPr>
          <w:ilvl w:val="0"/>
          <w:numId w:val="1001"/>
        </w:numPr>
        <w:pStyle w:val="Compact"/>
      </w:pPr>
      <w:r>
        <w:t xml:space="preserve">Vos, Geerhardus.</w:t>
      </w:r>
      <w:r>
        <w:t xml:space="preserve"> </w:t>
      </w:r>
      <w:r>
        <w:rPr>
          <w:iCs/>
          <w:i/>
        </w:rPr>
        <w:t xml:space="preserve">The Teaching of Jesus Concerning the Kingdom of God and the Church</w:t>
      </w:r>
      <w:r>
        <w:t xml:space="preserve">.</w:t>
      </w:r>
    </w:p>
    <w:p>
      <w:pPr>
        <w:numPr>
          <w:ilvl w:val="0"/>
          <w:numId w:val="1001"/>
        </w:numPr>
        <w:pStyle w:val="Compact"/>
      </w:pPr>
      <w:r>
        <w:t xml:space="preserve">Wenham, Gordon J.</w:t>
      </w:r>
      <w:r>
        <w:t xml:space="preserve"> </w:t>
      </w:r>
      <w:r>
        <w:rPr>
          <w:iCs/>
          <w:i/>
        </w:rPr>
        <w:t xml:space="preserve">Genesis 1–15</w:t>
      </w:r>
      <w:r>
        <w:t xml:space="preserve">.</w:t>
      </w:r>
    </w:p>
    <w:p>
      <w:pPr>
        <w:numPr>
          <w:ilvl w:val="0"/>
          <w:numId w:val="1001"/>
        </w:numPr>
        <w:pStyle w:val="Compact"/>
      </w:pPr>
      <w:r>
        <w:t xml:space="preserve">Goldingay, John.</w:t>
      </w:r>
      <w:r>
        <w:t xml:space="preserve"> </w:t>
      </w:r>
      <w:r>
        <w:rPr>
          <w:iCs/>
          <w:i/>
        </w:rPr>
        <w:t xml:space="preserve">Daniel</w:t>
      </w:r>
      <w:r>
        <w:t xml:space="preserve">.</w:t>
      </w:r>
    </w:p>
    <w:p>
      <w:pPr>
        <w:numPr>
          <w:ilvl w:val="0"/>
          <w:numId w:val="1001"/>
        </w:numPr>
        <w:pStyle w:val="Compact"/>
      </w:pPr>
      <w:r>
        <w:t xml:space="preserve">Motyer, J. Alec.</w:t>
      </w:r>
      <w:r>
        <w:t xml:space="preserve"> </w:t>
      </w:r>
      <w:r>
        <w:rPr>
          <w:iCs/>
          <w:i/>
        </w:rPr>
        <w:t xml:space="preserve">The Prophecy of Isaiah</w:t>
      </w:r>
      <w:r>
        <w:t xml:space="preserve">.</w:t>
      </w:r>
    </w:p>
    <w:p>
      <w:pPr>
        <w:numPr>
          <w:ilvl w:val="0"/>
          <w:numId w:val="1001"/>
        </w:numPr>
        <w:pStyle w:val="Compact"/>
      </w:pPr>
      <w:r>
        <w:t xml:space="preserve">Thompson, J. A.</w:t>
      </w:r>
      <w:r>
        <w:t xml:space="preserve"> </w:t>
      </w:r>
      <w:r>
        <w:rPr>
          <w:iCs/>
          <w:i/>
        </w:rPr>
        <w:t xml:space="preserve">The Book of Jeremiah</w:t>
      </w:r>
      <w:r>
        <w:t xml:space="preserve">.</w:t>
      </w:r>
    </w:p>
    <w:p>
      <w:pPr>
        <w:numPr>
          <w:ilvl w:val="0"/>
          <w:numId w:val="1001"/>
        </w:numPr>
        <w:pStyle w:val="Compact"/>
      </w:pPr>
      <w:r>
        <w:t xml:space="preserve">Koester, Craig R.</w:t>
      </w:r>
      <w:r>
        <w:t xml:space="preserve"> </w:t>
      </w:r>
      <w:r>
        <w:rPr>
          <w:iCs/>
          <w:i/>
        </w:rPr>
        <w:t xml:space="preserve">Hebrews</w:t>
      </w:r>
      <w:r>
        <w:t xml:space="preserve">.</w:t>
      </w:r>
    </w:p>
    <w:p>
      <w:pPr>
        <w:numPr>
          <w:ilvl w:val="0"/>
          <w:numId w:val="1001"/>
        </w:numPr>
        <w:pStyle w:val="Compact"/>
      </w:pPr>
      <w:r>
        <w:t xml:space="preserve">Beale, G. K.</w:t>
      </w:r>
      <w:r>
        <w:t xml:space="preserve"> </w:t>
      </w:r>
      <w:r>
        <w:rPr>
          <w:iCs/>
          <w:i/>
        </w:rPr>
        <w:t xml:space="preserve">The Book of Revelation</w:t>
      </w:r>
      <w:r>
        <w:t xml:space="preserve">.</w:t>
      </w:r>
    </w:p>
    <w:bookmarkEnd w:id="80"/>
    <w:sectPr w:rsidR="00435C62">
      <w:headerReference r:id="rId9" w:type="default"/>
      <w:footerReference r:id="rId10" w:type="default"/>
      <w:pgSz w:h="15840" w:w="12240"/>
      <w:pgMar w:bottom="1440" w:footer="708" w:gutter="0" w:header="708"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CC1" w14:textId="77777777" w:rsidR="00435C62" w:rsidRDefault="00DA0FB7">
    <w:pPr>
      <w:jc w:val="center"/>
    </w:pPr>
    <w:r>
      <w:rPr>
        <w:b w:val="0"/>
        <w:color w:val="5A5A5A"/>
        <w:sz w:val="18"/>
      </w:rPr>
      <w:t xml:space="preserve">Page </w:t>
    </w:r>
    <w:r>
      <w:rPr>
        <w:b w:val="0"/>
        <w:color w:val="5A5A5A"/>
        <w:sz w:val="18"/>
      </w:rPr>
      <w:fldChar w:fldCharType="begin"/>
      <w:instrText xml:space="preserve">PAGE</w:instrText>
      <w:fldChar w:fldCharType="separate"/>
      <w:t>1</w:t>
      <w:fldChar w:fldCharType="end"/>
    </w:r>
    <w:r>
      <w:rPr>
        <w:b w:val="0"/>
        <w:color w:val="5A5A5A"/>
        <w:sz w:val="18"/>
      </w:rPr>
      <w:t xml:space="preserve"> of </w:t>
    </w:r>
    <w:r>
      <w:rPr>
        <w:b w:val="0"/>
        <w:color w:val="5A5A5A"/>
        <w:sz w:val="18"/>
      </w:rPr>
      <w:fldChar w:fldCharType="begin"/>
      <w:instrText xml:space="preserve">NUMPAGES</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96A0" w14:textId="77777777" w:rsidR="00435C62" w:rsidRDefault="00DA0FB7">
    <w:pPr>
      <w:jc w:val="center"/>
    </w:pPr>
    <w:r>
      <w:rPr>
        <w:b w:val="0"/>
        <w:color w:val="5A5A5A"/>
        <w:sz w:val="18"/>
      </w:rPr>
      <w:t>The Two Cities: Babel and Jerusalem — Biblical-Theological Study</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900493E"/>
    <w:multiLevelType w:val="hybridMultilevel"/>
    <w:tmpl w:val="0FD85242"/>
    <w:lvl w:ilvl="0" w:tplc="4642E90A">
      <w:start w:val="1"/>
      <w:numFmt w:val="bullet"/>
      <w:lvlText w:val="●"/>
      <w:lvlJc w:val="left"/>
      <w:pPr>
        <w:ind w:hanging="360" w:left="720"/>
      </w:pPr>
    </w:lvl>
    <w:lvl w:ilvl="1" w:tplc="C22EE7E2">
      <w:start w:val="1"/>
      <w:numFmt w:val="bullet"/>
      <w:lvlText w:val="○"/>
      <w:lvlJc w:val="left"/>
      <w:pPr>
        <w:ind w:hanging="360" w:left="1440"/>
      </w:pPr>
    </w:lvl>
    <w:lvl w:ilvl="2" w:tplc="52DAF5EE">
      <w:start w:val="1"/>
      <w:numFmt w:val="bullet"/>
      <w:lvlText w:val="■"/>
      <w:lvlJc w:val="left"/>
      <w:pPr>
        <w:ind w:hanging="360" w:left="2160"/>
      </w:pPr>
    </w:lvl>
    <w:lvl w:ilvl="3" w:tplc="34308A82">
      <w:start w:val="1"/>
      <w:numFmt w:val="bullet"/>
      <w:lvlText w:val="●"/>
      <w:lvlJc w:val="left"/>
      <w:pPr>
        <w:ind w:hanging="360" w:left="2880"/>
      </w:pPr>
    </w:lvl>
    <w:lvl w:ilvl="4" w:tplc="2F08CAD6">
      <w:start w:val="1"/>
      <w:numFmt w:val="bullet"/>
      <w:lvlText w:val="○"/>
      <w:lvlJc w:val="left"/>
      <w:pPr>
        <w:ind w:hanging="360" w:left="3600"/>
      </w:pPr>
    </w:lvl>
    <w:lvl w:ilvl="5" w:tplc="2EAC0598">
      <w:start w:val="1"/>
      <w:numFmt w:val="bullet"/>
      <w:lvlText w:val="■"/>
      <w:lvlJc w:val="left"/>
      <w:pPr>
        <w:ind w:hanging="360" w:left="4320"/>
      </w:pPr>
    </w:lvl>
    <w:lvl w:ilvl="6" w:tplc="07B85D42">
      <w:start w:val="1"/>
      <w:numFmt w:val="bullet"/>
      <w:lvlText w:val="●"/>
      <w:lvlJc w:val="left"/>
      <w:pPr>
        <w:ind w:hanging="360" w:left="5040"/>
      </w:pPr>
    </w:lvl>
    <w:lvl w:ilvl="7" w:tplc="143C9B38">
      <w:start w:val="1"/>
      <w:numFmt w:val="bullet"/>
      <w:lvlText w:val="●"/>
      <w:lvlJc w:val="left"/>
      <w:pPr>
        <w:ind w:hanging="360" w:left="5760"/>
      </w:pPr>
    </w:lvl>
    <w:lvl w:ilvl="8" w:tplc="35E28D48">
      <w:start w:val="1"/>
      <w:numFmt w:val="bullet"/>
      <w:lvlText w:val="●"/>
      <w:lvlJc w:val="left"/>
      <w:pPr>
        <w:ind w:hanging="360" w:left="6480"/>
      </w:pPr>
    </w:lvl>
  </w:abstractNum>
  <w:abstractNum w15:restartNumberingAfterBreak="0" w:abstractNumId="1">
    <w:nsid w:val="584C3437"/>
    <w:multiLevelType w:val="hybridMultilevel"/>
    <w:tmpl w:val="D1CC3DC2"/>
    <w:lvl w:ilvl="0" w:tplc="C7045D46">
      <w:start w:val="1"/>
      <w:numFmt w:val="bullet"/>
      <w:lvlText w:val="•"/>
      <w:lvlJc w:val="left"/>
      <w:pPr>
        <w:ind w:hanging="360" w:left="720"/>
      </w:pPr>
    </w:lvl>
    <w:lvl w:ilvl="1" w:tplc="BFD25C1E">
      <w:numFmt w:val="decimal"/>
      <w:lvlText w:val=""/>
      <w:lvlJc w:val="left"/>
    </w:lvl>
    <w:lvl w:ilvl="2" w:tplc="68AA9CB8">
      <w:numFmt w:val="decimal"/>
      <w:lvlText w:val=""/>
      <w:lvlJc w:val="left"/>
    </w:lvl>
    <w:lvl w:ilvl="3" w:tplc="C004E058">
      <w:numFmt w:val="decimal"/>
      <w:lvlText w:val=""/>
      <w:lvlJc w:val="left"/>
    </w:lvl>
    <w:lvl w:ilvl="4" w:tplc="22A094D4">
      <w:numFmt w:val="decimal"/>
      <w:lvlText w:val=""/>
      <w:lvlJc w:val="left"/>
    </w:lvl>
    <w:lvl w:ilvl="5" w:tplc="F9446BF4">
      <w:numFmt w:val="decimal"/>
      <w:lvlText w:val=""/>
      <w:lvlJc w:val="left"/>
    </w:lvl>
    <w:lvl w:ilvl="6" w:tplc="FEE09524">
      <w:numFmt w:val="decimal"/>
      <w:lvlText w:val=""/>
      <w:lvlJc w:val="left"/>
    </w:lvl>
    <w:lvl w:ilvl="7" w:tplc="F06021A0">
      <w:numFmt w:val="decimal"/>
      <w:lvlText w:val=""/>
      <w:lvlJc w:val="left"/>
    </w:lvl>
    <w:lvl w:ilvl="8" w:tplc="664CD4A4">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16cid:durableId="21056409" w:numId="1">
    <w:abstractNumId w:val="0"/>
    <w:lvlOverride w:ilvl="0">
      <w:startOverride w:val="1"/>
    </w:lvlOverride>
  </w:num>
  <w:num w16cid:durableId="255097156" w:numId="2">
    <w:abstractNumId w:val="1"/>
    <w:lvlOverride w:ilvl="0">
      <w:startOverride w:val="1"/>
    </w:lvlOverride>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00"/>
  <w:proofState w:grammar="clean"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cs="Calibri" w:eastAsia="Calibri" w:hAnsi="Calibri"/>
        <w:color w:val="1A1A1A"/>
        <w:sz w:val="22"/>
        <w:szCs w:val="22"/>
        <w:lang w:bidi="ar-SA" w:eastAsia="en-US" w:val="en-US"/>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pPr>
      <w:spacing w:line="372" w:lineRule="auto" w:after="160"/>
    </w:pPr>
    <w:rPr>
      <w:sz w:val="28"/>
    </w:rPr>
  </w:style>
  <w:style w:styleId="Heading1" w:type="paragraph">
    <w:name w:val="heading 1"/>
    <w:uiPriority w:val="9"/>
    <w:qFormat/>
    <w:pPr>
      <w:spacing w:after="160" w:before="480"/>
      <w:outlineLvl w:val="0"/>
    </w:pPr>
    <w:rPr>
      <w:b/>
      <w:bCs/>
      <w:color w:val="1B3A5C"/>
      <w:sz w:val="36"/>
      <w:szCs w:val="36"/>
    </w:rPr>
  </w:style>
  <w:style w:styleId="Heading2" w:type="paragraph">
    <w:name w:val="heading 2"/>
    <w:uiPriority w:val="9"/>
    <w:unhideWhenUsed/>
    <w:qFormat/>
    <w:pPr>
      <w:spacing w:after="120" w:before="320"/>
      <w:outlineLvl w:val="1"/>
    </w:pPr>
    <w:rPr>
      <w:b/>
      <w:bCs/>
      <w:color w:val="1B3A5C"/>
      <w:sz w:val="28"/>
      <w:szCs w:val="28"/>
    </w:rPr>
  </w:style>
  <w:style w:styleId="Heading3" w:type="paragraph">
    <w:name w:val="heading 3"/>
    <w:uiPriority w:val="9"/>
    <w:unhideWhenUsed/>
    <w:qFormat/>
    <w:pPr>
      <w:spacing w:after="80" w:before="240"/>
      <w:outlineLvl w:val="2"/>
    </w:pPr>
    <w:rPr>
      <w:b/>
      <w:bCs/>
      <w:color w:val="B8860B"/>
      <w:sz w:val="24"/>
      <w:szCs w:val="24"/>
    </w:rPr>
  </w:style>
  <w:style w:styleId="Heading4" w:type="paragraph">
    <w:name w:val="heading 4"/>
    <w:uiPriority w:val="9"/>
    <w:semiHidden/>
    <w:unhideWhenUsed/>
    <w:qFormat/>
    <w:pPr>
      <w:outlineLvl w:val="3"/>
    </w:pPr>
    <w:rPr>
      <w:i/>
      <w:iCs/>
      <w:color w:val="2E74B5"/>
    </w:rPr>
  </w:style>
  <w:style w:styleId="Heading5" w:type="paragraph">
    <w:name w:val="heading 5"/>
    <w:uiPriority w:val="9"/>
    <w:semiHidden/>
    <w:unhideWhenUsed/>
    <w:qFormat/>
    <w:pPr>
      <w:outlineLvl w:val="4"/>
    </w:pPr>
    <w:rPr>
      <w:color w:val="2E74B5"/>
    </w:rPr>
  </w:style>
  <w:style w:styleId="Heading6" w:type="paragraph">
    <w:name w:val="heading 6"/>
    <w:uiPriority w:val="9"/>
    <w:semiHidden/>
    <w:unhideWhenUsed/>
    <w:qFormat/>
    <w:pPr>
      <w:outlineLvl w:val="5"/>
    </w:pPr>
    <w:rPr>
      <w:color w:val="1F4D78"/>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Title" w:type="paragraph">
    <w:name w:val="Title"/>
    <w:uiPriority w:val="10"/>
    <w:qFormat/>
    <w:rPr>
      <w:sz w:val="56"/>
      <w:szCs w:val="56"/>
    </w:rPr>
  </w:style>
  <w:style w:customStyle="1" w:styleId="Strong1" w:type="paragraph">
    <w:name w:val="Strong1"/>
    <w:qFormat/>
    <w:rPr>
      <w:b/>
      <w:bCs/>
    </w:rPr>
  </w:style>
  <w:style w:styleId="ListParagraph" w:type="paragraph">
    <w:name w:val="List Paragraph"/>
    <w:qFormat/>
  </w:style>
  <w:style w:styleId="Hyperlink" w:type="character">
    <w:name w:val="Hyperlink"/>
    <w:uiPriority w:val="99"/>
    <w:unhideWhenUsed/>
    <w:rPr>
      <w:color w:val="0563C1"/>
      <w:u w:val="single"/>
    </w:rPr>
  </w:style>
  <w:style w:styleId="FootnoteReference" w:type="character">
    <w:name w:val="footnote reference"/>
    <w:uiPriority w:val="99"/>
    <w:semiHidden/>
    <w:unhideWhenUsed/>
    <w:rPr>
      <w:vertAlign w:val="superscript"/>
    </w:rPr>
  </w:style>
  <w:style w:styleId="FootnoteText" w:type="paragraph">
    <w:name w:val="footnote text"/>
    <w:link w:val="FootnoteTextChar"/>
    <w:uiPriority w:val="99"/>
    <w:semiHidden/>
    <w:unhideWhenUsed/>
    <w:rPr>
      <w:sz w:val="20"/>
      <w:szCs w:val="20"/>
    </w:rPr>
  </w:style>
  <w:style w:customStyle="1" w:styleId="FootnoteTextChar" w:type="character">
    <w:name w:val="Footnote Text Char"/>
    <w:link w:val="FootnoteText"/>
    <w:uiPriority w:val="99"/>
    <w:semiHidden/>
    <w:unhideWhenUsed/>
    <w:rPr>
      <w:sz w:val="20"/>
      <w:szCs w:val="20"/>
    </w:rPr>
  </w:style>
  <w:style w:styleId="EndnoteReference" w:type="character">
    <w:name w:val="endnote reference"/>
    <w:uiPriority w:val="99"/>
    <w:semiHidden/>
    <w:unhideWhenUsed/>
    <w:rPr>
      <w:vertAlign w:val="superscript"/>
    </w:rPr>
  </w:style>
  <w:style w:styleId="EndnoteText" w:type="paragraph">
    <w:name w:val="endnote text"/>
    <w:link w:val="EndnoteTextChar"/>
    <w:uiPriority w:val="99"/>
    <w:semiHidden/>
    <w:unhideWhenUsed/>
    <w:rPr>
      <w:sz w:val="20"/>
      <w:szCs w:val="20"/>
    </w:rPr>
  </w:style>
  <w:style w:customStyle="1" w:styleId="EndnoteTextChar" w:type="character">
    <w:name w:val="Endnote Text Char"/>
    <w:link w:val="EndnoteText"/>
    <w:uiPriority w:val="99"/>
    <w:semiHidden/>
    <w:unhideWhenUsed/>
    <w:rPr>
      <w:sz w:val="20"/>
      <w:szCs w:val="20"/>
    </w:rPr>
  </w:style>
  <w:style w:styleId="TOC1" w:type="paragraph">
    <w:name w:val="toc 1"/>
    <w:basedOn w:val="Normal"/>
    <w:next w:val="Normal"/>
    <w:autoRedefine/>
    <w:uiPriority w:val="39"/>
    <w:unhideWhenUsed/>
    <w:rsid w:val="004B5F3A"/>
    <w:pPr>
      <w:spacing w:after="100"/>
    </w:pPr>
  </w:style>
  <w:style w:styleId="TOC2" w:type="paragraph">
    <w:name w:val="toc 2"/>
    <w:basedOn w:val="Normal"/>
    <w:next w:val="Normal"/>
    <w:autoRedefine/>
    <w:uiPriority w:val="39"/>
    <w:unhideWhenUsed/>
    <w:rsid w:val="004B5F3A"/>
    <w:pPr>
      <w:spacing w:after="100"/>
      <w:ind w:left="220"/>
    </w:pPr>
  </w:style>
  <w:style w:styleId="TOC3" w:type="paragraph">
    <w:name w:val="toc 3"/>
    <w:basedOn w:val="Normal"/>
    <w:next w:val="Normal"/>
    <w:autoRedefine/>
    <w:uiPriority w:val="39"/>
    <w:unhideWhenUsed/>
    <w:rsid w:val="004B5F3A"/>
    <w:pPr>
      <w:spacing w:after="100"/>
      <w:ind w:left="440"/>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10304</Words>
  <Characters>53298</Characters>
  <Application>Microsoft Office Word</Application>
  <DocSecurity>0</DocSecurity>
  <Lines>978</Lines>
  <Paragraphs>487</Paragraphs>
  <ScaleCrop>false</ScaleCrop>
  <Company/>
  <LinksUpToDate>false</LinksUpToDate>
  <CharactersWithSpaces>63427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Two Cities: Babel and Jerusalem: An Exhaustive Biblical-Theological Study</dc:title>
  <dc:creator/>
  <cp:keywords>Bible study, Babel, Babylon, Jerusalem, Zion, two cities, Augustine, Revelation</cp:keywords>
  <dcterms:created xsi:type="dcterms:W3CDTF">2026-09-08T18:01:49Z</dcterms:created>
  <dcterms:modified xsi:type="dcterms:W3CDTF">2026-09-08T18:01:49Z</dcterms:modified>
  <dc:subject>Babel, Babylon, Jerusalem, Zion, Christ, the church, and the New Jerusalem</dc:subject>
</cp:coreProperties>
</file>

<file path=docProps/custom.xml><?xml version="1.0" encoding="utf-8"?>
<Properties xmlns="http://schemas.openxmlformats.org/officeDocument/2006/custom-properties" xmlns:vt="http://schemas.openxmlformats.org/officeDocument/2006/docPropsVTypes"/>
</file>