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F456D" w14:textId="77777777" w:rsidR="00366E1E" w:rsidRDefault="00000000">
      <w:pPr>
        <w:pStyle w:val="Heading1"/>
      </w:pPr>
      <w:bookmarkStart w:id="0" w:name="two-families-one-world"/>
      <w:r>
        <w:t>Two Families, One World</w:t>
      </w:r>
    </w:p>
    <w:p w14:paraId="47D75E55" w14:textId="77777777" w:rsidR="00366E1E" w:rsidRDefault="00000000">
      <w:pPr>
        <w:pStyle w:val="Heading2"/>
      </w:pPr>
      <w:bookmarkStart w:id="1" w:name="X6ee682c9a94c70c59ad3f5d01b0944d4f88ab90"/>
      <w:r>
        <w:t>A Long-Form Narrative Exposition of Genesis 4:17–6:8</w:t>
      </w:r>
    </w:p>
    <w:p w14:paraId="2C4AC6C3" w14:textId="77777777" w:rsidR="00366E1E" w:rsidRDefault="00000000">
      <w:pPr>
        <w:pStyle w:val="Heading3"/>
      </w:pPr>
      <w:bookmarkStart w:id="2" w:name="X95c40f711b0832e62fddda9b0179d31d73d1f1b"/>
      <w:r>
        <w:t>The Dawn of Civilization and the War of the Two Seeds</w:t>
      </w:r>
    </w:p>
    <w:p w14:paraId="4BB7DF2F" w14:textId="77777777" w:rsidR="00366E1E" w:rsidRDefault="00000000">
      <w:pPr>
        <w:pStyle w:val="Heading4"/>
      </w:pPr>
      <w:bookmarkStart w:id="3" w:name="expanded-edition"/>
      <w:r>
        <w:t>Expanded Edition</w:t>
      </w:r>
    </w:p>
    <w:p w14:paraId="67F9FEB0" w14:textId="77777777" w:rsidR="00366E1E" w:rsidRDefault="00000000">
      <w:r>
        <w:pict w14:anchorId="6EE2C0BF">
          <v:rect id="_x0000_i1025" style="width:0;height:1.5pt" o:hralign="center" o:hrstd="t" o:hr="t"/>
        </w:pict>
      </w:r>
    </w:p>
    <w:p w14:paraId="7CACA65C" w14:textId="77777777" w:rsidR="00366E1E" w:rsidRDefault="00000000">
      <w:pPr>
        <w:pStyle w:val="Heading3"/>
      </w:pPr>
      <w:bookmarkStart w:id="4" w:name="how-this-study-is-arranged"/>
      <w:bookmarkEnd w:id="2"/>
      <w:bookmarkEnd w:id="3"/>
      <w:r>
        <w:t>How This Study Is Arranged</w:t>
      </w:r>
    </w:p>
    <w:p w14:paraId="0677245E" w14:textId="77777777" w:rsidR="00366E1E" w:rsidRDefault="00000000">
      <w:pPr>
        <w:pStyle w:val="FirstParagraph"/>
      </w:pPr>
      <w:r>
        <w:t>Parts One and Two set the stage and expose the literary architecture of the passage. Parts Three through Eight walk verse by verse through Cain’s line and the hinge at 4:25–26. Parts Nine through Fourteen work through Genesis 5 and the doorway into 6:1–8. Part Fifteen gathers the whole into a synthesis answering why the author places two lines side by side. Part Sixteen treats the hardest interpretive cruxes directly, in question-and-answer form, with the range of conservative options. Part Seventeen traces the two-seed theme forward through the rest of the canon. Part Eighteen supplies the charts, and Part Nineteen offers teaching structure, discussion questions, and application.</w:t>
      </w:r>
    </w:p>
    <w:p w14:paraId="23BAD0E3" w14:textId="77777777" w:rsidR="00366E1E" w:rsidRDefault="00000000">
      <w:pPr>
        <w:pStyle w:val="BodyText"/>
      </w:pPr>
      <w:r>
        <w:t>A note on method. Everything here is exegesis of the received Hebrew text read as historical narrative, interpreted within the analogy of faith and in conversation with the Reformed tradition — Calvin, Henry, and their modern heirs. Where conservative interpreters genuinely disagree, the disagreement is reported rather than concealed. A teacher who hides the cruxes leaves his students defenseless the first time someone raises them.</w:t>
      </w:r>
    </w:p>
    <w:p w14:paraId="50EC6AC8" w14:textId="77777777" w:rsidR="00366E1E" w:rsidRDefault="00000000">
      <w:r>
        <w:pict w14:anchorId="0C0952A1">
          <v:rect id="_x0000_i1026" style="width:0;height:1.5pt" o:hralign="center" o:hrstd="t" o:hr="t"/>
        </w:pict>
      </w:r>
    </w:p>
    <w:p w14:paraId="18C95E17" w14:textId="77777777" w:rsidR="00366E1E" w:rsidRDefault="00000000">
      <w:pPr>
        <w:pStyle w:val="Heading2"/>
      </w:pPr>
      <w:bookmarkStart w:id="5" w:name="part-one-standing-at-the-edge-of-eden"/>
      <w:bookmarkEnd w:id="1"/>
      <w:bookmarkEnd w:id="4"/>
      <w:r>
        <w:t>Part One: Standing at the Edge of Eden</w:t>
      </w:r>
    </w:p>
    <w:p w14:paraId="002B4D42" w14:textId="77777777" w:rsidR="00366E1E" w:rsidRDefault="00000000">
      <w:pPr>
        <w:pStyle w:val="FirstParagraph"/>
      </w:pPr>
      <w:r>
        <w:t>To understand Genesis 4:17 through 6:8, you have to remember where you are standing. You are outside the garden. The gate is shut. Behind you is a world where God walked with man in the cool of the day; ahead of you is a world of thorns, sweat, funerals, and a spreading stain that will eventually require a flood.</w:t>
      </w:r>
    </w:p>
    <w:p w14:paraId="183F9999" w14:textId="77777777" w:rsidR="00366E1E" w:rsidRDefault="00000000">
      <w:pPr>
        <w:pStyle w:val="BodyText"/>
      </w:pPr>
      <w:r>
        <w:t xml:space="preserve">Two chapters earlier, God had made a promise in the middle of a curse. Speaking to the serpent, He said that the woman’s offspring — her “seed” — would crush the serpent’s head, even while </w:t>
      </w:r>
      <w:r>
        <w:lastRenderedPageBreak/>
        <w:t xml:space="preserve">the serpent struck his heel (Genesis 3:15). That single sentence is the seed-plot of the whole Bible. Everything that follows in Genesis is, in one way or another, an answer to the question: </w:t>
      </w:r>
      <w:r>
        <w:rPr>
          <w:i/>
          <w:iCs/>
        </w:rPr>
        <w:t>Where is that offspring, and who is on his side?</w:t>
      </w:r>
    </w:p>
    <w:p w14:paraId="5AF43409" w14:textId="77777777" w:rsidR="00366E1E" w:rsidRDefault="00000000">
      <w:pPr>
        <w:pStyle w:val="BodyText"/>
      </w:pPr>
      <w:r>
        <w:t>Genesis 4 begins to answer that question in a way most modern readers do not expect. It does not answer with a battlefield or a throne room. It answers with two family trees.</w:t>
      </w:r>
    </w:p>
    <w:p w14:paraId="657D20FA" w14:textId="77777777" w:rsidR="00366E1E" w:rsidRDefault="00000000">
      <w:pPr>
        <w:pStyle w:val="BodyText"/>
      </w:pPr>
      <w:r>
        <w:t>That is the first thing to see, and it controls everything else in this section. Moses is not padding his book with names. He is drawing a map of the human race. As one Reformed treatment of the passage puts it, “From this point on, Genesis depicts two lines of ‘seed’ engaged in holy war” — the line of the serpent and the line of the promise (</w:t>
      </w:r>
      <w:hyperlink r:id="rId5">
        <w:r>
          <w:rPr>
            <w:rStyle w:val="Hyperlink"/>
          </w:rPr>
          <w:t>Tabletalk Magazine</w:t>
        </w:r>
      </w:hyperlink>
      <w:r>
        <w:t>). Cain becomes the head of one line; Seth becomes the head of the other. The rest of Scripture is the long story of what happens when those two families live in the same world.</w:t>
      </w:r>
    </w:p>
    <w:p w14:paraId="0C6715D4" w14:textId="77777777" w:rsidR="00366E1E" w:rsidRDefault="00000000">
      <w:pPr>
        <w:pStyle w:val="BodyText"/>
      </w:pPr>
      <w:r>
        <w:t xml:space="preserve">So the question your notes rightly press — </w:t>
      </w:r>
      <w:r>
        <w:rPr>
          <w:i/>
          <w:iCs/>
        </w:rPr>
        <w:t>why does the author seem to be comparing and emphasizing two lines of men?</w:t>
      </w:r>
      <w:r>
        <w:t xml:space="preserve"> — is not a curiosity of literary style. It is the point of the passage.</w:t>
      </w:r>
    </w:p>
    <w:p w14:paraId="69BD14EB" w14:textId="77777777" w:rsidR="00366E1E" w:rsidRDefault="00000000">
      <w:pPr>
        <w:pStyle w:val="Heading3"/>
      </w:pPr>
      <w:bookmarkStart w:id="6" w:name="cain-as-adam-in-a-lower-key"/>
      <w:r>
        <w:t>Cain as Adam in a lower key</w:t>
      </w:r>
    </w:p>
    <w:p w14:paraId="15D87056" w14:textId="77777777" w:rsidR="00366E1E" w:rsidRDefault="00000000">
      <w:pPr>
        <w:pStyle w:val="FirstParagraph"/>
      </w:pPr>
      <w:r>
        <w:t>Before we reach the genealogy, notice how carefully Moses has already shaped Cain’s story as a replay of his father’s — the same plot, run again at higher intensity. Lay the two side by side:</w:t>
      </w:r>
    </w:p>
    <w:tbl>
      <w:tblPr>
        <w:tblStyle w:val="Table"/>
        <w:tblW w:w="5000" w:type="pct"/>
        <w:tblLayout w:type="fixed"/>
        <w:tblLook w:val="0020" w:firstRow="1" w:lastRow="0" w:firstColumn="0" w:lastColumn="0" w:noHBand="0" w:noVBand="0"/>
      </w:tblPr>
      <w:tblGrid>
        <w:gridCol w:w="4644"/>
        <w:gridCol w:w="4644"/>
      </w:tblGrid>
      <w:tr w:rsidR="00366E1E" w14:paraId="33647F0F"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3960" w:type="dxa"/>
          </w:tcPr>
          <w:p w14:paraId="2B5A5B7A" w14:textId="77777777" w:rsidR="00366E1E" w:rsidRDefault="00000000">
            <w:pPr>
              <w:pStyle w:val="Compact"/>
            </w:pPr>
            <w:r>
              <w:t>Adam (Genesis 3)</w:t>
            </w:r>
          </w:p>
        </w:tc>
        <w:tc>
          <w:tcPr>
            <w:tcW w:w="3960" w:type="dxa"/>
          </w:tcPr>
          <w:p w14:paraId="44740EB1" w14:textId="77777777" w:rsidR="00366E1E" w:rsidRDefault="00000000">
            <w:pPr>
              <w:pStyle w:val="Compact"/>
            </w:pPr>
            <w:r>
              <w:t>Cain (Genesis 4)</w:t>
            </w:r>
          </w:p>
        </w:tc>
      </w:tr>
      <w:tr w:rsidR="00366E1E" w14:paraId="6B94F26E" w14:textId="77777777">
        <w:tc>
          <w:tcPr>
            <w:tcW w:w="3960" w:type="dxa"/>
          </w:tcPr>
          <w:p w14:paraId="316B255D" w14:textId="77777777" w:rsidR="00366E1E" w:rsidRDefault="00000000">
            <w:pPr>
              <w:pStyle w:val="Compact"/>
            </w:pPr>
            <w:r>
              <w:t>Sinned by eating the forbidden fruit</w:t>
            </w:r>
          </w:p>
        </w:tc>
        <w:tc>
          <w:tcPr>
            <w:tcW w:w="3960" w:type="dxa"/>
          </w:tcPr>
          <w:p w14:paraId="76851C20" w14:textId="77777777" w:rsidR="00366E1E" w:rsidRDefault="00000000">
            <w:pPr>
              <w:pStyle w:val="Compact"/>
            </w:pPr>
            <w:r>
              <w:t>Murdered his brother</w:t>
            </w:r>
          </w:p>
        </w:tc>
      </w:tr>
      <w:tr w:rsidR="00366E1E" w14:paraId="06426DE8" w14:textId="77777777">
        <w:tc>
          <w:tcPr>
            <w:tcW w:w="3960" w:type="dxa"/>
          </w:tcPr>
          <w:p w14:paraId="4C255B13" w14:textId="77777777" w:rsidR="00366E1E" w:rsidRDefault="00000000">
            <w:pPr>
              <w:pStyle w:val="Compact"/>
            </w:pPr>
            <w:r>
              <w:t>God confronted him: “Where are you?”</w:t>
            </w:r>
          </w:p>
        </w:tc>
        <w:tc>
          <w:tcPr>
            <w:tcW w:w="3960" w:type="dxa"/>
          </w:tcPr>
          <w:p w14:paraId="5023BE25" w14:textId="77777777" w:rsidR="00366E1E" w:rsidRDefault="00000000">
            <w:pPr>
              <w:pStyle w:val="Compact"/>
            </w:pPr>
            <w:r>
              <w:t>God confronted him: “Where is Abel your brother?”</w:t>
            </w:r>
          </w:p>
        </w:tc>
      </w:tr>
      <w:tr w:rsidR="00366E1E" w14:paraId="19108B1B" w14:textId="77777777">
        <w:tc>
          <w:tcPr>
            <w:tcW w:w="3960" w:type="dxa"/>
          </w:tcPr>
          <w:p w14:paraId="3D7F164D" w14:textId="77777777" w:rsidR="00366E1E" w:rsidRDefault="00000000">
            <w:pPr>
              <w:pStyle w:val="Compact"/>
            </w:pPr>
            <w:r>
              <w:t>Evaded responsibility by blaming Eve</w:t>
            </w:r>
          </w:p>
        </w:tc>
        <w:tc>
          <w:tcPr>
            <w:tcW w:w="3960" w:type="dxa"/>
          </w:tcPr>
          <w:p w14:paraId="4F876A94" w14:textId="77777777" w:rsidR="00366E1E" w:rsidRDefault="00000000">
            <w:pPr>
              <w:pStyle w:val="Compact"/>
            </w:pPr>
            <w:r>
              <w:t>Evaded responsibility: “Am I my brother’s keeper?”</w:t>
            </w:r>
          </w:p>
        </w:tc>
      </w:tr>
      <w:tr w:rsidR="00366E1E" w14:paraId="2FB847AF" w14:textId="77777777">
        <w:tc>
          <w:tcPr>
            <w:tcW w:w="3960" w:type="dxa"/>
          </w:tcPr>
          <w:p w14:paraId="2AB54E65" w14:textId="77777777" w:rsidR="00366E1E" w:rsidRDefault="00000000">
            <w:pPr>
              <w:pStyle w:val="Compact"/>
            </w:pPr>
            <w:r>
              <w:t>Cursed ground, painful toil</w:t>
            </w:r>
          </w:p>
        </w:tc>
        <w:tc>
          <w:tcPr>
            <w:tcW w:w="3960" w:type="dxa"/>
          </w:tcPr>
          <w:p w14:paraId="088D4C64" w14:textId="77777777" w:rsidR="00366E1E" w:rsidRDefault="00000000">
            <w:pPr>
              <w:pStyle w:val="Compact"/>
            </w:pPr>
            <w:r>
              <w:t xml:space="preserve">Cursed </w:t>
            </w:r>
            <w:r>
              <w:rPr>
                <w:i/>
                <w:iCs/>
              </w:rPr>
              <w:t>from</w:t>
            </w:r>
            <w:r>
              <w:t xml:space="preserve"> the ground, which would no longer yield to him</w:t>
            </w:r>
          </w:p>
        </w:tc>
      </w:tr>
      <w:tr w:rsidR="00366E1E" w14:paraId="2D646B79" w14:textId="77777777">
        <w:tc>
          <w:tcPr>
            <w:tcW w:w="3960" w:type="dxa"/>
          </w:tcPr>
          <w:p w14:paraId="4BA2D69F" w14:textId="77777777" w:rsidR="00366E1E" w:rsidRDefault="00000000">
            <w:pPr>
              <w:pStyle w:val="Compact"/>
            </w:pPr>
            <w:r>
              <w:t>Driven out of Eden, eastward</w:t>
            </w:r>
          </w:p>
        </w:tc>
        <w:tc>
          <w:tcPr>
            <w:tcW w:w="3960" w:type="dxa"/>
          </w:tcPr>
          <w:p w14:paraId="411067A1" w14:textId="77777777" w:rsidR="00366E1E" w:rsidRDefault="00000000">
            <w:pPr>
              <w:pStyle w:val="Compact"/>
            </w:pPr>
            <w:r>
              <w:t>Driven from the ground and from God’s presence, farther east</w:t>
            </w:r>
          </w:p>
        </w:tc>
      </w:tr>
      <w:tr w:rsidR="00366E1E" w14:paraId="2AFA86DF" w14:textId="77777777">
        <w:tc>
          <w:tcPr>
            <w:tcW w:w="3960" w:type="dxa"/>
          </w:tcPr>
          <w:p w14:paraId="007BCE96" w14:textId="77777777" w:rsidR="00366E1E" w:rsidRDefault="00000000">
            <w:pPr>
              <w:pStyle w:val="Compact"/>
            </w:pPr>
            <w:r>
              <w:t>Sin introduced death into the world</w:t>
            </w:r>
          </w:p>
        </w:tc>
        <w:tc>
          <w:tcPr>
            <w:tcW w:w="3960" w:type="dxa"/>
          </w:tcPr>
          <w:p w14:paraId="28B10ADD" w14:textId="77777777" w:rsidR="00366E1E" w:rsidRDefault="00000000">
            <w:pPr>
              <w:pStyle w:val="Compact"/>
            </w:pPr>
            <w:r>
              <w:t>Personally inflicted death on another human being</w:t>
            </w:r>
          </w:p>
        </w:tc>
      </w:tr>
      <w:tr w:rsidR="00366E1E" w14:paraId="4D77384B" w14:textId="77777777">
        <w:tc>
          <w:tcPr>
            <w:tcW w:w="3960" w:type="dxa"/>
          </w:tcPr>
          <w:p w14:paraId="6814DC08" w14:textId="77777777" w:rsidR="00366E1E" w:rsidRDefault="00000000">
            <w:pPr>
              <w:pStyle w:val="Compact"/>
            </w:pPr>
            <w:r>
              <w:t>Received a covering of skins</w:t>
            </w:r>
          </w:p>
        </w:tc>
        <w:tc>
          <w:tcPr>
            <w:tcW w:w="3960" w:type="dxa"/>
          </w:tcPr>
          <w:p w14:paraId="034A1E40" w14:textId="77777777" w:rsidR="00366E1E" w:rsidRDefault="00000000">
            <w:pPr>
              <w:pStyle w:val="Compact"/>
            </w:pPr>
            <w:r>
              <w:t>Received a protective mark</w:t>
            </w:r>
          </w:p>
        </w:tc>
      </w:tr>
    </w:tbl>
    <w:p w14:paraId="71B7742E" w14:textId="77777777" w:rsidR="00366E1E" w:rsidRDefault="00000000">
      <w:pPr>
        <w:pStyle w:val="BodyText"/>
      </w:pPr>
      <w:r>
        <w:lastRenderedPageBreak/>
        <w:t>This is not coincidence; it is narrative craft. Each generation reproduces the parental pattern and deepens it. Adam hid; Cain lied to God’s face. Adam brought death in; Cain handed it out. And in both cases judgment is mixed with mercy — skins for Adam, a mark for Cain.</w:t>
      </w:r>
    </w:p>
    <w:p w14:paraId="25F0FEE0" w14:textId="77777777" w:rsidR="00366E1E" w:rsidRDefault="00000000">
      <w:pPr>
        <w:pStyle w:val="BodyText"/>
      </w:pPr>
      <w:r>
        <w:t xml:space="preserve">The pattern matters for our question, because it establishes the principle that governs both genealogies: </w:t>
      </w:r>
      <w:r>
        <w:rPr>
          <w:b/>
          <w:bCs/>
        </w:rPr>
        <w:t>children inherit their parents’ trajectory and then extend it.</w:t>
      </w:r>
      <w:r>
        <w:t xml:space="preserve"> That is why the seventh generation is so revealing in each line. The direction set at the head of a family tends to be amplified at its branches.</w:t>
      </w:r>
    </w:p>
    <w:p w14:paraId="296E9C16" w14:textId="77777777" w:rsidR="00366E1E" w:rsidRDefault="00000000">
      <w:pPr>
        <w:pStyle w:val="Heading3"/>
      </w:pPr>
      <w:bookmarkStart w:id="7" w:name="why-eastward-matters"/>
      <w:bookmarkEnd w:id="6"/>
      <w:r>
        <w:t>Why “eastward” matters</w:t>
      </w:r>
    </w:p>
    <w:p w14:paraId="1366C120" w14:textId="77777777" w:rsidR="00366E1E" w:rsidRDefault="00000000">
      <w:pPr>
        <w:pStyle w:val="FirstParagraph"/>
      </w:pPr>
      <w:r>
        <w:t>Genesis has a geography of the heart. Movement eastward, away from the sanctuary, repeatedly signals increasing distance from God:</w:t>
      </w:r>
    </w:p>
    <w:p w14:paraId="680BA6E3" w14:textId="77777777" w:rsidR="00366E1E" w:rsidRDefault="00000000">
      <w:pPr>
        <w:pStyle w:val="Compact"/>
        <w:numPr>
          <w:ilvl w:val="0"/>
          <w:numId w:val="2"/>
        </w:numPr>
      </w:pPr>
      <w:r>
        <w:t>Adam and Eve are driven out, and cherubim guard Eden “at the east” (Genesis 3:24).</w:t>
      </w:r>
    </w:p>
    <w:p w14:paraId="220E507F" w14:textId="77777777" w:rsidR="00366E1E" w:rsidRDefault="00000000">
      <w:pPr>
        <w:pStyle w:val="Compact"/>
        <w:numPr>
          <w:ilvl w:val="0"/>
          <w:numId w:val="2"/>
        </w:numPr>
      </w:pPr>
      <w:r>
        <w:t>Cain settles east of Eden, in Nod (4:16).</w:t>
      </w:r>
    </w:p>
    <w:p w14:paraId="1A32DF8C" w14:textId="77777777" w:rsidR="00366E1E" w:rsidRDefault="00000000">
      <w:pPr>
        <w:pStyle w:val="Compact"/>
        <w:numPr>
          <w:ilvl w:val="0"/>
          <w:numId w:val="2"/>
        </w:numPr>
      </w:pPr>
      <w:r>
        <w:t>Lot chooses the well-watered Jordan valley and “journeyed east,” ending in Sodom (13:11–12).</w:t>
      </w:r>
    </w:p>
    <w:p w14:paraId="2CB6B54F" w14:textId="77777777" w:rsidR="00366E1E" w:rsidRDefault="00000000">
      <w:pPr>
        <w:pStyle w:val="Compact"/>
        <w:numPr>
          <w:ilvl w:val="0"/>
          <w:numId w:val="2"/>
        </w:numPr>
      </w:pPr>
      <w:r>
        <w:t>The builders of Babel migrate and settle in the plain of Shinar before building their city and tower (11:2).</w:t>
      </w:r>
    </w:p>
    <w:p w14:paraId="78565B0F" w14:textId="77777777" w:rsidR="00366E1E" w:rsidRDefault="00000000">
      <w:pPr>
        <w:pStyle w:val="Compact"/>
        <w:numPr>
          <w:ilvl w:val="0"/>
          <w:numId w:val="2"/>
        </w:numPr>
      </w:pPr>
      <w:r>
        <w:t>Later, exile itself moves eastward to Babylon, and Ezekiel watches the glory of the LORD depart the temple by the east gate (Ezekiel 10:18–19; 11:23).</w:t>
      </w:r>
    </w:p>
    <w:p w14:paraId="23F0339B" w14:textId="77777777" w:rsidR="00366E1E" w:rsidRDefault="00000000">
      <w:pPr>
        <w:pStyle w:val="FirstParagraph"/>
      </w:pPr>
      <w:r>
        <w:t xml:space="preserve">This is a literary and theological convention, not a claim that eastern real estate is intrinsically evil — Abraham, after all, comes </w:t>
      </w:r>
      <w:r>
        <w:rPr>
          <w:i/>
          <w:iCs/>
        </w:rPr>
        <w:t>from</w:t>
      </w:r>
      <w:r>
        <w:t xml:space="preserve"> the east. But when Genesis says a man went east, the reader who has been paying attention feels the temperature drop. Cain’s eastward journey is a spiritual direction rendered as a compass bearing.</w:t>
      </w:r>
    </w:p>
    <w:p w14:paraId="50F87D2D" w14:textId="77777777" w:rsidR="00366E1E" w:rsidRDefault="00000000">
      <w:pPr>
        <w:pStyle w:val="BodyText"/>
      </w:pPr>
      <w:r>
        <w:t xml:space="preserve">And one final observation before the genealogy begins. Cain lives under judgment, yet he is not annihilated. He receives protection, a wife, children, intelligence, creative ability, and a place to live. That is the doctrine Reformed theology calls </w:t>
      </w:r>
      <w:r>
        <w:rPr>
          <w:b/>
          <w:bCs/>
        </w:rPr>
        <w:t>common grace</w:t>
      </w:r>
      <w:r>
        <w:t>, and Genesis 4 is one of its clearest demonstrations. Cain remains a bearer of God’s image — morally corrupted, but not erased.</w:t>
      </w:r>
    </w:p>
    <w:p w14:paraId="67E70634" w14:textId="77777777" w:rsidR="00366E1E" w:rsidRDefault="00000000">
      <w:r>
        <w:pict w14:anchorId="5CB3AC0D">
          <v:rect id="_x0000_i1027" style="width:0;height:1.5pt" o:hralign="center" o:hrstd="t" o:hr="t"/>
        </w:pict>
      </w:r>
    </w:p>
    <w:p w14:paraId="24E5F772" w14:textId="77777777" w:rsidR="00366E1E" w:rsidRDefault="00000000">
      <w:pPr>
        <w:pStyle w:val="Heading2"/>
      </w:pPr>
      <w:bookmarkStart w:id="8" w:name="part-two-how-the-passage-is-built"/>
      <w:bookmarkEnd w:id="5"/>
      <w:bookmarkEnd w:id="7"/>
      <w:r>
        <w:lastRenderedPageBreak/>
        <w:t>Part Two: How the Passage Is Built</w:t>
      </w:r>
    </w:p>
    <w:p w14:paraId="2552A23D" w14:textId="77777777" w:rsidR="00366E1E" w:rsidRDefault="00000000">
      <w:pPr>
        <w:pStyle w:val="FirstParagraph"/>
      </w:pPr>
      <w:r>
        <w:t xml:space="preserve">Before working through the verses, it helps to see the architecture. Genesis is organized around a repeated Hebrew heading, </w:t>
      </w:r>
      <w:r>
        <w:rPr>
          <w:i/>
          <w:iCs/>
        </w:rPr>
        <w:t>toledoth</w:t>
      </w:r>
      <w:r>
        <w:t>, usually translated “these are the generations of” or “this is the account of.” It appears eleven times, and each occurrence opens a new section: Genesis 2:4; 5:1; 6:9; 10:1; 11:10, 27; 25:12, 19; 36:1, 9; 37:2. The term refers to “those who were given birth,” and each section carries genealogical information and/or narrative about the descendants of the person named in the heading (CSB Study Bible, note on 5:1).</w:t>
      </w:r>
    </w:p>
    <w:p w14:paraId="6E26BF1F" w14:textId="77777777" w:rsidR="00366E1E" w:rsidRDefault="00000000">
      <w:pPr>
        <w:pStyle w:val="BodyText"/>
      </w:pPr>
      <w:r>
        <w:t>That means our passage straddles a seam in the book:</w:t>
      </w:r>
    </w:p>
    <w:p w14:paraId="5F7EF49B" w14:textId="77777777" w:rsidR="00366E1E" w:rsidRDefault="00000000">
      <w:pPr>
        <w:pStyle w:val="Compact"/>
        <w:numPr>
          <w:ilvl w:val="0"/>
          <w:numId w:val="3"/>
        </w:numPr>
      </w:pPr>
      <w:r>
        <w:rPr>
          <w:b/>
          <w:bCs/>
        </w:rPr>
        <w:t>Genesis 4:17–26</w:t>
      </w:r>
      <w:r>
        <w:t xml:space="preserve"> belongs to the section that began at 2:4 — the account of the heavens and the earth, which has now become the account of a family unraveling.</w:t>
      </w:r>
    </w:p>
    <w:p w14:paraId="247AD153" w14:textId="77777777" w:rsidR="00366E1E" w:rsidRDefault="00000000">
      <w:pPr>
        <w:pStyle w:val="Compact"/>
        <w:numPr>
          <w:ilvl w:val="0"/>
          <w:numId w:val="3"/>
        </w:numPr>
      </w:pPr>
      <w:r>
        <w:rPr>
          <w:b/>
          <w:bCs/>
        </w:rPr>
        <w:t>Genesis 5:1–6:8</w:t>
      </w:r>
      <w:r>
        <w:t xml:space="preserve"> is a new </w:t>
      </w:r>
      <w:r>
        <w:rPr>
          <w:i/>
          <w:iCs/>
        </w:rPr>
        <w:t>toledoth</w:t>
      </w:r>
      <w:r>
        <w:t>: “the book of the generations of Adam.”</w:t>
      </w:r>
    </w:p>
    <w:p w14:paraId="16BD3007" w14:textId="77777777" w:rsidR="00366E1E" w:rsidRDefault="00000000">
      <w:pPr>
        <w:pStyle w:val="FirstParagraph"/>
      </w:pPr>
      <w:r>
        <w:t xml:space="preserve">And here is the detail that should stop a careful reader in his tracks. Cain is just as much a son of Adam as Seth is. Yet </w:t>
      </w:r>
      <w:r>
        <w:rPr>
          <w:b/>
          <w:bCs/>
        </w:rPr>
        <w:t>only Seth’s line is called “the book of the generations of Adam.”</w:t>
      </w:r>
      <w:r>
        <w:t xml:space="preserve"> The Cainite genealogy in chapter 4 gets no heading of its own; it is swept up in the tail end of the previous section. The reason for this is almost certainly the contrast between the two families — only the offspring in Seth’s line are presented as righteous (CSB Study Bible, note on 5:1). In the official family record of humanity, Cain’s branch is not the trunk. It is a limb that will be cut off in the flood.</w:t>
      </w:r>
    </w:p>
    <w:p w14:paraId="72E82BF8" w14:textId="77777777" w:rsidR="00366E1E" w:rsidRDefault="00000000">
      <w:pPr>
        <w:pStyle w:val="BodyText"/>
      </w:pPr>
      <w:r>
        <w:t>Matthew Henry noticed this centuries ago in the way the two genealogies are physically laid out on the page. Cain’s descendants are “but just mentioned,” crammed three or four to a verse, while the holy seed of Genesis 5 receives “three verses concerning each.” Cain’s line, he says, is “numbered in haste, as not valued or delighted in, in comparison with God’s chosen” (</w:t>
      </w:r>
      <w:hyperlink r:id="rId6">
        <w:r>
          <w:rPr>
            <w:rStyle w:val="Hyperlink"/>
          </w:rPr>
          <w:t>Matthew Henry, Genesis 4</w:t>
        </w:r>
      </w:hyperlink>
      <w:r>
        <w:t>). The very pacing of the text is a theological statement. God’s book lingers where God’s love rests.</w:t>
      </w:r>
    </w:p>
    <w:p w14:paraId="4FEBC879" w14:textId="77777777" w:rsidR="00366E1E" w:rsidRDefault="00000000">
      <w:pPr>
        <w:pStyle w:val="Heading3"/>
      </w:pPr>
      <w:bookmarkStart w:id="9" w:name="the-two-lists-side-by-side"/>
      <w:r>
        <w:t>The two lists, side by side</w:t>
      </w:r>
    </w:p>
    <w:p w14:paraId="23769BB5" w14:textId="77777777" w:rsidR="00366E1E" w:rsidRDefault="00000000">
      <w:pPr>
        <w:pStyle w:val="FirstParagraph"/>
      </w:pPr>
      <w:r>
        <w:t>Moses builds the two genealogies so that they rhyme. The similarities are too many to be accidental:</w:t>
      </w:r>
    </w:p>
    <w:tbl>
      <w:tblPr>
        <w:tblStyle w:val="Table"/>
        <w:tblW w:w="5000" w:type="pct"/>
        <w:tblLayout w:type="fixed"/>
        <w:tblLook w:val="0020" w:firstRow="1" w:lastRow="0" w:firstColumn="0" w:lastColumn="0" w:noHBand="0" w:noVBand="0"/>
      </w:tblPr>
      <w:tblGrid>
        <w:gridCol w:w="3096"/>
        <w:gridCol w:w="3096"/>
        <w:gridCol w:w="3096"/>
      </w:tblGrid>
      <w:tr w:rsidR="00366E1E" w14:paraId="03BC4066"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2640" w:type="dxa"/>
          </w:tcPr>
          <w:p w14:paraId="184028C0" w14:textId="77777777" w:rsidR="00366E1E" w:rsidRDefault="00000000">
            <w:pPr>
              <w:pStyle w:val="Compact"/>
            </w:pPr>
            <w:r>
              <w:t>Feature</w:t>
            </w:r>
          </w:p>
        </w:tc>
        <w:tc>
          <w:tcPr>
            <w:tcW w:w="2640" w:type="dxa"/>
          </w:tcPr>
          <w:p w14:paraId="706817DA" w14:textId="77777777" w:rsidR="00366E1E" w:rsidRDefault="00000000">
            <w:pPr>
              <w:pStyle w:val="Compact"/>
            </w:pPr>
            <w:r>
              <w:t>Cain’s line (Gen 4:17–24)</w:t>
            </w:r>
          </w:p>
        </w:tc>
        <w:tc>
          <w:tcPr>
            <w:tcW w:w="2640" w:type="dxa"/>
          </w:tcPr>
          <w:p w14:paraId="6467F8AF" w14:textId="77777777" w:rsidR="00366E1E" w:rsidRDefault="00000000">
            <w:pPr>
              <w:pStyle w:val="Compact"/>
            </w:pPr>
            <w:r>
              <w:t>Seth’s line (Gen 5:1–32)</w:t>
            </w:r>
          </w:p>
        </w:tc>
      </w:tr>
      <w:tr w:rsidR="00366E1E" w14:paraId="3496F58F" w14:textId="77777777">
        <w:tc>
          <w:tcPr>
            <w:tcW w:w="2640" w:type="dxa"/>
          </w:tcPr>
          <w:p w14:paraId="67FF2EF7" w14:textId="77777777" w:rsidR="00366E1E" w:rsidRDefault="00000000">
            <w:pPr>
              <w:pStyle w:val="Compact"/>
            </w:pPr>
            <w:r>
              <w:t>Length</w:t>
            </w:r>
          </w:p>
        </w:tc>
        <w:tc>
          <w:tcPr>
            <w:tcW w:w="2640" w:type="dxa"/>
          </w:tcPr>
          <w:p w14:paraId="43B9B67C" w14:textId="77777777" w:rsidR="00366E1E" w:rsidRDefault="00000000">
            <w:pPr>
              <w:pStyle w:val="Compact"/>
            </w:pPr>
            <w:r>
              <w:t>Seven generations from Adam</w:t>
            </w:r>
          </w:p>
        </w:tc>
        <w:tc>
          <w:tcPr>
            <w:tcW w:w="2640" w:type="dxa"/>
          </w:tcPr>
          <w:p w14:paraId="469A9D72" w14:textId="77777777" w:rsidR="00366E1E" w:rsidRDefault="00000000">
            <w:pPr>
              <w:pStyle w:val="Compact"/>
            </w:pPr>
            <w:r>
              <w:t>Ten generations from Adam</w:t>
            </w:r>
          </w:p>
        </w:tc>
      </w:tr>
      <w:tr w:rsidR="00366E1E" w14:paraId="1F78D97C" w14:textId="77777777">
        <w:tc>
          <w:tcPr>
            <w:tcW w:w="2640" w:type="dxa"/>
          </w:tcPr>
          <w:p w14:paraId="1E572BF1" w14:textId="77777777" w:rsidR="00366E1E" w:rsidRDefault="00000000">
            <w:pPr>
              <w:pStyle w:val="Compact"/>
            </w:pPr>
            <w:r>
              <w:t>Shared names</w:t>
            </w:r>
          </w:p>
        </w:tc>
        <w:tc>
          <w:tcPr>
            <w:tcW w:w="2640" w:type="dxa"/>
          </w:tcPr>
          <w:p w14:paraId="113D90D9" w14:textId="77777777" w:rsidR="00366E1E" w:rsidRDefault="00000000">
            <w:pPr>
              <w:pStyle w:val="Compact"/>
            </w:pPr>
            <w:r>
              <w:t>Enoch, Lamech</w:t>
            </w:r>
          </w:p>
        </w:tc>
        <w:tc>
          <w:tcPr>
            <w:tcW w:w="2640" w:type="dxa"/>
          </w:tcPr>
          <w:p w14:paraId="01EA9593" w14:textId="77777777" w:rsidR="00366E1E" w:rsidRDefault="00000000">
            <w:pPr>
              <w:pStyle w:val="Compact"/>
            </w:pPr>
            <w:r>
              <w:t>Enoch, Lamech</w:t>
            </w:r>
          </w:p>
        </w:tc>
      </w:tr>
      <w:tr w:rsidR="00366E1E" w14:paraId="616D6917" w14:textId="77777777">
        <w:tc>
          <w:tcPr>
            <w:tcW w:w="2640" w:type="dxa"/>
          </w:tcPr>
          <w:p w14:paraId="7A3C1C8C" w14:textId="77777777" w:rsidR="00366E1E" w:rsidRDefault="00000000">
            <w:pPr>
              <w:pStyle w:val="Compact"/>
            </w:pPr>
            <w:r>
              <w:lastRenderedPageBreak/>
              <w:t>Similar names</w:t>
            </w:r>
          </w:p>
        </w:tc>
        <w:tc>
          <w:tcPr>
            <w:tcW w:w="2640" w:type="dxa"/>
          </w:tcPr>
          <w:p w14:paraId="6F202808" w14:textId="77777777" w:rsidR="00366E1E" w:rsidRDefault="00000000">
            <w:pPr>
              <w:pStyle w:val="Compact"/>
            </w:pPr>
            <w:r>
              <w:t>Cain, Irad, Mehujael, Methushael</w:t>
            </w:r>
          </w:p>
        </w:tc>
        <w:tc>
          <w:tcPr>
            <w:tcW w:w="2640" w:type="dxa"/>
          </w:tcPr>
          <w:p w14:paraId="3FACC0CE" w14:textId="77777777" w:rsidR="00366E1E" w:rsidRDefault="00000000">
            <w:pPr>
              <w:pStyle w:val="Compact"/>
            </w:pPr>
            <w:r>
              <w:t>Kenan (“little Cain”), Jared, Mahalalel, Methuselah</w:t>
            </w:r>
          </w:p>
        </w:tc>
      </w:tr>
      <w:tr w:rsidR="00366E1E" w14:paraId="77B2722F" w14:textId="77777777">
        <w:tc>
          <w:tcPr>
            <w:tcW w:w="2640" w:type="dxa"/>
          </w:tcPr>
          <w:p w14:paraId="3D65716B" w14:textId="77777777" w:rsidR="00366E1E" w:rsidRDefault="00000000">
            <w:pPr>
              <w:pStyle w:val="Compact"/>
            </w:pPr>
            <w:r>
              <w:t>The seventh from Adam</w:t>
            </w:r>
          </w:p>
        </w:tc>
        <w:tc>
          <w:tcPr>
            <w:tcW w:w="2640" w:type="dxa"/>
          </w:tcPr>
          <w:p w14:paraId="77BCFC72" w14:textId="77777777" w:rsidR="00366E1E" w:rsidRDefault="00000000">
            <w:pPr>
              <w:pStyle w:val="Compact"/>
            </w:pPr>
            <w:r>
              <w:t>Lamech the murderer, who boasts of killing</w:t>
            </w:r>
          </w:p>
        </w:tc>
        <w:tc>
          <w:tcPr>
            <w:tcW w:w="2640" w:type="dxa"/>
          </w:tcPr>
          <w:p w14:paraId="282D94CE" w14:textId="77777777" w:rsidR="00366E1E" w:rsidRDefault="00000000">
            <w:pPr>
              <w:pStyle w:val="Compact"/>
            </w:pPr>
            <w:r>
              <w:t>Enoch, who walked with God and did not die</w:t>
            </w:r>
          </w:p>
        </w:tc>
      </w:tr>
      <w:tr w:rsidR="00366E1E" w14:paraId="09ECBF10" w14:textId="77777777">
        <w:tc>
          <w:tcPr>
            <w:tcW w:w="2640" w:type="dxa"/>
          </w:tcPr>
          <w:p w14:paraId="13D35CA1" w14:textId="77777777" w:rsidR="00366E1E" w:rsidRDefault="00000000">
            <w:pPr>
              <w:pStyle w:val="Compact"/>
            </w:pPr>
            <w:r>
              <w:t>Ends with</w:t>
            </w:r>
          </w:p>
        </w:tc>
        <w:tc>
          <w:tcPr>
            <w:tcW w:w="2640" w:type="dxa"/>
          </w:tcPr>
          <w:p w14:paraId="2E95412A" w14:textId="77777777" w:rsidR="00366E1E" w:rsidRDefault="00000000">
            <w:pPr>
              <w:pStyle w:val="Compact"/>
            </w:pPr>
            <w:r>
              <w:t>Three named sons (Jabal, Jubal, Tubal-Cain)</w:t>
            </w:r>
          </w:p>
        </w:tc>
        <w:tc>
          <w:tcPr>
            <w:tcW w:w="2640" w:type="dxa"/>
          </w:tcPr>
          <w:p w14:paraId="2EF1B656" w14:textId="77777777" w:rsidR="00366E1E" w:rsidRDefault="00000000">
            <w:pPr>
              <w:pStyle w:val="Compact"/>
            </w:pPr>
            <w:r>
              <w:t>Three named sons (Shem, Ham, Japheth)</w:t>
            </w:r>
          </w:p>
        </w:tc>
      </w:tr>
      <w:tr w:rsidR="00366E1E" w14:paraId="3CFDF9D7" w14:textId="77777777">
        <w:tc>
          <w:tcPr>
            <w:tcW w:w="2640" w:type="dxa"/>
          </w:tcPr>
          <w:p w14:paraId="5A6A76AB" w14:textId="77777777" w:rsidR="00366E1E" w:rsidRDefault="00000000">
            <w:pPr>
              <w:pStyle w:val="Compact"/>
            </w:pPr>
            <w:r>
              <w:t>Records lifespans?</w:t>
            </w:r>
          </w:p>
        </w:tc>
        <w:tc>
          <w:tcPr>
            <w:tcW w:w="2640" w:type="dxa"/>
          </w:tcPr>
          <w:p w14:paraId="41575E41" w14:textId="77777777" w:rsidR="00366E1E" w:rsidRDefault="00000000">
            <w:pPr>
              <w:pStyle w:val="Compact"/>
            </w:pPr>
            <w:r>
              <w:t>No</w:t>
            </w:r>
          </w:p>
        </w:tc>
        <w:tc>
          <w:tcPr>
            <w:tcW w:w="2640" w:type="dxa"/>
          </w:tcPr>
          <w:p w14:paraId="4FC7BF2D" w14:textId="77777777" w:rsidR="00366E1E" w:rsidRDefault="00000000">
            <w:pPr>
              <w:pStyle w:val="Compact"/>
            </w:pPr>
            <w:r>
              <w:t>Yes — every generation</w:t>
            </w:r>
          </w:p>
        </w:tc>
      </w:tr>
      <w:tr w:rsidR="00366E1E" w14:paraId="22726C1E" w14:textId="77777777">
        <w:tc>
          <w:tcPr>
            <w:tcW w:w="2640" w:type="dxa"/>
          </w:tcPr>
          <w:p w14:paraId="7666746F" w14:textId="77777777" w:rsidR="00366E1E" w:rsidRDefault="00000000">
            <w:pPr>
              <w:pStyle w:val="Compact"/>
            </w:pPr>
            <w:r>
              <w:t>Records “other sons and daughters”?</w:t>
            </w:r>
          </w:p>
        </w:tc>
        <w:tc>
          <w:tcPr>
            <w:tcW w:w="2640" w:type="dxa"/>
          </w:tcPr>
          <w:p w14:paraId="538DC387" w14:textId="77777777" w:rsidR="00366E1E" w:rsidRDefault="00000000">
            <w:pPr>
              <w:pStyle w:val="Compact"/>
            </w:pPr>
            <w:r>
              <w:t>Never</w:t>
            </w:r>
          </w:p>
        </w:tc>
        <w:tc>
          <w:tcPr>
            <w:tcW w:w="2640" w:type="dxa"/>
          </w:tcPr>
          <w:p w14:paraId="0092FFF8" w14:textId="77777777" w:rsidR="00366E1E" w:rsidRDefault="00000000">
            <w:pPr>
              <w:pStyle w:val="Compact"/>
            </w:pPr>
            <w:r>
              <w:t>Ten times</w:t>
            </w:r>
          </w:p>
        </w:tc>
      </w:tr>
      <w:tr w:rsidR="00366E1E" w14:paraId="6A7CD65F" w14:textId="77777777">
        <w:tc>
          <w:tcPr>
            <w:tcW w:w="2640" w:type="dxa"/>
          </w:tcPr>
          <w:p w14:paraId="1AAA7605" w14:textId="77777777" w:rsidR="00366E1E" w:rsidRDefault="00000000">
            <w:pPr>
              <w:pStyle w:val="Compact"/>
            </w:pPr>
            <w:r>
              <w:t>Names wives and occupations?</w:t>
            </w:r>
          </w:p>
        </w:tc>
        <w:tc>
          <w:tcPr>
            <w:tcW w:w="2640" w:type="dxa"/>
          </w:tcPr>
          <w:p w14:paraId="187E68DC" w14:textId="77777777" w:rsidR="00366E1E" w:rsidRDefault="00000000">
            <w:pPr>
              <w:pStyle w:val="Compact"/>
            </w:pPr>
            <w:r>
              <w:t>Yes</w:t>
            </w:r>
          </w:p>
        </w:tc>
        <w:tc>
          <w:tcPr>
            <w:tcW w:w="2640" w:type="dxa"/>
          </w:tcPr>
          <w:p w14:paraId="4489833F" w14:textId="77777777" w:rsidR="00366E1E" w:rsidRDefault="00000000">
            <w:pPr>
              <w:pStyle w:val="Compact"/>
            </w:pPr>
            <w:r>
              <w:t>No</w:t>
            </w:r>
          </w:p>
        </w:tc>
      </w:tr>
      <w:tr w:rsidR="00366E1E" w14:paraId="2584D132" w14:textId="77777777">
        <w:tc>
          <w:tcPr>
            <w:tcW w:w="2640" w:type="dxa"/>
          </w:tcPr>
          <w:p w14:paraId="5238F1CC" w14:textId="77777777" w:rsidR="00366E1E" w:rsidRDefault="00000000">
            <w:pPr>
              <w:pStyle w:val="Compact"/>
            </w:pPr>
            <w:r>
              <w:t>Final word of the line</w:t>
            </w:r>
          </w:p>
        </w:tc>
        <w:tc>
          <w:tcPr>
            <w:tcW w:w="2640" w:type="dxa"/>
          </w:tcPr>
          <w:p w14:paraId="6DA0FF8A" w14:textId="77777777" w:rsidR="00366E1E" w:rsidRDefault="00000000">
            <w:pPr>
              <w:pStyle w:val="Compact"/>
            </w:pPr>
            <w:r>
              <w:t>A song about vengeance</w:t>
            </w:r>
          </w:p>
        </w:tc>
        <w:tc>
          <w:tcPr>
            <w:tcW w:w="2640" w:type="dxa"/>
          </w:tcPr>
          <w:p w14:paraId="54784891" w14:textId="77777777" w:rsidR="00366E1E" w:rsidRDefault="00000000">
            <w:pPr>
              <w:pStyle w:val="Compact"/>
            </w:pPr>
            <w:r>
              <w:t>A son named “Rest”</w:t>
            </w:r>
          </w:p>
        </w:tc>
      </w:tr>
      <w:tr w:rsidR="00366E1E" w14:paraId="0176642E" w14:textId="77777777">
        <w:tc>
          <w:tcPr>
            <w:tcW w:w="2640" w:type="dxa"/>
          </w:tcPr>
          <w:p w14:paraId="735A41EE" w14:textId="77777777" w:rsidR="00366E1E" w:rsidRDefault="00000000">
            <w:pPr>
              <w:pStyle w:val="Compact"/>
            </w:pPr>
            <w:r>
              <w:t>Outcome</w:t>
            </w:r>
          </w:p>
        </w:tc>
        <w:tc>
          <w:tcPr>
            <w:tcW w:w="2640" w:type="dxa"/>
          </w:tcPr>
          <w:p w14:paraId="68A02E56" w14:textId="77777777" w:rsidR="00366E1E" w:rsidRDefault="00000000">
            <w:pPr>
              <w:pStyle w:val="Compact"/>
            </w:pPr>
            <w:r>
              <w:t>Perishes in the flood</w:t>
            </w:r>
          </w:p>
        </w:tc>
        <w:tc>
          <w:tcPr>
            <w:tcW w:w="2640" w:type="dxa"/>
          </w:tcPr>
          <w:p w14:paraId="641E8237" w14:textId="77777777" w:rsidR="00366E1E" w:rsidRDefault="00000000">
            <w:pPr>
              <w:pStyle w:val="Compact"/>
            </w:pPr>
            <w:r>
              <w:t>Passes through the flood</w:t>
            </w:r>
          </w:p>
        </w:tc>
      </w:tr>
    </w:tbl>
    <w:p w14:paraId="35EDF747" w14:textId="77777777" w:rsidR="00366E1E" w:rsidRDefault="00000000">
      <w:pPr>
        <w:pStyle w:val="BodyText"/>
      </w:pPr>
      <w:r>
        <w:t>The pattern is what interpreters call a literary diptych — two panels of a painting hinged together so that you cannot look at one without seeing the other. The similar names are the hinge; the outcomes are the point. As the Reformation Study Bible summarizes, “Cain’s line dies in the flood; Seth’s lives through it. Whereas the former presents the curse-laden line of Cain as concluding with another murderer, the latter links the founder of humanity, Adam, with its re-founder, Noah” (Reformation Study Bible, note on 5:3–32).</w:t>
      </w:r>
    </w:p>
    <w:p w14:paraId="05342BF9" w14:textId="77777777" w:rsidR="00366E1E" w:rsidRDefault="00000000">
      <w:pPr>
        <w:pStyle w:val="BodyText"/>
      </w:pPr>
      <w:r>
        <w:t>Notice especially the seventh slot in each list. In Hebrew reckoning, seven is the number of fullness and completion. So the seventh generation is where each family reveals what it truly is. Together with Adam, Cain’s seven generations symbolize the completion of that line — and what it completes is violence, spilling out in Lamech’s poem (NIV Biblical Theology Study Bible, note on 4:17–18). In the other family, the seventh from Adam is Enoch, and completion looks like a man so at home with God that he never tastes death. The ungodly Lamech and the godly Enoch “stand in sharp contrast to each other. The former inflicted death; the latter did not die” (Reformation Study Bible, note on 4:17, 18).</w:t>
      </w:r>
    </w:p>
    <w:p w14:paraId="3D87B1D8" w14:textId="77777777" w:rsidR="00366E1E" w:rsidRDefault="00000000">
      <w:pPr>
        <w:pStyle w:val="BodyText"/>
      </w:pPr>
      <w:r>
        <w:t>That is the design. Now let us walk through the text.</w:t>
      </w:r>
    </w:p>
    <w:p w14:paraId="19BE82C3" w14:textId="77777777" w:rsidR="00366E1E" w:rsidRDefault="00000000">
      <w:pPr>
        <w:pStyle w:val="Heading3"/>
      </w:pPr>
      <w:bookmarkStart w:id="10" w:name="the-narrowing-shape-of-genesis"/>
      <w:bookmarkEnd w:id="9"/>
      <w:r>
        <w:lastRenderedPageBreak/>
        <w:t>The narrowing shape of Genesis</w:t>
      </w:r>
    </w:p>
    <w:p w14:paraId="3CAB3DC5" w14:textId="77777777" w:rsidR="00366E1E" w:rsidRDefault="00000000">
      <w:pPr>
        <w:pStyle w:val="FirstParagraph"/>
      </w:pPr>
      <w:r>
        <w:t>One more structural observation belongs here, because it explains why Moses tells us so much about people who seem to matter so little.</w:t>
      </w:r>
    </w:p>
    <w:p w14:paraId="106D7A9F" w14:textId="77777777" w:rsidR="00366E1E" w:rsidRDefault="00000000">
      <w:pPr>
        <w:pStyle w:val="BodyText"/>
      </w:pPr>
      <w:r>
        <w:t xml:space="preserve">Genesis works by progressive narrowing. Each </w:t>
      </w:r>
      <w:r>
        <w:rPr>
          <w:i/>
          <w:iCs/>
        </w:rPr>
        <w:t>toledoth</w:t>
      </w:r>
      <w:r>
        <w:t xml:space="preserve"> section names a wide field and then selects one thread from it:</w:t>
      </w:r>
    </w:p>
    <w:p w14:paraId="5305E740" w14:textId="77777777" w:rsidR="00366E1E" w:rsidRDefault="00000000">
      <w:pPr>
        <w:pStyle w:val="Compact"/>
        <w:numPr>
          <w:ilvl w:val="0"/>
          <w:numId w:val="4"/>
        </w:numPr>
      </w:pPr>
      <w:r>
        <w:t>From Adam’s many children, the record follows Seth.</w:t>
      </w:r>
    </w:p>
    <w:p w14:paraId="248552A6" w14:textId="77777777" w:rsidR="00366E1E" w:rsidRDefault="00000000">
      <w:pPr>
        <w:pStyle w:val="Compact"/>
        <w:numPr>
          <w:ilvl w:val="0"/>
          <w:numId w:val="4"/>
        </w:numPr>
      </w:pPr>
      <w:r>
        <w:t>From Seth’s descendants, the record follows Noah.</w:t>
      </w:r>
    </w:p>
    <w:p w14:paraId="29C08053" w14:textId="77777777" w:rsidR="00366E1E" w:rsidRDefault="00000000">
      <w:pPr>
        <w:pStyle w:val="Compact"/>
        <w:numPr>
          <w:ilvl w:val="0"/>
          <w:numId w:val="4"/>
        </w:numPr>
      </w:pPr>
      <w:r>
        <w:t>From Noah’s three sons, the record follows Shem (11:10–26).</w:t>
      </w:r>
    </w:p>
    <w:p w14:paraId="5907B7B5" w14:textId="77777777" w:rsidR="00366E1E" w:rsidRDefault="00000000">
      <w:pPr>
        <w:pStyle w:val="Compact"/>
        <w:numPr>
          <w:ilvl w:val="0"/>
          <w:numId w:val="4"/>
        </w:numPr>
      </w:pPr>
      <w:r>
        <w:t>From Shem’s descendants, the record follows Abram (11:26–27).</w:t>
      </w:r>
    </w:p>
    <w:p w14:paraId="181F8681" w14:textId="77777777" w:rsidR="00366E1E" w:rsidRDefault="00000000">
      <w:pPr>
        <w:pStyle w:val="Compact"/>
        <w:numPr>
          <w:ilvl w:val="0"/>
          <w:numId w:val="4"/>
        </w:numPr>
      </w:pPr>
      <w:r>
        <w:t>From Abraham’s sons, the record follows Isaac, not Ishmael (25:12, 19).</w:t>
      </w:r>
    </w:p>
    <w:p w14:paraId="0C77BDFC" w14:textId="77777777" w:rsidR="00366E1E" w:rsidRDefault="00000000">
      <w:pPr>
        <w:pStyle w:val="Compact"/>
        <w:numPr>
          <w:ilvl w:val="0"/>
          <w:numId w:val="4"/>
        </w:numPr>
      </w:pPr>
      <w:r>
        <w:t>From Isaac’s sons, the record follows Jacob, not Esau (36:1; 37:2).</w:t>
      </w:r>
    </w:p>
    <w:p w14:paraId="68C02C15" w14:textId="77777777" w:rsidR="00366E1E" w:rsidRDefault="00000000">
      <w:pPr>
        <w:pStyle w:val="Compact"/>
        <w:numPr>
          <w:ilvl w:val="0"/>
          <w:numId w:val="4"/>
        </w:numPr>
      </w:pPr>
      <w:r>
        <w:t>From Jacob’s twelve sons, the blessing settles on Judah (49:8–12).</w:t>
      </w:r>
    </w:p>
    <w:p w14:paraId="2F682308" w14:textId="77777777" w:rsidR="00366E1E" w:rsidRDefault="00000000">
      <w:pPr>
        <w:pStyle w:val="FirstParagraph"/>
      </w:pPr>
      <w:r>
        <w:t>Each narrowing is an act of election, and each rejected branch gets a courteous but brief notice before the camera moves on. The Cainite genealogy of chapter 4 is the first instance of that pattern. Ishmael’s line, Esau’s line, and Lot’s line will all be handled the same way: acknowledged, honored with a paragraph, and set aside.</w:t>
      </w:r>
    </w:p>
    <w:p w14:paraId="4914B7FB" w14:textId="77777777" w:rsidR="00366E1E" w:rsidRDefault="00000000">
      <w:pPr>
        <w:pStyle w:val="BodyText"/>
      </w:pPr>
      <w:r>
        <w:t>This is why the genealogies are not filler. They are the tracks on which redemptive history runs. When Matthew opens the New Testament with “the book of the genealogy of Jesus Christ, the son of David, the son of Abraham” (Matthew 1:1), he is picking up a thread that begins in Genesis 5. The line narrows for two thousand years until it arrives at one man in a manger, and then it opens outward again to every nation.</w:t>
      </w:r>
    </w:p>
    <w:p w14:paraId="3AE2FC5D" w14:textId="77777777" w:rsidR="00366E1E" w:rsidRDefault="00000000">
      <w:r>
        <w:pict w14:anchorId="73DC4616">
          <v:rect id="_x0000_i1028" style="width:0;height:1.5pt" o:hralign="center" o:hrstd="t" o:hr="t"/>
        </w:pict>
      </w:r>
    </w:p>
    <w:p w14:paraId="30F85001" w14:textId="77777777" w:rsidR="00366E1E" w:rsidRDefault="00000000">
      <w:pPr>
        <w:pStyle w:val="Heading2"/>
      </w:pPr>
      <w:bookmarkStart w:id="11" w:name="X05c70327dc9ad6fe7631e15a062d15aa3826a35"/>
      <w:bookmarkEnd w:id="8"/>
      <w:bookmarkEnd w:id="10"/>
      <w:r>
        <w:t>Part Three: Cain Builds a World (Genesis 4:17)</w:t>
      </w:r>
    </w:p>
    <w:p w14:paraId="4122167F" w14:textId="77777777" w:rsidR="00366E1E" w:rsidRDefault="00000000">
      <w:pPr>
        <w:pStyle w:val="BlockText"/>
      </w:pPr>
      <w:r>
        <w:t>“Cain knew his wife, and she conceived and bore Enoch. When he built a city, he called the name of the city after the name of his son, Enoch.”</w:t>
      </w:r>
    </w:p>
    <w:p w14:paraId="53C5E1B3" w14:textId="77777777" w:rsidR="00366E1E" w:rsidRDefault="00000000">
      <w:pPr>
        <w:pStyle w:val="Heading3"/>
      </w:pPr>
      <w:bookmarkStart w:id="12" w:name="the-question-everyone-asks-first"/>
      <w:r>
        <w:t>The question everyone asks first</w:t>
      </w:r>
    </w:p>
    <w:p w14:paraId="69706884" w14:textId="77777777" w:rsidR="00366E1E" w:rsidRDefault="00000000">
      <w:pPr>
        <w:pStyle w:val="FirstParagraph"/>
      </w:pPr>
      <w:r>
        <w:t xml:space="preserve">Where did Cain’s wife come from? Genesis simply does not tell us, and that silence is characteristic. The narrative in chapter 4 is not a complete chronology of everything that happened after Eden; it is a selective account showing how Adam and Eve survived and how </w:t>
      </w:r>
      <w:r>
        <w:lastRenderedPageBreak/>
        <w:t>their lineage began (Faithlife Study Bible, note on 4:17). Genesis regularly leaves readers with unanswered questions because it is telling a theological story, not compiling a census (ESV Study Bible, note on 4:17).</w:t>
      </w:r>
    </w:p>
    <w:p w14:paraId="18667DA7" w14:textId="77777777" w:rsidR="00366E1E" w:rsidRDefault="00000000">
      <w:pPr>
        <w:pStyle w:val="BodyText"/>
      </w:pPr>
      <w:r>
        <w:t>The reasonable inference, held by conservative interpreters across the board, is that Cain married a sister or a niece. Adam and Eve “had other sons and daughters” (Genesis 5:4), and the whole human race descends from that one pair. The later Mosaic laws forbidding marriage to a sister (Leviticus 18:9) had not yet been given and would not have applied at this stage (ESV Study Bible, note on 4:17; CSB Study Bible, note on 4:17). One older Reformed formulation puts the logic plainly: “As long as it pleased God to let the human race descend from one pair, it must be conceded that for a time marriage between brothers and sisters was a necessity” (quoted in the notes you provided).</w:t>
      </w:r>
    </w:p>
    <w:p w14:paraId="2EEF2026" w14:textId="77777777" w:rsidR="00366E1E" w:rsidRDefault="00000000">
      <w:pPr>
        <w:pStyle w:val="BodyText"/>
      </w:pPr>
      <w:r>
        <w:t>Calvin adds a point of timing that is easy to miss. Reading the context closely, he concluded “that Cain, before he slew his brother, had married a wife,” and that “many persons, as well males as females, are omitted in this narrative,” since Moses intends “only to follow one line of his progeny, until he should come to Lamech” (</w:t>
      </w:r>
      <w:hyperlink r:id="rId7">
        <w:r>
          <w:rPr>
            <w:rStyle w:val="Hyperlink"/>
          </w:rPr>
          <w:t>Calvin, Genesis 4</w:t>
        </w:r>
      </w:hyperlink>
      <w:r>
        <w:t>). Cain’s household, in other words, was far more populous than the seven names we are given. The genealogy is a searchlight, not a floodlight.</w:t>
      </w:r>
    </w:p>
    <w:p w14:paraId="26B1194A" w14:textId="77777777" w:rsidR="00366E1E" w:rsidRDefault="00000000">
      <w:pPr>
        <w:pStyle w:val="BodyText"/>
      </w:pPr>
      <w:r>
        <w:t>There is also a modern wrinkle worth naming for students. The reason close-relative marriage is unwise today (and illegal in many places) is genetic: harmful mutations accumulate over generations, and closely related parents are far more likely to share the same defective genes. At the beginning of the human race that accumulation had not yet occurred. The prohibition is a wise response to a fallen world’s degrading genome, not an eternal moral absolute rooted in the created order the way monogamy is.</w:t>
      </w:r>
    </w:p>
    <w:p w14:paraId="7323EA4C" w14:textId="77777777" w:rsidR="00366E1E" w:rsidRDefault="00000000">
      <w:pPr>
        <w:pStyle w:val="Heading3"/>
      </w:pPr>
      <w:bookmarkStart w:id="13" w:name="the-first-city"/>
      <w:bookmarkEnd w:id="12"/>
      <w:r>
        <w:t>The first city</w:t>
      </w:r>
    </w:p>
    <w:p w14:paraId="43E04B36" w14:textId="77777777" w:rsidR="00366E1E" w:rsidRDefault="00000000">
      <w:pPr>
        <w:pStyle w:val="FirstParagraph"/>
      </w:pPr>
      <w:r>
        <w:t>Then comes a line of enormous consequence: “he built a city.”</w:t>
      </w:r>
    </w:p>
    <w:p w14:paraId="0EB23C26" w14:textId="77777777" w:rsidR="00366E1E" w:rsidRDefault="00000000">
      <w:pPr>
        <w:pStyle w:val="BodyText"/>
      </w:pPr>
      <w:r>
        <w:t>Two exegetical questions arise. First, who built it? Cain appears to be the builder, since the city is named after his son Enoch — but the Hebrew can also be read as making Enoch the builder (ESV Study Bible, note on 4:17). Second, what does “city” mean here? Not skyscrapers. It could be any settlement — likely, in Calvin’s words, that Cain “surrounded himself and his posterity with walls formed of the rudest materials,” and that his descendants had multiplied enough by the fourth generation to populate one such settlement (</w:t>
      </w:r>
      <w:hyperlink r:id="rId8">
        <w:r>
          <w:rPr>
            <w:rStyle w:val="Hyperlink"/>
          </w:rPr>
          <w:t>Calvin, Genesis 4</w:t>
        </w:r>
      </w:hyperlink>
      <w:r>
        <w:t>).</w:t>
      </w:r>
    </w:p>
    <w:p w14:paraId="66BA3600" w14:textId="77777777" w:rsidR="00366E1E" w:rsidRDefault="00000000">
      <w:pPr>
        <w:pStyle w:val="BodyText"/>
      </w:pPr>
      <w:r>
        <w:t xml:space="preserve">The theological question is more important than either: </w:t>
      </w:r>
      <w:r>
        <w:rPr>
          <w:b/>
          <w:bCs/>
        </w:rPr>
        <w:t>is city-building good or bad?</w:t>
      </w:r>
    </w:p>
    <w:p w14:paraId="10B680AF" w14:textId="77777777" w:rsidR="00366E1E" w:rsidRDefault="00000000">
      <w:pPr>
        <w:pStyle w:val="BodyText"/>
      </w:pPr>
      <w:r>
        <w:lastRenderedPageBreak/>
        <w:t>The honest answer is that Genesis presents it as both, and the ambiguity is deliberate. On the one hand, city-building is a legitimate outworking of the creation mandate. God told humanity to fill the earth and subdue it (Genesis 1:28), and the earliest readers of Genesis would have assumed that filling the earth implies establishing cities around Eden and spreading out from there. That was part of God’s design for the earth. What Genesis observes with a raised eyebrow is that “some people engage in city building without any reference to God” — the trajectory that reaches its climax at Babel in Genesis 11:1–9 (ESV Study Bible, note on 4:17). The Faithlife Study Bible is even more restrained, noting that Cain is simply “cast as the originator of urban civilization,” with no explicit statement that God is displeased (Faithlife Study Bible, note on 4:17).</w:t>
      </w:r>
    </w:p>
    <w:p w14:paraId="44737584" w14:textId="77777777" w:rsidR="00366E1E" w:rsidRDefault="00000000">
      <w:pPr>
        <w:pStyle w:val="BodyText"/>
      </w:pPr>
      <w:r>
        <w:t>On the other hand, the Reformed tradition has consistently heard something defiant in this verse, and for a solid textual reason: God had sentenced Cain to be a restless wanderer (Genesis 4:12), and a walled city is precisely what a wanderer does not build. Cain settles the very land named “Wandering.” Reformation Study Bible: “In seeking the security of a city, it appears that sinful Cain both defies the divine judgment that he should be a vagabond and shows his lack of faith in the protection provided by God’s mark” (note on 4:17). The CSB Study Bible agrees that Cain’s city-building was “one more expression of disobedience to God, for God had ordained Cain to be a wanderer” (note on 4:17).</w:t>
      </w:r>
    </w:p>
    <w:p w14:paraId="1C702EC8" w14:textId="77777777" w:rsidR="00366E1E" w:rsidRDefault="00000000">
      <w:pPr>
        <w:pStyle w:val="BodyText"/>
      </w:pPr>
      <w:r>
        <w:t>Calvin’s reading is psychologically acute. He sees Cain as a man “oppressed by an accusing conscience,” who did not think himself safe even inside his own house and so “contrived a new kind of defense” — walls. The city is “a sign of an agitated and guilty mind,” an attempt to separate himself from other men and to fortify himself in a manner previously unknown. And mingled with that fear is pride: Cain named the city after his son, so that where he “ought rather to have chosen that his name should be buried for ever,” ambition drove him “to erect a monument to his race.” Then Calvin adds the balanced conclusion that keeps this from becoming a screed against civilization: “Although it is lawful to defend our lives by the fortifications of cities and of fortresses, yet the first origin of them is to be noted, because it is always profitable for us to behold our faults in their very remedies” (</w:t>
      </w:r>
      <w:hyperlink r:id="rId9">
        <w:r>
          <w:rPr>
            <w:rStyle w:val="Hyperlink"/>
          </w:rPr>
          <w:t>Calvin, Genesis 4</w:t>
        </w:r>
      </w:hyperlink>
      <w:r>
        <w:t>).</w:t>
      </w:r>
    </w:p>
    <w:p w14:paraId="16BF82BB" w14:textId="77777777" w:rsidR="00366E1E" w:rsidRDefault="00000000">
      <w:pPr>
        <w:pStyle w:val="BodyText"/>
      </w:pPr>
      <w:r>
        <w:t xml:space="preserve">Matthew Henry sharpens the contrast into an image that has shaped Reformed preaching ever since. Cain’s city, he says, was built “in token of a fixed separation from the church of God” and became “the head-quarters of the apostasy.” Cain “pitched upon a settlement in this world, as his rest for ever” — building an earthly city rather than dwelling in tents while looking for a heavenly one. Hence Henry’s memorable summary: “Cain and his cursed race dwell in a city, while Adam and his blessed family dwell in tents.” And because outward success proves nothing </w:t>
      </w:r>
      <w:r>
        <w:lastRenderedPageBreak/>
        <w:t>about God’s favor, he warns: “We cannot judge of love or hatred by all that is before us” (</w:t>
      </w:r>
      <w:hyperlink r:id="rId10">
        <w:r>
          <w:rPr>
            <w:rStyle w:val="Hyperlink"/>
          </w:rPr>
          <w:t>Matthew Henry, Genesis 4</w:t>
        </w:r>
      </w:hyperlink>
      <w:r>
        <w:t>).</w:t>
      </w:r>
    </w:p>
    <w:p w14:paraId="4C06EBC4" w14:textId="77777777" w:rsidR="00366E1E" w:rsidRDefault="00000000">
      <w:pPr>
        <w:pStyle w:val="BodyText"/>
      </w:pPr>
      <w:r>
        <w:t>The name of the land makes the same point with grim irony. Cain settles in Nod, which means “wandering” or “trembling.” “The name of his land demonstrates the futility of Cain’s effort, apart from the Lord, to find solace in human society” — or as Henry says elsewhere, “those who depart from God cannot find rest anywhere else” (</w:t>
      </w:r>
      <w:hyperlink r:id="rId11">
        <w:r>
          <w:rPr>
            <w:rStyle w:val="Hyperlink"/>
          </w:rPr>
          <w:t>Ligonier, “The First City”</w:t>
        </w:r>
      </w:hyperlink>
      <w:r>
        <w:t>). You can build walls in the land of Wandering, but you cannot build rest.</w:t>
      </w:r>
    </w:p>
    <w:p w14:paraId="408FA202" w14:textId="77777777" w:rsidR="00366E1E" w:rsidRDefault="00000000">
      <w:pPr>
        <w:pStyle w:val="Heading3"/>
      </w:pPr>
      <w:bookmarkStart w:id="14" w:name="the-city-as-a-substitute-for-immortality"/>
      <w:bookmarkEnd w:id="13"/>
      <w:r>
        <w:t>The city as a substitute for immortality</w:t>
      </w:r>
    </w:p>
    <w:p w14:paraId="6146FE77" w14:textId="77777777" w:rsidR="00366E1E" w:rsidRDefault="00000000">
      <w:pPr>
        <w:pStyle w:val="FirstParagraph"/>
      </w:pPr>
      <w:r>
        <w:t>There is a further motive in Cain’s building project that deserves its own paragraph, because it explains something about human civilization that we still live with.</w:t>
      </w:r>
    </w:p>
    <w:p w14:paraId="7B9D0FF7" w14:textId="77777777" w:rsidR="00366E1E" w:rsidRDefault="00000000">
      <w:pPr>
        <w:pStyle w:val="BodyText"/>
      </w:pPr>
      <w:r>
        <w:t>Cain has been told he must die, and he lives under the sentence of exile. A city is one way a mortal man answers mortality. Buildings outlast their builders. A name carved over a gate lasts longer than the man who carved it. Children carry a family name forward; a city carries it forward in stone. So when Cain names his city after his son, he is doing two things at once — perpetuating his line and perpetuating his name. He is buying a form of permanence that does not require God.</w:t>
      </w:r>
    </w:p>
    <w:p w14:paraId="537A76C8" w14:textId="77777777" w:rsidR="00366E1E" w:rsidRDefault="00000000">
      <w:pPr>
        <w:pStyle w:val="BodyText"/>
      </w:pPr>
      <w:r>
        <w:t>This is exactly the impulse Genesis exposes at Babel: “Come, let us build ourselves a city and a tower with its top in the heavens, and let us make a name for ourselves” (Genesis 11:4). The words “make a name for ourselves” are the confession of the whole enterprise. Over against it stands God’s promise to Abram: “I will make your name great” (12:2). The city of man makes its own name; the city of God receives its name as a gift.</w:t>
      </w:r>
    </w:p>
    <w:p w14:paraId="1C2BC0D5" w14:textId="77777777" w:rsidR="00366E1E" w:rsidRDefault="00000000">
      <w:pPr>
        <w:pStyle w:val="BodyText"/>
      </w:pPr>
      <w:r>
        <w:t xml:space="preserve">And this is precisely why Enoch — the </w:t>
      </w:r>
      <w:r>
        <w:rPr>
          <w:i/>
          <w:iCs/>
        </w:rPr>
        <w:t>other</w:t>
      </w:r>
      <w:r>
        <w:t xml:space="preserve"> Enoch, seventh from Adam through Seth — is such a devastating counterpoint. He builds nothing. He founds no city, invents no craft, leaves no monument. He walks with God, and God takes him. The one man in these two chapters who actually escapes death is the one man who never tried to secure permanence for himself.</w:t>
      </w:r>
    </w:p>
    <w:p w14:paraId="55916D9D" w14:textId="77777777" w:rsidR="00366E1E" w:rsidRDefault="00000000">
      <w:pPr>
        <w:pStyle w:val="BodyText"/>
      </w:pPr>
      <w:r>
        <w:t>We should be careful not to overstate the case. Genesis nowhere says explicitly that God was displeased with the building of the city, and interpreters who make Cain’s masonry into the original sin of urban life have pressed the silence too hard. The text does what it usually does: it lays the facts down in a suggestive order and lets the reader connect them. City, then polygamy, then culture, then a murder song. Nobody has to say out loud where that road leads.</w:t>
      </w:r>
    </w:p>
    <w:p w14:paraId="47270FC1" w14:textId="77777777" w:rsidR="00366E1E" w:rsidRDefault="00000000">
      <w:pPr>
        <w:pStyle w:val="BodyText"/>
      </w:pPr>
      <w:r>
        <w:lastRenderedPageBreak/>
        <w:t>There is one more thread to pull, because Genesis will pull it later. The earthly city offers civilization and protection, but it culminates in a tower that challenges God’s supremacy (Genesis 11:4). The faithful, by contrast, look for a heavenly city (Philippians 3:20; Colossians 3:1–4; Hebrews 11:10, 16; 12:22; 13:14), and God’s ultimate plan for the earth is a city He will inhabit with redeemed humanity (Revelation 21–22) (Reformation Study Bible, note on 4:17). This is the biblical backbone of what Augustine would later call the two cities — the city of man built on love of self, and the city of God built on love of God — a framework he explicitly grounded in Cain and Abel (</w:t>
      </w:r>
      <w:hyperlink r:id="rId12">
        <w:r>
          <w:rPr>
            <w:rStyle w:val="Hyperlink"/>
          </w:rPr>
          <w:t xml:space="preserve">Augustine, </w:t>
        </w:r>
        <w:r>
          <w:rPr>
            <w:rStyle w:val="Hyperlink"/>
            <w:i/>
            <w:iCs/>
          </w:rPr>
          <w:t>City of God</w:t>
        </w:r>
        <w:r>
          <w:rPr>
            <w:rStyle w:val="Hyperlink"/>
          </w:rPr>
          <w:t xml:space="preserve"> XV</w:t>
        </w:r>
      </w:hyperlink>
      <w:r>
        <w:t>). The Bible does not end with the destruction of the city. It ends with a city that has God at the center. The problem with Enoch-city was never the walls. It was the absence of God.</w:t>
      </w:r>
    </w:p>
    <w:p w14:paraId="40943249" w14:textId="77777777" w:rsidR="00366E1E" w:rsidRDefault="00000000">
      <w:r>
        <w:pict w14:anchorId="6479B240">
          <v:rect id="_x0000_i1029" style="width:0;height:1.5pt" o:hralign="center" o:hrstd="t" o:hr="t"/>
        </w:pict>
      </w:r>
    </w:p>
    <w:p w14:paraId="1059E5D3" w14:textId="77777777" w:rsidR="00366E1E" w:rsidRDefault="00000000">
      <w:pPr>
        <w:pStyle w:val="Heading2"/>
      </w:pPr>
      <w:bookmarkStart w:id="15" w:name="X173f235db373245badfb341f73e79ebc6d3ea07"/>
      <w:bookmarkEnd w:id="11"/>
      <w:bookmarkEnd w:id="14"/>
      <w:r>
        <w:t>Part Four: A Rhyming List of Names (Genesis 4:18)</w:t>
      </w:r>
    </w:p>
    <w:p w14:paraId="63D2982E" w14:textId="77777777" w:rsidR="00366E1E" w:rsidRDefault="00000000">
      <w:pPr>
        <w:pStyle w:val="BlockText"/>
      </w:pPr>
      <w:r>
        <w:t>“To Enoch was born Irad, and Irad fathered Mehujael, and Mehujael fathered Methushael, and Methushael fathered Lamech.”</w:t>
      </w:r>
    </w:p>
    <w:p w14:paraId="21251652" w14:textId="77777777" w:rsidR="00366E1E" w:rsidRDefault="00000000">
      <w:pPr>
        <w:pStyle w:val="FirstParagraph"/>
      </w:pPr>
      <w:r>
        <w:t>Three of these men — Irad, Mehujael, and Methushael — appear nowhere else in the Bible (CSB Study Bible, note on 4:18). They exist in Scripture for exactly one verse. That itself is part of the message: a whole civilization of people who leave no trace in the story of salvation.</w:t>
      </w:r>
    </w:p>
    <w:p w14:paraId="26D61A10" w14:textId="77777777" w:rsidR="00366E1E" w:rsidRDefault="00000000">
      <w:pPr>
        <w:pStyle w:val="BodyText"/>
      </w:pPr>
      <w:r>
        <w:t>Two observations are worth making.</w:t>
      </w:r>
    </w:p>
    <w:p w14:paraId="7EB29C38" w14:textId="77777777" w:rsidR="00366E1E" w:rsidRDefault="00000000">
      <w:pPr>
        <w:pStyle w:val="BodyText"/>
      </w:pPr>
      <w:r>
        <w:t>First, the names may be historical anchors. “Irad” may be related to Eridu, and “Enoch” possibly to Erech (Uruk) — two of the earliest known cities in southern Mesopotamia (NIV Biblical Theology Study Bible, note on 4:18; Faithlife Study Bible, note on 4:18). Genesis is not floating in mythical fog; it is describing the same river valley where the archaeological record locates the world’s first urban centers.</w:t>
      </w:r>
    </w:p>
    <w:p w14:paraId="25200A54" w14:textId="77777777" w:rsidR="00366E1E" w:rsidRDefault="00000000">
      <w:pPr>
        <w:pStyle w:val="BodyText"/>
      </w:pPr>
      <w:r>
        <w:t>Second, the names deliberately shadow the names in Seth’s line. Cain/Kenan. Irad/Jared. Methushael/Methuselah. Enoch/Enoch. Lamech/Lamech. Some critical scholars use this overlap to argue the two lists are variant versions of one original tradition. Conservative interpreters read it the opposite way: the echo is intentional artistry, designed so that when you reach the seventh name in each list, the contrast lands like a hammer. As the Reformation Study Bible carefully notes, “The Enoch and Lamech in Seth’s line cannot be confused with the first and last descendants bearing these names in Cain’s line” (note on 5:3–32). Near-identical names, opposite destinies. The two families look alike on the surface. They are not alike at the root.</w:t>
      </w:r>
    </w:p>
    <w:p w14:paraId="59390744" w14:textId="77777777" w:rsidR="00366E1E" w:rsidRDefault="00000000">
      <w:r>
        <w:lastRenderedPageBreak/>
        <w:pict w14:anchorId="2BB82F9F">
          <v:rect id="_x0000_i1030" style="width:0;height:1.5pt" o:hralign="center" o:hrstd="t" o:hr="t"/>
        </w:pict>
      </w:r>
    </w:p>
    <w:p w14:paraId="7BD891DE" w14:textId="77777777" w:rsidR="00366E1E" w:rsidRDefault="00000000">
      <w:pPr>
        <w:pStyle w:val="Heading2"/>
      </w:pPr>
      <w:bookmarkStart w:id="16" w:name="Xbccf3996e266fe8d8f4739cc13d522e72f837b3"/>
      <w:bookmarkEnd w:id="15"/>
      <w:r>
        <w:t>Part Five: The First Polygamist (Genesis 4:19)</w:t>
      </w:r>
    </w:p>
    <w:p w14:paraId="3E60ED81" w14:textId="77777777" w:rsidR="00366E1E" w:rsidRDefault="00000000">
      <w:pPr>
        <w:pStyle w:val="BlockText"/>
      </w:pPr>
      <w:r>
        <w:t>“And Lamech took two wives. The name of the one was Adah, and the name of the other Zillah.”</w:t>
      </w:r>
    </w:p>
    <w:p w14:paraId="27845172" w14:textId="77777777" w:rsidR="00366E1E" w:rsidRDefault="00000000">
      <w:pPr>
        <w:pStyle w:val="FirstParagraph"/>
      </w:pPr>
      <w:r>
        <w:t>The genealogy slows down here. More detail is given about Lamech, the seventh from Adam through Cain, than about any other person in this list (CSB Study Bible, note on 4:19). When a biblical genealogy slows down, pay attention: the author is telling you where he has been heading all along.</w:t>
      </w:r>
    </w:p>
    <w:p w14:paraId="1A354541" w14:textId="77777777" w:rsidR="00366E1E" w:rsidRDefault="00000000">
      <w:pPr>
        <w:pStyle w:val="BodyText"/>
      </w:pPr>
      <w:r>
        <w:t>And the first thing we learn about the man who represents the completion of Cain’s line is that he doubled his wives.</w:t>
      </w:r>
    </w:p>
    <w:p w14:paraId="08AE82FE" w14:textId="77777777" w:rsidR="00366E1E" w:rsidRDefault="00000000">
      <w:pPr>
        <w:pStyle w:val="BodyText"/>
      </w:pPr>
      <w:r>
        <w:t>Matthew Henry states the significance simply: “Hitherto one man had but one wife at a time; but Lamech took two,” transgressing “that original law of marriage that two only should be one flesh.” He then adds the phrase Jesus Himself would use of divorce: “From the beginning it was not so” (</w:t>
      </w:r>
      <w:hyperlink r:id="rId13">
        <w:r>
          <w:rPr>
            <w:rStyle w:val="Hyperlink"/>
          </w:rPr>
          <w:t>Matthew Henry, Genesis 4</w:t>
        </w:r>
      </w:hyperlink>
      <w:r>
        <w:t>). Calvin names Lamech “the first author” of polygamy and describes him as “a cruel man, destitute of all humanity” (</w:t>
      </w:r>
      <w:hyperlink r:id="rId14">
        <w:r>
          <w:rPr>
            <w:rStyle w:val="Hyperlink"/>
          </w:rPr>
          <w:t>Calvin, Genesis 4</w:t>
        </w:r>
      </w:hyperlink>
      <w:r>
        <w:t>).</w:t>
      </w:r>
    </w:p>
    <w:p w14:paraId="29E3FC7A" w14:textId="77777777" w:rsidR="00366E1E" w:rsidRDefault="00000000">
      <w:pPr>
        <w:pStyle w:val="BodyText"/>
      </w:pPr>
      <w:r>
        <w:t>Why does this matter theologically? Because marriage is a creation ordinance, not a cultural convention. Genesis 2:23–24 establishes one man and one woman becoming one flesh, and Jesus grounds His teaching on marriage in that very text (Matthew 19:5–6; Mark 10:6–8). Bigamy is therefore “an abuse of the marriage institution that God has intended from the beginning to be monogamous” (Reformation Study Bible, notes on 4:19; 2:24). Lamech is not merely breaking a rule; he is rewriting the created order to suit his appetite. Genesis mentions polygamy repeatedly in the chapters ahead, and it “tends to end badly for those involved” every single time (NIV Biblical Theology Study Bible, note on 4:19).</w:t>
      </w:r>
    </w:p>
    <w:p w14:paraId="2A59A29F" w14:textId="77777777" w:rsidR="00366E1E" w:rsidRDefault="00000000">
      <w:pPr>
        <w:pStyle w:val="BodyText"/>
      </w:pPr>
      <w:r>
        <w:t>Henry draws out an application with pastoral bite that is worth giving to students. Those who desert God’s church and ordinances expose themselves to many temptations; a bad custom begun by bad men may later draw in people of better character; and in fact Jacob, David, and others — otherwise good men — were later ensnared in the very sin Lamech began (</w:t>
      </w:r>
      <w:hyperlink r:id="rId15">
        <w:r>
          <w:rPr>
            <w:rStyle w:val="Hyperlink"/>
          </w:rPr>
          <w:t>Matthew Henry, Genesis 4</w:t>
        </w:r>
      </w:hyperlink>
      <w:r>
        <w:t>). Ligonier makes the same point: this twisting of the marriage bond was eventually adopted even by the Lord’s people, and the results in Scripture are uniformly disastrous — Genesis 30:1; 2 Samuel 11–12; 1 Kings 11:1–8 (</w:t>
      </w:r>
      <w:hyperlink r:id="rId16">
        <w:r>
          <w:rPr>
            <w:rStyle w:val="Hyperlink"/>
          </w:rPr>
          <w:t>Ligonier, “The First City”</w:t>
        </w:r>
      </w:hyperlink>
      <w:r>
        <w:t>). Sin invented in the city of man does not stay in the city of man.</w:t>
      </w:r>
    </w:p>
    <w:p w14:paraId="4BC0807B" w14:textId="77777777" w:rsidR="00366E1E" w:rsidRDefault="00000000">
      <w:pPr>
        <w:pStyle w:val="BodyText"/>
      </w:pPr>
      <w:r>
        <w:lastRenderedPageBreak/>
        <w:t>Even the wives’ names may be part of the picture: Adah and Zillah could mean “ornament” and “cymbal,” fitting a household devoted to cultural refinement (NIV Biblical Theology Study Bible, note on 4:19). This is a sophisticated family. Beauty and music are in the air. And the head of the house is a killer.</w:t>
      </w:r>
    </w:p>
    <w:p w14:paraId="330DDCE7" w14:textId="77777777" w:rsidR="00366E1E" w:rsidRDefault="00000000">
      <w:r>
        <w:pict w14:anchorId="5407AF97">
          <v:rect id="_x0000_i1031" style="width:0;height:1.5pt" o:hralign="center" o:hrstd="t" o:hr="t"/>
        </w:pict>
      </w:r>
    </w:p>
    <w:p w14:paraId="35E06B2D" w14:textId="77777777" w:rsidR="00366E1E" w:rsidRDefault="00000000">
      <w:pPr>
        <w:pStyle w:val="Heading2"/>
      </w:pPr>
      <w:bookmarkStart w:id="17" w:name="X0585cc29deb5a2d32f7a39b0fff1776b1fae203"/>
      <w:bookmarkEnd w:id="16"/>
      <w:r>
        <w:t>Part Six: The Fathers of Culture (Genesis 4:20–22)</w:t>
      </w:r>
    </w:p>
    <w:p w14:paraId="7D7C6E57" w14:textId="77777777" w:rsidR="00366E1E" w:rsidRDefault="00000000">
      <w:pPr>
        <w:pStyle w:val="BlockText"/>
      </w:pPr>
      <w:r>
        <w:t>“Adah bore Jabal; he was the father of those who dwell in tents and have livestock. His brother’s name was Jubal; he was the father of all those who play the lyre and pipe. Zillah bore Tubal-cain, he was the forger of all instruments of bronze and iron.”</w:t>
      </w:r>
    </w:p>
    <w:p w14:paraId="29A20D5F" w14:textId="77777777" w:rsidR="00366E1E" w:rsidRDefault="00000000">
      <w:pPr>
        <w:pStyle w:val="FirstParagraph"/>
      </w:pPr>
      <w:r>
        <w:t>Here the passage does something startling. In the middle of the ungodly line, we get the birth of civilization.</w:t>
      </w:r>
    </w:p>
    <w:p w14:paraId="48E7C276" w14:textId="77777777" w:rsidR="00366E1E" w:rsidRDefault="00000000">
      <w:pPr>
        <w:pStyle w:val="BodyText"/>
      </w:pPr>
      <w:r>
        <w:t xml:space="preserve">The word “father” here does not mean biological ancestor but </w:t>
      </w:r>
      <w:r>
        <w:rPr>
          <w:b/>
          <w:bCs/>
        </w:rPr>
        <w:t>founder</w:t>
      </w:r>
      <w:r>
        <w:t xml:space="preserve"> — the first to establish such a lifestyle or occupation (NET Bible translators’ note on 4:20). These three brothers are the archetypal inventors:</w:t>
      </w:r>
    </w:p>
    <w:p w14:paraId="7E1C179C" w14:textId="77777777" w:rsidR="00366E1E" w:rsidRDefault="00000000">
      <w:pPr>
        <w:pStyle w:val="BodyText"/>
      </w:pPr>
      <w:r>
        <w:rPr>
          <w:b/>
          <w:bCs/>
        </w:rPr>
        <w:t>Jabal</w:t>
      </w:r>
      <w:r>
        <w:t xml:space="preserve"> — animal husbandry and nomadic pastoralism. Note the advance over Abel. Abel kept </w:t>
      </w:r>
      <w:r>
        <w:rPr>
          <w:i/>
          <w:iCs/>
        </w:rPr>
        <w:t>tso’n</w:t>
      </w:r>
      <w:r>
        <w:t xml:space="preserve">, sheep and goats (4:2); Jabal’s people keep </w:t>
      </w:r>
      <w:r>
        <w:rPr>
          <w:i/>
          <w:iCs/>
        </w:rPr>
        <w:t>miqneh</w:t>
      </w:r>
      <w:r>
        <w:t>, a broader term including cattle, and possibly donkeys and camels (CSB Study Bible, note on 4:20; ESV Study Bible, note on 4:18–22). This is an economy, not a hobby.</w:t>
      </w:r>
    </w:p>
    <w:p w14:paraId="16C2A759" w14:textId="77777777" w:rsidR="00366E1E" w:rsidRDefault="00000000">
      <w:pPr>
        <w:pStyle w:val="BodyText"/>
      </w:pPr>
      <w:r>
        <w:rPr>
          <w:b/>
          <w:bCs/>
        </w:rPr>
        <w:t>Jubal</w:t>
      </w:r>
      <w:r>
        <w:t xml:space="preserve"> — music. Specifically the lyre and the pipe, the two foundational instrument families of the ancient world: strings and winds (CSB Study Bible, note on 4:21). Art has been born.</w:t>
      </w:r>
    </w:p>
    <w:p w14:paraId="449AB58F" w14:textId="77777777" w:rsidR="00366E1E" w:rsidRDefault="00000000">
      <w:pPr>
        <w:pStyle w:val="BodyText"/>
      </w:pPr>
      <w:r>
        <w:rPr>
          <w:b/>
          <w:bCs/>
        </w:rPr>
        <w:t>Tubal-Cain</w:t>
      </w:r>
      <w:r>
        <w:t xml:space="preserve"> — metallurgy. Bronze (copper alloyed with tin) and iron. The traditional English “forger” is now misleading, since we associate forgery with fraud; the Hebrew describes one who heated metal and shaped it (NET Bible translators’ note on 4:22). Metalworking meant better tools — and better weapons (CSB Study Bible, note on 4:22).</w:t>
      </w:r>
    </w:p>
    <w:p w14:paraId="7E33F993" w14:textId="77777777" w:rsidR="00366E1E" w:rsidRDefault="00000000">
      <w:pPr>
        <w:pStyle w:val="BodyText"/>
      </w:pPr>
      <w:r>
        <w:t>Even the names participate in the wordplay. Jabal and Jubal are nearly identical and may derive from a root meaning “to produce”; Tubal-Cain rhymes with Jubal and carries Cain’s own name, which itself is associated with metalworking (Faithlife Study Bible, notes on 4:20, 4:22).</w:t>
      </w:r>
    </w:p>
    <w:p w14:paraId="2AFA794F" w14:textId="77777777" w:rsidR="00366E1E" w:rsidRDefault="00000000">
      <w:pPr>
        <w:pStyle w:val="Heading3"/>
      </w:pPr>
      <w:bookmarkStart w:id="18" w:name="what-are-we-supposed-to-feel-about-this"/>
      <w:r>
        <w:lastRenderedPageBreak/>
        <w:t>What are we supposed to feel about this?</w:t>
      </w:r>
    </w:p>
    <w:p w14:paraId="660C9DBE" w14:textId="77777777" w:rsidR="00366E1E" w:rsidRDefault="00000000">
      <w:pPr>
        <w:pStyle w:val="FirstParagraph"/>
      </w:pPr>
      <w:r>
        <w:t>This is one of the richest theological moments in the section, and it requires care. Three things must be held together.</w:t>
      </w:r>
    </w:p>
    <w:p w14:paraId="0D0C7E42" w14:textId="77777777" w:rsidR="00366E1E" w:rsidRDefault="00000000">
      <w:pPr>
        <w:pStyle w:val="BodyText"/>
      </w:pPr>
      <w:r>
        <w:rPr>
          <w:b/>
          <w:bCs/>
        </w:rPr>
        <w:t>First, this is real good, and it comes from God.</w:t>
      </w:r>
      <w:r>
        <w:t xml:space="preserve"> Music, agriculture, and technology are not sinful in themselves. They are the outworking of the mandate to exercise dominion over creation. Lamech’s family represents “the extension of the cultural mandate from animal husbandry to the arts and sciences” (Reformation Study Bible, note on 4:19–24). Ligonier states the balance explicitly: not all societal progression is evil — God’s later approval of music in the Psalms shows that cultural development is not necessarily evil in itself, and the image of God, though shattered in sinners, is still able to produce arts and sciences that glorify the Lord (</w:t>
      </w:r>
      <w:hyperlink r:id="rId17">
        <w:r>
          <w:rPr>
            <w:rStyle w:val="Hyperlink"/>
          </w:rPr>
          <w:t>Ligonier, “The First City”</w:t>
        </w:r>
      </w:hyperlink>
      <w:r>
        <w:t xml:space="preserve">). This is the doctrine Reformed theology calls </w:t>
      </w:r>
      <w:r>
        <w:rPr>
          <w:b/>
          <w:bCs/>
        </w:rPr>
        <w:t>common grace</w:t>
      </w:r>
      <w:r>
        <w:t>: God restrains sin and distributes gifts broadly, so that unbelievers genuinely bless the world with truth, beauty, and skill. Notice that Genesis grants family life to unbelievers in the same breath — “in God’s common grace, family life is enjoyed by unbelievers as well as by believers” (Reformation Study Bible, note on 4:17).</w:t>
      </w:r>
    </w:p>
    <w:p w14:paraId="33546399" w14:textId="77777777" w:rsidR="00366E1E" w:rsidRDefault="00000000">
      <w:pPr>
        <w:pStyle w:val="BodyText"/>
      </w:pPr>
      <w:r>
        <w:rPr>
          <w:b/>
          <w:bCs/>
        </w:rPr>
        <w:t>Second, common grace is not saving grace.</w:t>
      </w:r>
      <w:r>
        <w:t xml:space="preserve"> Every one of these achievements sits inside a line that Scripture never once places in the line of salvation. Derek Kidner’s verdict, quoted approvingly in Reformed teaching, is blunt: “In the history of salvation, the family of Cain is an irrelevance.” The Cainites are inventors of tools, art, and music, and builders of cities — “yet they are never mentioned in the line of salvation,” and “in all the cultural advances and accomplishments recorded there in the line of Cain, there was not one shred of hope” (</w:t>
      </w:r>
      <w:hyperlink r:id="rId18">
        <w:r>
          <w:rPr>
            <w:rStyle w:val="Hyperlink"/>
          </w:rPr>
          <w:t>Reformed Theological Seminary, “The Godly Line”</w:t>
        </w:r>
      </w:hyperlink>
      <w:r>
        <w:t>). A man may compose symphonies and still be lost. A civilization may master metallurgy and still be under judgment.</w:t>
      </w:r>
    </w:p>
    <w:p w14:paraId="477DB235" w14:textId="77777777" w:rsidR="00366E1E" w:rsidRDefault="00000000">
      <w:pPr>
        <w:pStyle w:val="BodyText"/>
      </w:pPr>
      <w:r>
        <w:rPr>
          <w:b/>
          <w:bCs/>
        </w:rPr>
        <w:t>Third, the sequence is a warning.</w:t>
      </w:r>
      <w:r>
        <w:t xml:space="preserve"> The passage moves from tents to music to metal, and then immediately to a murder song. That order is not accidental. “The ambivalence of godless human culture is portrayed by advances in civilization, including the first city, that parallel an increase in violence” (Reformation Study Bible, note on 4:17–24). Or as the NIV Biblical Theology Study Bible observes of these inventions, “although their work could be used for good, in this case it seems to have led to greater violence” (note on 4:20–22). Tubal-Cain sharpens the blade; his father sings about using it. Technology amplifies whatever is in the human heart. Give a violent man better tools and you get a more efficient violence.</w:t>
      </w:r>
    </w:p>
    <w:p w14:paraId="3C2A7BFD" w14:textId="77777777" w:rsidR="00366E1E" w:rsidRDefault="00000000">
      <w:pPr>
        <w:pStyle w:val="Heading3"/>
      </w:pPr>
      <w:bookmarkStart w:id="19" w:name="X8a1146ce9a64e5f5f24edc40a9b423e38d12a2e"/>
      <w:bookmarkEnd w:id="18"/>
      <w:r>
        <w:lastRenderedPageBreak/>
        <w:t>Calvin on the arts and sciences of unbelievers</w:t>
      </w:r>
    </w:p>
    <w:p w14:paraId="44E35F7E" w14:textId="77777777" w:rsidR="00366E1E" w:rsidRDefault="00000000">
      <w:pPr>
        <w:pStyle w:val="FirstParagraph"/>
      </w:pPr>
      <w:r>
        <w:t>Because this passage is where the doctrine of common grace is born, it is worth hearing Calvin at length, since no one has stated the Reformed position more forcefully. Calvin held that certain natural gifts are “bestowed indiscriminately upon the pious and impious,” and he called that bestowal “a peculiar grace of God” (</w:t>
      </w:r>
      <w:r>
        <w:rPr>
          <w:i/>
          <w:iCs/>
        </w:rPr>
        <w:t>Institutes</w:t>
      </w:r>
      <w:r>
        <w:t xml:space="preserve"> 2.2.14, as summarized in </w:t>
      </w:r>
      <w:hyperlink r:id="rId19">
        <w:r>
          <w:rPr>
            <w:rStyle w:val="Hyperlink"/>
          </w:rPr>
          <w:t>RPM Ministries, “John Calvin on Common Grace”</w:t>
        </w:r>
      </w:hyperlink>
      <w:r>
        <w:t>). Then he pressed further:</w:t>
      </w:r>
    </w:p>
    <w:p w14:paraId="61D342A8" w14:textId="77777777" w:rsidR="00366E1E" w:rsidRDefault="00000000">
      <w:pPr>
        <w:pStyle w:val="BlockText"/>
      </w:pPr>
      <w:r>
        <w:t>“Whenever we come upon these matters in secular writers, let that admirable light of truth shining in them teach us that the mind of man, though fallen and perverted from its wholeness, is nevertheless clothed and ornamented with God’s excellent gifts…. Shall we deny that the truth shone upon the ancient jurists who established civic order and discipline with such great equity? Shall we say that the philosophers were blind in their fine observations and artful descriptions of nature?… What shall we say of all the mathematical sciences? Shall we consider them the ravings of madmen? No, we cannot read the writings of the ancients on these subjects without great admiration…. Let us, accordingly, learn by their example how many gifts the Lord left to human nature even after it was despoiled of its true good” (</w:t>
      </w:r>
      <w:r>
        <w:rPr>
          <w:i/>
          <w:iCs/>
        </w:rPr>
        <w:t>Institutes</w:t>
      </w:r>
      <w:r>
        <w:t xml:space="preserve"> 2.2.15, quoted in </w:t>
      </w:r>
      <w:hyperlink r:id="rId20">
        <w:r>
          <w:rPr>
            <w:rStyle w:val="Hyperlink"/>
          </w:rPr>
          <w:t>RPM Ministries</w:t>
        </w:r>
      </w:hyperlink>
      <w:r>
        <w:t>).</w:t>
      </w:r>
    </w:p>
    <w:p w14:paraId="00B117BA" w14:textId="77777777" w:rsidR="00366E1E" w:rsidRDefault="00000000">
      <w:pPr>
        <w:pStyle w:val="FirstParagraph"/>
      </w:pPr>
      <w:r>
        <w:t>And the principle that follows: “We shall neither reject the truth itself, nor despise it wherever it appears, unless we wish to dishonor the Spirit of God. If we regard the Spirit of God as the sole foundation of truth, we shall not despise it wherever it shall appear” (</w:t>
      </w:r>
      <w:r>
        <w:rPr>
          <w:i/>
          <w:iCs/>
        </w:rPr>
        <w:t>Institutes</w:t>
      </w:r>
      <w:r>
        <w:t xml:space="preserve"> 2.2.14, quoted in </w:t>
      </w:r>
      <w:hyperlink r:id="rId21">
        <w:r>
          <w:rPr>
            <w:rStyle w:val="Hyperlink"/>
          </w:rPr>
          <w:t>RPM Ministries</w:t>
        </w:r>
      </w:hyperlink>
      <w:r>
        <w:t>).</w:t>
      </w:r>
    </w:p>
    <w:p w14:paraId="24E7F53E" w14:textId="77777777" w:rsidR="00366E1E" w:rsidRDefault="00000000">
      <w:pPr>
        <w:pStyle w:val="BodyText"/>
      </w:pPr>
      <w:r>
        <w:t>Apply that to Genesis 4:20–22 and the tension resolves without collapsing. Jubal’s music is genuinely beautiful, and its beauty is a gift of the Spirit of God to a man who did not worship Him. Tubal-cain’s metallurgy is genuinely brilliant, and its brilliance is on loan. A Christian student may therefore admire a pagan sculptor, learn from an unbelieving engineer, and enjoy the work of a godless composer without embarrassment — while never confusing any of it with salvation. Calvin’s own metaphor is the balance: the mind of fallen man is “clothed and ornamented with God’s excellent gifts,” and still fallen.</w:t>
      </w:r>
    </w:p>
    <w:p w14:paraId="71B8079D" w14:textId="77777777" w:rsidR="00366E1E" w:rsidRDefault="00000000">
      <w:pPr>
        <w:pStyle w:val="Heading3"/>
      </w:pPr>
      <w:bookmarkStart w:id="20" w:name="Xda46d14d231deb759e04e0e985797fb4ded8091"/>
      <w:bookmarkEnd w:id="19"/>
      <w:r>
        <w:t>Where these three trades reappear in Scripture</w:t>
      </w:r>
    </w:p>
    <w:p w14:paraId="3C09114D" w14:textId="77777777" w:rsidR="00366E1E" w:rsidRDefault="00000000">
      <w:pPr>
        <w:pStyle w:val="FirstParagraph"/>
      </w:pPr>
      <w:r>
        <w:t>Here is a striking observation that keeps this section from turning into a lecture against culture. The three occupations invented in Cain’s line are all later taken up into the worship and service of God.</w:t>
      </w:r>
    </w:p>
    <w:p w14:paraId="42E99190" w14:textId="77777777" w:rsidR="00366E1E" w:rsidRDefault="00000000">
      <w:pPr>
        <w:pStyle w:val="Compact"/>
        <w:numPr>
          <w:ilvl w:val="0"/>
          <w:numId w:val="5"/>
        </w:numPr>
      </w:pPr>
      <w:r>
        <w:rPr>
          <w:b/>
          <w:bCs/>
        </w:rPr>
        <w:lastRenderedPageBreak/>
        <w:t>Herding.</w:t>
      </w:r>
      <w:r>
        <w:t xml:space="preserve"> Abraham, Isaac, and Jacob are wealthy livestock men (Genesis 13:2; 30:43; 47:3). David is taken from the sheepfolds to shepherd Israel (Psalm 78:70–72). The Lord Himself is “my shepherd” (Psalm 23:1), and Jesus is the Good Shepherd (John 10:11).</w:t>
      </w:r>
    </w:p>
    <w:p w14:paraId="15820BF2" w14:textId="77777777" w:rsidR="00366E1E" w:rsidRDefault="00000000">
      <w:pPr>
        <w:pStyle w:val="Compact"/>
        <w:numPr>
          <w:ilvl w:val="0"/>
          <w:numId w:val="5"/>
        </w:numPr>
      </w:pPr>
      <w:r>
        <w:rPr>
          <w:b/>
          <w:bCs/>
        </w:rPr>
        <w:t>Music.</w:t>
      </w:r>
      <w:r>
        <w:t xml:space="preserve"> David appoints thousands of Levites to the ministry of song, and the sons of Asaph, Heman, and Jeduthun prophesy “with lyres, harps, and cymbals” (1 Chronicles 25:1–7). The Psalter ends by summoning trumpet, lute, harp, tambourine, strings, pipe, and cymbals to praise the LORD (Psalm 150:3–5). Jubal’s instruments end up in the temple.</w:t>
      </w:r>
    </w:p>
    <w:p w14:paraId="3910F318" w14:textId="77777777" w:rsidR="00366E1E" w:rsidRDefault="00000000">
      <w:pPr>
        <w:pStyle w:val="Compact"/>
        <w:numPr>
          <w:ilvl w:val="0"/>
          <w:numId w:val="5"/>
        </w:numPr>
      </w:pPr>
      <w:r>
        <w:rPr>
          <w:b/>
          <w:bCs/>
        </w:rPr>
        <w:t>Metalwork.</w:t>
      </w:r>
      <w:r>
        <w:t xml:space="preserve"> God fills Bezalel “with the Spirit of God, with ability and intelligence, with knowledge and all craftsmanship, to devise artistic designs, to work in gold, silver, and bronze” for the tabernacle (Exodus 31:1–5; 35:30–35). Hiram of Tyre, “full of wisdom, understanding, and skill for making any work in bronze,” casts the pillars and the sea for Solomon’s temple (1 Kings 7:13–14). The craft Tubal-cain pioneered becomes the craft that adorns the house of God.</w:t>
      </w:r>
    </w:p>
    <w:p w14:paraId="5A4AB1B0" w14:textId="77777777" w:rsidR="00366E1E" w:rsidRDefault="00000000">
      <w:pPr>
        <w:pStyle w:val="FirstParagraph"/>
      </w:pPr>
      <w:r>
        <w:t>The conclusion is exactly the one common grace requires: the problem was never the skill. The problem was the direction the skill was pointed. Metal can be a plowshare or a spear, and Isaiah promises a day when the nations “shall beat their swords into plowshares” (Isaiah 2:4) — the reversal of Genesis 4 written into the age to come.</w:t>
      </w:r>
    </w:p>
    <w:p w14:paraId="7E8FA232" w14:textId="77777777" w:rsidR="00366E1E" w:rsidRDefault="00000000">
      <w:pPr>
        <w:pStyle w:val="Heading3"/>
      </w:pPr>
      <w:bookmarkStart w:id="21" w:name="the-ancient-near-eastern-backdrop"/>
      <w:bookmarkEnd w:id="20"/>
      <w:r>
        <w:t>The ancient Near Eastern backdrop</w:t>
      </w:r>
    </w:p>
    <w:p w14:paraId="674E62A1" w14:textId="77777777" w:rsidR="00366E1E" w:rsidRDefault="00000000">
      <w:pPr>
        <w:pStyle w:val="FirstParagraph"/>
      </w:pPr>
      <w:r>
        <w:t>Israel’s neighbors told similar stories, and the comparison is instructive. Mesopotamian tradition spoke of a series of sages (</w:t>
      </w:r>
      <w:r>
        <w:rPr>
          <w:i/>
          <w:iCs/>
        </w:rPr>
        <w:t>apkallu</w:t>
      </w:r>
      <w:r>
        <w:t>), one per antediluvian king, who introduced the major features of human culture. Genesis knows this framework and answers it: the Bible teaches that these inventors came from the line of Cain (NIV Biblical Theology Study Bible, note on 4:20–22). Pre-flood genealogies were well attested in the ancient world, and the Sumerian King List records monarchs who ruled before the “Great Deluge,” with city-founding as one of their primary activities (ESV Study Bible, note on 4:18–22).</w:t>
      </w:r>
    </w:p>
    <w:p w14:paraId="452AAE1A" w14:textId="77777777" w:rsidR="00366E1E" w:rsidRDefault="00000000">
      <w:pPr>
        <w:pStyle w:val="BodyText"/>
      </w:pPr>
      <w:r>
        <w:t>The comparison extends to the shape of the list itself. Scholars of Mesopotamian tradition note that the Sumerian antediluvian King List records extraordinarily long reigns — anywhere from 3,600 to 72,000 years — and that versions of the list name ten kings, the last of whom is the hero of the flood, matching Noah’s position as tenth in Genesis 5. In three copies of the list, the seventh place belongs to Enmeduranki, king of Sippar, “the city of the sun-god Šamaš” — a detail some connect with Enoch’s symbolic 365 years, the length of a solar year (</w:t>
      </w:r>
      <w:hyperlink r:id="rId22">
        <w:r>
          <w:rPr>
            <w:rStyle w:val="Hyperlink"/>
          </w:rPr>
          <w:t>Andrei Orlov, Marquette University</w:t>
        </w:r>
      </w:hyperlink>
      <w:r>
        <w:t xml:space="preserve">). The parallels are real and should not frighten us. Long-lived ancestors, </w:t>
      </w:r>
      <w:r>
        <w:lastRenderedPageBreak/>
        <w:t>ten generations, a flood hero at the end, and a distinguished seventh figure are the shared furniture of the world’s oldest memories of its own beginnings.</w:t>
      </w:r>
    </w:p>
    <w:p w14:paraId="1165FFB4" w14:textId="77777777" w:rsidR="00366E1E" w:rsidRDefault="00000000">
      <w:pPr>
        <w:pStyle w:val="BodyText"/>
      </w:pPr>
      <w:r>
        <w:t>What Genesis does with that furniture is the point. The Mesopotamian lists inflate reigns into the tens of thousands of years and make their kings quasi-divine; Genesis gives sober figures, keeps its men resolutely human, and refuses to divinize any of them. The Mesopotamian seventh figure is exalted for esoteric knowledge; Genesis’ seventh man is honored for walking with God. Where the neighbors gloried in the antiquity and grandeur of civilization, Genesis quietly notes that civilization’s founders were fugitives.</w:t>
      </w:r>
    </w:p>
    <w:p w14:paraId="110F5138" w14:textId="77777777" w:rsidR="00366E1E" w:rsidRDefault="00000000">
      <w:pPr>
        <w:pStyle w:val="BodyText"/>
      </w:pPr>
      <w:r>
        <w:t>Two things follow. Genesis is participating in a genuinely ancient conversation about the origins of civilization — such parallels support rather than undermine the historicity of the biblical pre-flood account (ESV Study Bible, note on 4:18–22). But Genesis also demythologizes the story. Culture is not a gift smuggled down from the gods by semi-divine sages. It is the work of ordinary, image-bearing, sinning human beings — and the first great cultural boom happened in a family running away from God.</w:t>
      </w:r>
    </w:p>
    <w:p w14:paraId="13AB86FF" w14:textId="77777777" w:rsidR="00366E1E" w:rsidRDefault="00000000">
      <w:r>
        <w:pict w14:anchorId="45E822F9">
          <v:rect id="_x0000_i1032" style="width:0;height:1.5pt" o:hralign="center" o:hrstd="t" o:hr="t"/>
        </w:pict>
      </w:r>
    </w:p>
    <w:p w14:paraId="36669A36" w14:textId="77777777" w:rsidR="00366E1E" w:rsidRDefault="00000000">
      <w:pPr>
        <w:pStyle w:val="Heading2"/>
      </w:pPr>
      <w:bookmarkStart w:id="22" w:name="Xa8f3e8d7a9cd2007078730a5574eb7b8bc17962"/>
      <w:bookmarkEnd w:id="17"/>
      <w:bookmarkEnd w:id="21"/>
      <w:r>
        <w:t>Part Seven: The Song of the Sword (Genesis 4:23–24)</w:t>
      </w:r>
    </w:p>
    <w:p w14:paraId="1936DE97" w14:textId="77777777" w:rsidR="00366E1E" w:rsidRDefault="00000000">
      <w:pPr>
        <w:pStyle w:val="BlockText"/>
      </w:pPr>
      <w:r>
        <w:t>“Lamech said to his wives: ‘Adah and Zillah, hear my voice; you wives of Lamech, listen to what I say: I have killed a man for wounding me, a young man for striking me. If Cain’s revenge is sevenfold, then Lamech’s is seventy-sevenfold.’”</w:t>
      </w:r>
    </w:p>
    <w:p w14:paraId="6905F994" w14:textId="77777777" w:rsidR="00366E1E" w:rsidRDefault="00000000">
      <w:pPr>
        <w:pStyle w:val="FirstParagraph"/>
      </w:pPr>
      <w:r>
        <w:t>This is the climax of Cain’s line, and it is a poem.</w:t>
      </w:r>
    </w:p>
    <w:p w14:paraId="2544A1D9" w14:textId="77777777" w:rsidR="00366E1E" w:rsidRDefault="00000000">
      <w:pPr>
        <w:pStyle w:val="BodyText"/>
      </w:pPr>
      <w:r>
        <w:t>It is the longest recorded human speech in the Bible up to this point — twenty-one Hebrew words — sometimes called the “Song of the Sword,” and it represents the dark climax of the Cainite genealogy (CSB Study Bible, note on 4:23). Poetry in Genesis marks the emotional peaks: Adam’s delight over Eve (2:23), God’s judgment on the serpent (3:14–15), and now a man’s celebration of homicide. The form itself is a kind of horror. This is the first recorded song in human history, and its subject is murder.</w:t>
      </w:r>
    </w:p>
    <w:p w14:paraId="5501B7B4" w14:textId="77777777" w:rsidR="00366E1E" w:rsidRDefault="00000000">
      <w:pPr>
        <w:pStyle w:val="BodyText"/>
      </w:pPr>
      <w:r>
        <w:t>Let me unpack it slowly.</w:t>
      </w:r>
    </w:p>
    <w:p w14:paraId="3DF1653C" w14:textId="77777777" w:rsidR="00366E1E" w:rsidRDefault="00000000">
      <w:pPr>
        <w:pStyle w:val="BodyText"/>
      </w:pPr>
      <w:r>
        <w:rPr>
          <w:b/>
          <w:bCs/>
        </w:rPr>
        <w:t>The literary form.</w:t>
      </w:r>
      <w:r>
        <w:t xml:space="preserve"> The poem uses synonymous parallelism, the standard Hebrew technique of stating the same idea twice in parallel lines (Faithlife Study Bible, note on 4:23–24). “A man for wounding me / a young man for striking me.” The doubling is not two victims necessarily but </w:t>
      </w:r>
      <w:r>
        <w:lastRenderedPageBreak/>
        <w:t>poetic intensification — and it makes the boast sound polished, rehearsed, artistic. Lamech has made his violence beautiful.</w:t>
      </w:r>
    </w:p>
    <w:p w14:paraId="70C57766" w14:textId="77777777" w:rsidR="00366E1E" w:rsidRDefault="00000000">
      <w:pPr>
        <w:pStyle w:val="BodyText"/>
      </w:pPr>
      <w:r>
        <w:rPr>
          <w:b/>
          <w:bCs/>
        </w:rPr>
        <w:t>The audience.</w:t>
      </w:r>
      <w:r>
        <w:t xml:space="preserve"> He addresses his wives. Notice the imperiousness: “Hear my voice, you wives of Lamech.” Henry observes that Lamech’s violation of the law of marriage was accompanied by a violation of the duty to be kind and tender toward his wives and to honor the wife as the weaker vessel (</w:t>
      </w:r>
      <w:hyperlink r:id="rId23">
        <w:r>
          <w:rPr>
            <w:rStyle w:val="Hyperlink"/>
          </w:rPr>
          <w:t>Matthew Henry, Genesis 4</w:t>
        </w:r>
      </w:hyperlink>
      <w:r>
        <w:t>). One plausible reading is that he is intimidating them — reminding two women who share a husband against their created dignity of what he does to people who cross him (Faithlife Study Bible, note on 4:23–24; compare 3:16). The tyranny of the home and the violence of the field are the same disease.</w:t>
      </w:r>
    </w:p>
    <w:p w14:paraId="628284A1" w14:textId="77777777" w:rsidR="00366E1E" w:rsidRDefault="00000000">
      <w:pPr>
        <w:pStyle w:val="BodyText"/>
      </w:pPr>
      <w:r>
        <w:rPr>
          <w:b/>
          <w:bCs/>
        </w:rPr>
        <w:t>The victim — one or two?</w:t>
      </w:r>
      <w:r>
        <w:t xml:space="preserve"> Most likely one. Because Hebrew poetry states the same thing twice in different words, “a man” and “a young man” are probably two descriptions of a single victim rather than a double homicide. It does not soften the crime; it sharpens the picture. Lamech killed one person and wrote a song about it.</w:t>
      </w:r>
    </w:p>
    <w:p w14:paraId="44270900" w14:textId="77777777" w:rsidR="00366E1E" w:rsidRDefault="00000000">
      <w:pPr>
        <w:pStyle w:val="BodyText"/>
      </w:pPr>
      <w:r>
        <w:rPr>
          <w:b/>
          <w:bCs/>
        </w:rPr>
        <w:t>The Hebrew word for the victim.</w:t>
      </w:r>
      <w:r>
        <w:t xml:space="preserve"> The word </w:t>
      </w:r>
      <w:r>
        <w:rPr>
          <w:i/>
          <w:iCs/>
        </w:rPr>
        <w:t>yeled</w:t>
      </w:r>
      <w:r>
        <w:t xml:space="preserve"> often means a male child or young boy. If Lamech’s victim was younger and weaker, his act is that much more evil (Faithlife Study Bible, note on 4:23). Others take </w:t>
      </w:r>
      <w:r>
        <w:rPr>
          <w:i/>
          <w:iCs/>
        </w:rPr>
        <w:t>yeled</w:t>
      </w:r>
      <w:r>
        <w:t xml:space="preserve"> as a youthful warrior rather than a child (NET Bible translators’ note on 4:23). Either way, the balance of the exchange is monstrous: he was wounded, and he killed.</w:t>
      </w:r>
    </w:p>
    <w:p w14:paraId="28913026" w14:textId="77777777" w:rsidR="00366E1E" w:rsidRDefault="00000000">
      <w:pPr>
        <w:pStyle w:val="BodyText"/>
      </w:pPr>
      <w:r>
        <w:rPr>
          <w:b/>
          <w:bCs/>
        </w:rPr>
        <w:t>The proportion.</w:t>
      </w:r>
      <w:r>
        <w:t xml:space="preserve"> This is the moral heart of the matter. Lamech’s response is wildly out of proportion to the injury, revealing his inordinate vengefulness (ESV Study Bible, note on 4:23–24). Later Pentateuchal law will insist on proportional punishment — the famous </w:t>
      </w:r>
      <w:r>
        <w:rPr>
          <w:i/>
          <w:iCs/>
        </w:rPr>
        <w:t>lex talionis</w:t>
      </w:r>
      <w:r>
        <w:t xml:space="preserve">, eye for eye, life for life (Exodus 21:23–25; Leviticus 24:20; Deuteronomy 19:21). Modern readers often hear that law as barbaric. Read against Lamech, it is revealed for what it is: a merciful cap. It exists to </w:t>
      </w:r>
      <w:r>
        <w:rPr>
          <w:i/>
          <w:iCs/>
        </w:rPr>
        <w:t>stop</w:t>
      </w:r>
      <w:r>
        <w:t xml:space="preserve"> men like Lamech. His level of retaliation “goes far beyond the biblical limits” (CSB Study Bible, note on 4:23); his words are “not the later ‘eye for eye’ of the law but… inciting violence” (NIV Biblical Theology Study Bible, note on 4:23).</w:t>
      </w:r>
    </w:p>
    <w:p w14:paraId="64F0F1E7" w14:textId="77777777" w:rsidR="00366E1E" w:rsidRDefault="00000000">
      <w:pPr>
        <w:pStyle w:val="BodyText"/>
      </w:pPr>
      <w:r>
        <w:rPr>
          <w:b/>
          <w:bCs/>
        </w:rPr>
        <w:t>The numbers.</w:t>
      </w:r>
      <w:r>
        <w:t xml:space="preserve"> The mathematics of the boast is where the theology lives. Back in Genesis 4:15, God had said that whoever killed Cain would suffer vengeance sevenfold. That was </w:t>
      </w:r>
      <w:r>
        <w:rPr>
          <w:b/>
          <w:bCs/>
        </w:rPr>
        <w:t>mercy</w:t>
      </w:r>
      <w:r>
        <w:t xml:space="preserve"> — a deterrent designed to </w:t>
      </w:r>
      <w:r>
        <w:rPr>
          <w:i/>
          <w:iCs/>
        </w:rPr>
        <w:t>limit</w:t>
      </w:r>
      <w:r>
        <w:t xml:space="preserve"> bloodshed and protect a murderer from being murdered. Lamech takes that promise of restraint and turns it into a standard to beat. His reasoning runs: if Cain the murderer gets sevenfold protection, how much more one who has been genuinely wronged! But he “misses the point of God’s merciful treatment of Cain. God was not establishing a principle of justice when he warned he would avenge Cain’s murder. In fact he was trying to limit the </w:t>
      </w:r>
      <w:r>
        <w:lastRenderedPageBreak/>
        <w:t>shedding of blood, something Lamech wants to multiply instead.” The “seventy-seven” is hyperbolic, emphasizing the extreme severity of the vengeance he envisions (NET Bible study note on 4:24).</w:t>
      </w:r>
    </w:p>
    <w:p w14:paraId="0A7D0B6E" w14:textId="77777777" w:rsidR="00366E1E" w:rsidRDefault="00000000">
      <w:pPr>
        <w:pStyle w:val="BodyText"/>
      </w:pPr>
      <w:r>
        <w:t xml:space="preserve">Even worse, Lamech seems to think this makes him </w:t>
      </w:r>
      <w:r>
        <w:rPr>
          <w:i/>
          <w:iCs/>
        </w:rPr>
        <w:t>safer</w:t>
      </w:r>
      <w:r>
        <w:t xml:space="preserve"> than Cain. Cain had protection only from God; Lamech boasts that his own vengeful passion is a better shield (ESV Study Bible, note on 4:23–24). Where Cain trembled in fear (4:14), Lamech radiates “arrogant assurance and self-reliance” (Reformation Study Bible, note on 4:24). He no longer needs the mark of divine protection, because he has become his own avenger. Either he assumes God’s protection extends to him automatically, or his own greatness has made divine protection unnecessary in his eyes (Faithlife Study Bible, note on 4:24). Tabletalk states it most starkly: “Lamech acted as though he were greater than God, capable of meting out seventyfold vengeance” (</w:t>
      </w:r>
      <w:hyperlink r:id="rId24">
        <w:r>
          <w:rPr>
            <w:rStyle w:val="Hyperlink"/>
          </w:rPr>
          <w:t>Tabletalk Magazine</w:t>
        </w:r>
      </w:hyperlink>
      <w:r>
        <w:t>).</w:t>
      </w:r>
    </w:p>
    <w:p w14:paraId="7A2C2CA3" w14:textId="77777777" w:rsidR="00366E1E" w:rsidRDefault="00000000">
      <w:pPr>
        <w:pStyle w:val="BodyText"/>
      </w:pPr>
      <w:r>
        <w:rPr>
          <w:b/>
          <w:bCs/>
        </w:rPr>
        <w:t>Where the confidence comes from.</w:t>
      </w:r>
      <w:r>
        <w:t xml:space="preserve"> It is worth noticing whose father Lamech is. His son Tubal-cain forges instruments of bronze and iron. Lamech’s swagger may not be empty bravado at all; a man whose household holds a monopoly on the best weapons technology in the world has material reason to think he can out-avenge anybody. Genesis does not say this outright, but the arrangement of the verses invites the inference: metallurgy in verse 22, a murder boast in verse 23. Superior force breeds the conviction that force settles questions.</w:t>
      </w:r>
    </w:p>
    <w:p w14:paraId="0BB95377" w14:textId="77777777" w:rsidR="00366E1E" w:rsidRDefault="00000000">
      <w:pPr>
        <w:pStyle w:val="BodyText"/>
      </w:pPr>
      <w:r>
        <w:t>That is the terminus of Cain’s line. Seven generations from Adam, the family has produced a man who has replaced God with himself.</w:t>
      </w:r>
    </w:p>
    <w:p w14:paraId="5FC3C595" w14:textId="77777777" w:rsidR="00366E1E" w:rsidRDefault="00000000">
      <w:pPr>
        <w:pStyle w:val="BodyText"/>
      </w:pPr>
      <w:r>
        <w:t xml:space="preserve">And this is why Lamech matters for what comes next. His boast of killing for vengeance foreshadows the exact conditions that brought the flood: “the earth was filled with violence” (Genesis 6:11; CSB Study Bible, note on 4:23). Lamech’s song is the flood’s first thunderclap. He also shows what depravity looks like as a </w:t>
      </w:r>
      <w:r>
        <w:rPr>
          <w:i/>
          <w:iCs/>
        </w:rPr>
        <w:t>trajectory</w:t>
      </w:r>
      <w:r>
        <w:t xml:space="preserve"> rather than an event — “a progressive hardening in sin,” polygamy plus an unjust vendetta, in which Lamech “expresses, indeed celebrates, his deepening depravity by his song” (Reformation Study Bible, note on 4:19–24). Henry’s phrase captures it: Lamech glories in shame (</w:t>
      </w:r>
      <w:hyperlink r:id="rId25">
        <w:r>
          <w:rPr>
            <w:rStyle w:val="Hyperlink"/>
          </w:rPr>
          <w:t>Matthew Henry, Genesis 4</w:t>
        </w:r>
      </w:hyperlink>
      <w:r>
        <w:t>).</w:t>
      </w:r>
    </w:p>
    <w:p w14:paraId="747FDEA9" w14:textId="77777777" w:rsidR="00366E1E" w:rsidRDefault="00000000">
      <w:pPr>
        <w:pStyle w:val="Heading3"/>
      </w:pPr>
      <w:bookmarkStart w:id="23" w:name="the-ladder-of-sin-from-eden-to-the-flood"/>
      <w:r>
        <w:t>The ladder of sin from Eden to the flood</w:t>
      </w:r>
    </w:p>
    <w:p w14:paraId="688DEB0F" w14:textId="77777777" w:rsidR="00366E1E" w:rsidRDefault="00000000">
      <w:pPr>
        <w:pStyle w:val="FirstParagraph"/>
      </w:pPr>
      <w:r>
        <w:t>Step back from Lamech for a moment and look at the whole descent. Genesis 3–6 is not a flat plain of sinfulness; it is a staircase, and each step invades a new sphere of created life.</w:t>
      </w:r>
    </w:p>
    <w:tbl>
      <w:tblPr>
        <w:tblStyle w:val="Table"/>
        <w:tblW w:w="5000" w:type="pct"/>
        <w:tblLayout w:type="fixed"/>
        <w:tblLook w:val="0020" w:firstRow="1" w:lastRow="0" w:firstColumn="0" w:lastColumn="0" w:noHBand="0" w:noVBand="0"/>
      </w:tblPr>
      <w:tblGrid>
        <w:gridCol w:w="3096"/>
        <w:gridCol w:w="3096"/>
        <w:gridCol w:w="3096"/>
      </w:tblGrid>
      <w:tr w:rsidR="00366E1E" w14:paraId="70B2BE39"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2640" w:type="dxa"/>
          </w:tcPr>
          <w:p w14:paraId="277F8D6B" w14:textId="77777777" w:rsidR="00366E1E" w:rsidRDefault="00000000">
            <w:pPr>
              <w:pStyle w:val="Compact"/>
            </w:pPr>
            <w:r>
              <w:t>Step</w:t>
            </w:r>
          </w:p>
        </w:tc>
        <w:tc>
          <w:tcPr>
            <w:tcW w:w="2640" w:type="dxa"/>
          </w:tcPr>
          <w:p w14:paraId="63611C15" w14:textId="77777777" w:rsidR="00366E1E" w:rsidRDefault="00000000">
            <w:pPr>
              <w:pStyle w:val="Compact"/>
            </w:pPr>
            <w:r>
              <w:t>Text</w:t>
            </w:r>
          </w:p>
        </w:tc>
        <w:tc>
          <w:tcPr>
            <w:tcW w:w="2640" w:type="dxa"/>
          </w:tcPr>
          <w:p w14:paraId="1F7F4625" w14:textId="77777777" w:rsidR="00366E1E" w:rsidRDefault="00000000">
            <w:pPr>
              <w:pStyle w:val="Compact"/>
            </w:pPr>
            <w:r>
              <w:t>What sin now touches</w:t>
            </w:r>
          </w:p>
        </w:tc>
      </w:tr>
      <w:tr w:rsidR="00366E1E" w14:paraId="0A0EC7B0" w14:textId="77777777">
        <w:tc>
          <w:tcPr>
            <w:tcW w:w="2640" w:type="dxa"/>
          </w:tcPr>
          <w:p w14:paraId="1438872C" w14:textId="77777777" w:rsidR="00366E1E" w:rsidRDefault="00000000">
            <w:pPr>
              <w:pStyle w:val="Compact"/>
            </w:pPr>
            <w:r>
              <w:lastRenderedPageBreak/>
              <w:t>Disobedience to a direct command</w:t>
            </w:r>
          </w:p>
        </w:tc>
        <w:tc>
          <w:tcPr>
            <w:tcW w:w="2640" w:type="dxa"/>
          </w:tcPr>
          <w:p w14:paraId="57A65D34" w14:textId="77777777" w:rsidR="00366E1E" w:rsidRDefault="00000000">
            <w:pPr>
              <w:pStyle w:val="Compact"/>
            </w:pPr>
            <w:r>
              <w:t>3:6</w:t>
            </w:r>
          </w:p>
        </w:tc>
        <w:tc>
          <w:tcPr>
            <w:tcW w:w="2640" w:type="dxa"/>
          </w:tcPr>
          <w:p w14:paraId="245272E7" w14:textId="77777777" w:rsidR="00366E1E" w:rsidRDefault="00000000">
            <w:pPr>
              <w:pStyle w:val="Compact"/>
            </w:pPr>
            <w:r>
              <w:t>Humanity’s relationship to God</w:t>
            </w:r>
          </w:p>
        </w:tc>
      </w:tr>
      <w:tr w:rsidR="00366E1E" w14:paraId="19EDC78B" w14:textId="77777777">
        <w:tc>
          <w:tcPr>
            <w:tcW w:w="2640" w:type="dxa"/>
          </w:tcPr>
          <w:p w14:paraId="740F4E27" w14:textId="77777777" w:rsidR="00366E1E" w:rsidRDefault="00000000">
            <w:pPr>
              <w:pStyle w:val="Compact"/>
            </w:pPr>
            <w:r>
              <w:t>Blame-shifting and hiding</w:t>
            </w:r>
          </w:p>
        </w:tc>
        <w:tc>
          <w:tcPr>
            <w:tcW w:w="2640" w:type="dxa"/>
          </w:tcPr>
          <w:p w14:paraId="0A36163F" w14:textId="77777777" w:rsidR="00366E1E" w:rsidRDefault="00000000">
            <w:pPr>
              <w:pStyle w:val="Compact"/>
            </w:pPr>
            <w:r>
              <w:t>3:8–13</w:t>
            </w:r>
          </w:p>
        </w:tc>
        <w:tc>
          <w:tcPr>
            <w:tcW w:w="2640" w:type="dxa"/>
          </w:tcPr>
          <w:p w14:paraId="58002DE6" w14:textId="77777777" w:rsidR="00366E1E" w:rsidRDefault="00000000">
            <w:pPr>
              <w:pStyle w:val="Compact"/>
            </w:pPr>
            <w:r>
              <w:t>Conscience, and the relationship of husband and wife</w:t>
            </w:r>
          </w:p>
        </w:tc>
      </w:tr>
      <w:tr w:rsidR="00366E1E" w14:paraId="747250B1" w14:textId="77777777">
        <w:tc>
          <w:tcPr>
            <w:tcW w:w="2640" w:type="dxa"/>
          </w:tcPr>
          <w:p w14:paraId="520CE40E" w14:textId="77777777" w:rsidR="00366E1E" w:rsidRDefault="00000000">
            <w:pPr>
              <w:pStyle w:val="Compact"/>
            </w:pPr>
            <w:r>
              <w:t>Jealousy over worship</w:t>
            </w:r>
          </w:p>
        </w:tc>
        <w:tc>
          <w:tcPr>
            <w:tcW w:w="2640" w:type="dxa"/>
          </w:tcPr>
          <w:p w14:paraId="5395CEA4" w14:textId="77777777" w:rsidR="00366E1E" w:rsidRDefault="00000000">
            <w:pPr>
              <w:pStyle w:val="Compact"/>
            </w:pPr>
            <w:r>
              <w:t>4:3–5</w:t>
            </w:r>
          </w:p>
        </w:tc>
        <w:tc>
          <w:tcPr>
            <w:tcW w:w="2640" w:type="dxa"/>
          </w:tcPr>
          <w:p w14:paraId="35255673" w14:textId="77777777" w:rsidR="00366E1E" w:rsidRDefault="00000000">
            <w:pPr>
              <w:pStyle w:val="Compact"/>
            </w:pPr>
            <w:r>
              <w:t>Worship itself</w:t>
            </w:r>
          </w:p>
        </w:tc>
      </w:tr>
      <w:tr w:rsidR="00366E1E" w14:paraId="2FD4BF31" w14:textId="77777777">
        <w:tc>
          <w:tcPr>
            <w:tcW w:w="2640" w:type="dxa"/>
          </w:tcPr>
          <w:p w14:paraId="608E8B1D" w14:textId="77777777" w:rsidR="00366E1E" w:rsidRDefault="00000000">
            <w:pPr>
              <w:pStyle w:val="Compact"/>
            </w:pPr>
            <w:r>
              <w:t>Murder of a brother</w:t>
            </w:r>
          </w:p>
        </w:tc>
        <w:tc>
          <w:tcPr>
            <w:tcW w:w="2640" w:type="dxa"/>
          </w:tcPr>
          <w:p w14:paraId="577BB844" w14:textId="77777777" w:rsidR="00366E1E" w:rsidRDefault="00000000">
            <w:pPr>
              <w:pStyle w:val="Compact"/>
            </w:pPr>
            <w:r>
              <w:t>4:8</w:t>
            </w:r>
          </w:p>
        </w:tc>
        <w:tc>
          <w:tcPr>
            <w:tcW w:w="2640" w:type="dxa"/>
          </w:tcPr>
          <w:p w14:paraId="4058F5A6" w14:textId="77777777" w:rsidR="00366E1E" w:rsidRDefault="00000000">
            <w:pPr>
              <w:pStyle w:val="Compact"/>
            </w:pPr>
            <w:r>
              <w:t>Human brotherhood, the family</w:t>
            </w:r>
          </w:p>
        </w:tc>
      </w:tr>
      <w:tr w:rsidR="00366E1E" w14:paraId="195A68D5" w14:textId="77777777">
        <w:tc>
          <w:tcPr>
            <w:tcW w:w="2640" w:type="dxa"/>
          </w:tcPr>
          <w:p w14:paraId="0FB78522" w14:textId="77777777" w:rsidR="00366E1E" w:rsidRDefault="00000000">
            <w:pPr>
              <w:pStyle w:val="Compact"/>
            </w:pPr>
            <w:r>
              <w:t>Denial and hardness before God</w:t>
            </w:r>
          </w:p>
        </w:tc>
        <w:tc>
          <w:tcPr>
            <w:tcW w:w="2640" w:type="dxa"/>
          </w:tcPr>
          <w:p w14:paraId="0E7B2406" w14:textId="77777777" w:rsidR="00366E1E" w:rsidRDefault="00000000">
            <w:pPr>
              <w:pStyle w:val="Compact"/>
            </w:pPr>
            <w:r>
              <w:t>4:9</w:t>
            </w:r>
          </w:p>
        </w:tc>
        <w:tc>
          <w:tcPr>
            <w:tcW w:w="2640" w:type="dxa"/>
          </w:tcPr>
          <w:p w14:paraId="2521B646" w14:textId="77777777" w:rsidR="00366E1E" w:rsidRDefault="00000000">
            <w:pPr>
              <w:pStyle w:val="Compact"/>
            </w:pPr>
            <w:r>
              <w:t>The moral sense</w:t>
            </w:r>
          </w:p>
        </w:tc>
      </w:tr>
      <w:tr w:rsidR="00366E1E" w14:paraId="2F3127C7" w14:textId="77777777">
        <w:tc>
          <w:tcPr>
            <w:tcW w:w="2640" w:type="dxa"/>
          </w:tcPr>
          <w:p w14:paraId="3C747F35" w14:textId="77777777" w:rsidR="00366E1E" w:rsidRDefault="00000000">
            <w:pPr>
              <w:pStyle w:val="Compact"/>
            </w:pPr>
            <w:r>
              <w:t>Defiant self-securing</w:t>
            </w:r>
          </w:p>
        </w:tc>
        <w:tc>
          <w:tcPr>
            <w:tcW w:w="2640" w:type="dxa"/>
          </w:tcPr>
          <w:p w14:paraId="5C40E733" w14:textId="77777777" w:rsidR="00366E1E" w:rsidRDefault="00000000">
            <w:pPr>
              <w:pStyle w:val="Compact"/>
            </w:pPr>
            <w:r>
              <w:t>4:17</w:t>
            </w:r>
          </w:p>
        </w:tc>
        <w:tc>
          <w:tcPr>
            <w:tcW w:w="2640" w:type="dxa"/>
          </w:tcPr>
          <w:p w14:paraId="40F26C4A" w14:textId="77777777" w:rsidR="00366E1E" w:rsidRDefault="00000000">
            <w:pPr>
              <w:pStyle w:val="Compact"/>
            </w:pPr>
            <w:r>
              <w:t>Civil and social order</w:t>
            </w:r>
          </w:p>
        </w:tc>
      </w:tr>
      <w:tr w:rsidR="00366E1E" w14:paraId="06A0BA62" w14:textId="77777777">
        <w:tc>
          <w:tcPr>
            <w:tcW w:w="2640" w:type="dxa"/>
          </w:tcPr>
          <w:p w14:paraId="0BCFCF6B" w14:textId="77777777" w:rsidR="00366E1E" w:rsidRDefault="00000000">
            <w:pPr>
              <w:pStyle w:val="Compact"/>
            </w:pPr>
            <w:r>
              <w:t>Polygamy</w:t>
            </w:r>
          </w:p>
        </w:tc>
        <w:tc>
          <w:tcPr>
            <w:tcW w:w="2640" w:type="dxa"/>
          </w:tcPr>
          <w:p w14:paraId="3E54F258" w14:textId="77777777" w:rsidR="00366E1E" w:rsidRDefault="00000000">
            <w:pPr>
              <w:pStyle w:val="Compact"/>
            </w:pPr>
            <w:r>
              <w:t>4:19</w:t>
            </w:r>
          </w:p>
        </w:tc>
        <w:tc>
          <w:tcPr>
            <w:tcW w:w="2640" w:type="dxa"/>
          </w:tcPr>
          <w:p w14:paraId="5BE1F5D4" w14:textId="77777777" w:rsidR="00366E1E" w:rsidRDefault="00000000">
            <w:pPr>
              <w:pStyle w:val="Compact"/>
            </w:pPr>
            <w:r>
              <w:t>Marriage as a created institution</w:t>
            </w:r>
          </w:p>
        </w:tc>
      </w:tr>
      <w:tr w:rsidR="00366E1E" w14:paraId="4511BE1E" w14:textId="77777777">
        <w:tc>
          <w:tcPr>
            <w:tcW w:w="2640" w:type="dxa"/>
          </w:tcPr>
          <w:p w14:paraId="5F1AF873" w14:textId="77777777" w:rsidR="00366E1E" w:rsidRDefault="00000000">
            <w:pPr>
              <w:pStyle w:val="Compact"/>
            </w:pPr>
            <w:r>
              <w:t>Technology in a violent household</w:t>
            </w:r>
          </w:p>
        </w:tc>
        <w:tc>
          <w:tcPr>
            <w:tcW w:w="2640" w:type="dxa"/>
          </w:tcPr>
          <w:p w14:paraId="28BA2C1F" w14:textId="77777777" w:rsidR="00366E1E" w:rsidRDefault="00000000">
            <w:pPr>
              <w:pStyle w:val="Compact"/>
            </w:pPr>
            <w:r>
              <w:t>4:22</w:t>
            </w:r>
          </w:p>
        </w:tc>
        <w:tc>
          <w:tcPr>
            <w:tcW w:w="2640" w:type="dxa"/>
          </w:tcPr>
          <w:p w14:paraId="093B5AA9" w14:textId="77777777" w:rsidR="00366E1E" w:rsidRDefault="00000000">
            <w:pPr>
              <w:pStyle w:val="Compact"/>
            </w:pPr>
            <w:r>
              <w:t>Human capability and craft</w:t>
            </w:r>
          </w:p>
        </w:tc>
      </w:tr>
      <w:tr w:rsidR="00366E1E" w14:paraId="6888D995" w14:textId="77777777">
        <w:tc>
          <w:tcPr>
            <w:tcW w:w="2640" w:type="dxa"/>
          </w:tcPr>
          <w:p w14:paraId="54B74BA1" w14:textId="77777777" w:rsidR="00366E1E" w:rsidRDefault="00000000">
            <w:pPr>
              <w:pStyle w:val="Compact"/>
            </w:pPr>
            <w:r>
              <w:t>Violence celebrated in song</w:t>
            </w:r>
          </w:p>
        </w:tc>
        <w:tc>
          <w:tcPr>
            <w:tcW w:w="2640" w:type="dxa"/>
          </w:tcPr>
          <w:p w14:paraId="16DD4B50" w14:textId="77777777" w:rsidR="00366E1E" w:rsidRDefault="00000000">
            <w:pPr>
              <w:pStyle w:val="Compact"/>
            </w:pPr>
            <w:r>
              <w:t>4:23–24</w:t>
            </w:r>
          </w:p>
        </w:tc>
        <w:tc>
          <w:tcPr>
            <w:tcW w:w="2640" w:type="dxa"/>
          </w:tcPr>
          <w:p w14:paraId="429EFE26" w14:textId="77777777" w:rsidR="00366E1E" w:rsidRDefault="00000000">
            <w:pPr>
              <w:pStyle w:val="Compact"/>
            </w:pPr>
            <w:r>
              <w:t>Culture, art, and public conscience</w:t>
            </w:r>
          </w:p>
        </w:tc>
      </w:tr>
      <w:tr w:rsidR="00366E1E" w14:paraId="421A0685" w14:textId="77777777">
        <w:tc>
          <w:tcPr>
            <w:tcW w:w="2640" w:type="dxa"/>
          </w:tcPr>
          <w:p w14:paraId="65102AE7" w14:textId="77777777" w:rsidR="00366E1E" w:rsidRDefault="00000000">
            <w:pPr>
              <w:pStyle w:val="Compact"/>
            </w:pPr>
            <w:r>
              <w:t>“Every intention… only evil continually”</w:t>
            </w:r>
          </w:p>
        </w:tc>
        <w:tc>
          <w:tcPr>
            <w:tcW w:w="2640" w:type="dxa"/>
          </w:tcPr>
          <w:p w14:paraId="384AD0D6" w14:textId="77777777" w:rsidR="00366E1E" w:rsidRDefault="00000000">
            <w:pPr>
              <w:pStyle w:val="Compact"/>
            </w:pPr>
            <w:r>
              <w:t>6:5</w:t>
            </w:r>
          </w:p>
        </w:tc>
        <w:tc>
          <w:tcPr>
            <w:tcW w:w="2640" w:type="dxa"/>
          </w:tcPr>
          <w:p w14:paraId="293A7151" w14:textId="77777777" w:rsidR="00366E1E" w:rsidRDefault="00000000">
            <w:pPr>
              <w:pStyle w:val="Compact"/>
            </w:pPr>
            <w:r>
              <w:t>The human heart, universally</w:t>
            </w:r>
          </w:p>
        </w:tc>
      </w:tr>
      <w:tr w:rsidR="00366E1E" w14:paraId="10D0DBA3" w14:textId="77777777">
        <w:tc>
          <w:tcPr>
            <w:tcW w:w="2640" w:type="dxa"/>
          </w:tcPr>
          <w:p w14:paraId="7B78EAD7" w14:textId="77777777" w:rsidR="00366E1E" w:rsidRDefault="00000000">
            <w:pPr>
              <w:pStyle w:val="Compact"/>
            </w:pPr>
            <w:r>
              <w:t>“The earth was filled with violence”</w:t>
            </w:r>
          </w:p>
        </w:tc>
        <w:tc>
          <w:tcPr>
            <w:tcW w:w="2640" w:type="dxa"/>
          </w:tcPr>
          <w:p w14:paraId="68D621BB" w14:textId="77777777" w:rsidR="00366E1E" w:rsidRDefault="00000000">
            <w:pPr>
              <w:pStyle w:val="Compact"/>
            </w:pPr>
            <w:r>
              <w:t>6:11</w:t>
            </w:r>
          </w:p>
        </w:tc>
        <w:tc>
          <w:tcPr>
            <w:tcW w:w="2640" w:type="dxa"/>
          </w:tcPr>
          <w:p w14:paraId="79D8E4DD" w14:textId="77777777" w:rsidR="00366E1E" w:rsidRDefault="00000000">
            <w:pPr>
              <w:pStyle w:val="Compact"/>
            </w:pPr>
            <w:r>
              <w:t>The earth itself</w:t>
            </w:r>
          </w:p>
        </w:tc>
      </w:tr>
    </w:tbl>
    <w:p w14:paraId="3786BEAD" w14:textId="77777777" w:rsidR="00366E1E" w:rsidRDefault="00000000">
      <w:pPr>
        <w:pStyle w:val="BodyText"/>
      </w:pPr>
      <w:r>
        <w:t>Each rung is a wider circle. Sin begins in a private act, moves into a family, becomes a household policy, hardens into a culture, and finally saturates a planet. And notice what happens to the moral vocabulary along the way: in chapter 3 sin still hides, in chapter 4 it argues, and by the end of chapter 4 it sings. The last stage of moral collapse is not merely doing evil; it is composing music about it and teaching the song to your wives.</w:t>
      </w:r>
    </w:p>
    <w:p w14:paraId="474DD11B" w14:textId="77777777" w:rsidR="00366E1E" w:rsidRDefault="00000000">
      <w:pPr>
        <w:pStyle w:val="BodyText"/>
      </w:pPr>
      <w:r>
        <w:t>This is why Genesis 6:5 is not an overstatement, and why the flood is not an overreaction. Moses has been building the case for three chapters.</w:t>
      </w:r>
    </w:p>
    <w:p w14:paraId="0F5BE5FB" w14:textId="77777777" w:rsidR="00366E1E" w:rsidRDefault="00000000">
      <w:pPr>
        <w:pStyle w:val="Heading3"/>
      </w:pPr>
      <w:bookmarkStart w:id="24" w:name="jesus-and-the-number-seventy-seven"/>
      <w:bookmarkEnd w:id="23"/>
      <w:r>
        <w:lastRenderedPageBreak/>
        <w:t>Jesus and the number seventy-seven</w:t>
      </w:r>
    </w:p>
    <w:p w14:paraId="53929A9C" w14:textId="77777777" w:rsidR="00366E1E" w:rsidRDefault="00000000">
      <w:pPr>
        <w:pStyle w:val="FirstParagraph"/>
      </w:pPr>
      <w:r>
        <w:t>Now hold that number in your hand and turn to Matthew 18. Peter asks how often he must forgive his brother — as many as seven times? Jesus answers: “not seven times, but seventy-seven times” (Matthew 18:22; see the ESV footnote).</w:t>
      </w:r>
    </w:p>
    <w:p w14:paraId="3A423700" w14:textId="77777777" w:rsidR="00366E1E" w:rsidRDefault="00000000">
      <w:pPr>
        <w:pStyle w:val="BodyText"/>
      </w:pPr>
      <w:r>
        <w:t>That is not a coincidence. It is one of the most breathtaking pieces of intertextual echo in Scripture. Jesus takes Lamech’s number — the arithmetic of unlimited revenge — and inverts it into the arithmetic of unlimited forgiveness. Where Lamech multiplied vengeance, Christ multiplies mercy (ESV Study Bible, note on 4:23–24; NIV Biblical Theology Study Bible, note on 4:24: “Jesus transforms vengeance into forgiveness and uses the same number”). The Reformation Study Bible simply says: “Note the contrast with Jesus’ teaching in Matthew 18:21–22” (note on 4:24).</w:t>
      </w:r>
    </w:p>
    <w:p w14:paraId="1944DD29" w14:textId="77777777" w:rsidR="00366E1E" w:rsidRDefault="00000000">
      <w:pPr>
        <w:pStyle w:val="BodyText"/>
      </w:pPr>
      <w:r>
        <w:t>Genesis 4 shows you what the human heart does with a number. Matthew 18 shows you what the Second Adam does with the same number. If you want a single verse to show a class why the Old Testament and the New Testament are one book, this is it.</w:t>
      </w:r>
    </w:p>
    <w:p w14:paraId="01E51F6D" w14:textId="77777777" w:rsidR="00366E1E" w:rsidRDefault="00000000">
      <w:r>
        <w:pict w14:anchorId="7592929B">
          <v:rect id="_x0000_i1033" style="width:0;height:1.5pt" o:hralign="center" o:hrstd="t" o:hr="t"/>
        </w:pict>
      </w:r>
    </w:p>
    <w:p w14:paraId="4DF34E8C" w14:textId="77777777" w:rsidR="00366E1E" w:rsidRDefault="00000000">
      <w:pPr>
        <w:pStyle w:val="Heading2"/>
      </w:pPr>
      <w:bookmarkStart w:id="25" w:name="part-eight-the-hinge-genesis-42526"/>
      <w:bookmarkEnd w:id="22"/>
      <w:bookmarkEnd w:id="24"/>
      <w:r>
        <w:t>Part Eight: The Hinge (Genesis 4:25–26)</w:t>
      </w:r>
    </w:p>
    <w:p w14:paraId="0A192250" w14:textId="77777777" w:rsidR="00366E1E" w:rsidRDefault="00000000">
      <w:pPr>
        <w:pStyle w:val="BlockText"/>
      </w:pPr>
      <w:r>
        <w:t>“And Adam knew his wife again, and she bore a son and called his name Seth, for she said, ‘God has appointed for me another offspring instead of Abel, for Cain killed him.’ To Seth also a son was born, and he called his name Enosh. At that time people began to call upon the name of the LORD.”</w:t>
      </w:r>
    </w:p>
    <w:p w14:paraId="01460C31" w14:textId="77777777" w:rsidR="00366E1E" w:rsidRDefault="00000000">
      <w:pPr>
        <w:pStyle w:val="FirstParagraph"/>
      </w:pPr>
      <w:r>
        <w:t>After Lamech’s song, the narrative does something abrupt and beautiful. It jumps backward in time. Having traced Cain’s line for seven generations, the text returns to Adam and Eve to report the birth of a third son (ESV Study Bible, note on 4:25–26; Reformation Study Bible, note on 4:25, 26). These two verses form the hinge between the account begun at 2:4 and the account begun at 5:1.</w:t>
      </w:r>
    </w:p>
    <w:p w14:paraId="774E5EF5" w14:textId="77777777" w:rsidR="00366E1E" w:rsidRDefault="00000000">
      <w:pPr>
        <w:pStyle w:val="BodyText"/>
      </w:pPr>
      <w:r>
        <w:t>The literary effect is like a camera pulling back after a horror scene to show a candle burning in another room.</w:t>
      </w:r>
    </w:p>
    <w:p w14:paraId="149DCED3" w14:textId="77777777" w:rsidR="00366E1E" w:rsidRDefault="00000000">
      <w:pPr>
        <w:pStyle w:val="Heading3"/>
      </w:pPr>
      <w:bookmarkStart w:id="26" w:name="eves-confession-of-faith"/>
      <w:r>
        <w:t>Eve’s confession of faith</w:t>
      </w:r>
    </w:p>
    <w:p w14:paraId="05143060" w14:textId="77777777" w:rsidR="00366E1E" w:rsidRDefault="00000000">
      <w:pPr>
        <w:pStyle w:val="FirstParagraph"/>
      </w:pPr>
      <w:r>
        <w:t>“God has appointed for me another offspring instead of Abel.”</w:t>
      </w:r>
    </w:p>
    <w:p w14:paraId="72907D6E" w14:textId="77777777" w:rsidR="00366E1E" w:rsidRDefault="00000000">
      <w:pPr>
        <w:pStyle w:val="BodyText"/>
      </w:pPr>
      <w:r>
        <w:lastRenderedPageBreak/>
        <w:t xml:space="preserve">The Hebrew name </w:t>
      </w:r>
      <w:r>
        <w:rPr>
          <w:i/>
          <w:iCs/>
        </w:rPr>
        <w:t>Sheth</w:t>
      </w:r>
      <w:r>
        <w:t xml:space="preserve"> forms a wordplay (paronomasia) with the verb </w:t>
      </w:r>
      <w:r>
        <w:rPr>
          <w:i/>
          <w:iCs/>
        </w:rPr>
        <w:t>shath</w:t>
      </w:r>
      <w:r>
        <w:t>, “to place, appoint, set, grant” (NET Bible study note on 4:25). The name means roughly “appointed” or “granted.”</w:t>
      </w:r>
    </w:p>
    <w:p w14:paraId="2C28EBC2" w14:textId="77777777" w:rsidR="00366E1E" w:rsidRDefault="00000000">
      <w:pPr>
        <w:pStyle w:val="BodyText"/>
      </w:pPr>
      <w:r>
        <w:t xml:space="preserve">Now listen to what Eve actually says. First, she names God as the source: once again, as at Cain’s birth, she recognizes God as the ultimate giver of her offspring (CSB Study Bible, note on 4:25). Second — and this is the crucial exegetical move — she uses the word “offspring,” Hebrew </w:t>
      </w:r>
      <w:r>
        <w:rPr>
          <w:i/>
          <w:iCs/>
        </w:rPr>
        <w:t>zera</w:t>
      </w:r>
      <w:r>
        <w:t xml:space="preserve">, </w:t>
      </w:r>
      <w:r>
        <w:rPr>
          <w:b/>
          <w:bCs/>
        </w:rPr>
        <w:t>seed</w:t>
      </w:r>
      <w:r>
        <w:t>. That is the same word God used in Genesis 3:15. Eve’s remark “is clearly an allusion back to the offspring of the woman in 3:15” (ESV Study Bible, note on 4:25–26). Her name for this child “expresses Eve’s faith that God will continue the covenant family in spite of death,” and this younger brother of Cain and Abel “is the one through whom the seed of the woman will come” (Reformation Study Bible, notes on 4:25).</w:t>
      </w:r>
    </w:p>
    <w:p w14:paraId="38E942A0" w14:textId="77777777" w:rsidR="00366E1E" w:rsidRDefault="00000000">
      <w:pPr>
        <w:pStyle w:val="BodyText"/>
      </w:pPr>
      <w:r>
        <w:t xml:space="preserve">Think about what has just happened to this woman. Her firstborn — the one she may have hoped would crush the serpent — murdered her second-born and walked away into exile. Her family has produced the world’s first grave and the world’s first killer. And she says: </w:t>
      </w:r>
      <w:r>
        <w:rPr>
          <w:i/>
          <w:iCs/>
        </w:rPr>
        <w:t>God has appointed another</w:t>
      </w:r>
      <w:r>
        <w:t>. That is faith speaking in a cemetery. Ligonier notes that Eve’s words at Seth’s birth may imply her trust in God’s promise even more strongly than her words at Cain’s birth did (</w:t>
      </w:r>
      <w:hyperlink r:id="rId26">
        <w:r>
          <w:rPr>
            <w:rStyle w:val="Hyperlink"/>
          </w:rPr>
          <w:t>Ligonier, “The Birth of Seth”</w:t>
        </w:r>
      </w:hyperlink>
      <w:r>
        <w:t>).</w:t>
      </w:r>
    </w:p>
    <w:p w14:paraId="67ADC319" w14:textId="77777777" w:rsidR="00366E1E" w:rsidRDefault="00000000">
      <w:pPr>
        <w:pStyle w:val="BodyText"/>
      </w:pPr>
      <w:r>
        <w:t>And she was right. The line that produced Jesus runs through Seth — Luke traces it explicitly (Luke 3:38; CSB Study Bible, note on 4:25). Seth is not a consolation prize. He is the channel of the promise.</w:t>
      </w:r>
    </w:p>
    <w:p w14:paraId="10228128" w14:textId="77777777" w:rsidR="00366E1E" w:rsidRDefault="00000000">
      <w:pPr>
        <w:pStyle w:val="Heading3"/>
      </w:pPr>
      <w:bookmarkStart w:id="27" w:name="the-birth-of-public-worship"/>
      <w:bookmarkEnd w:id="26"/>
      <w:r>
        <w:t>The birth of public worship</w:t>
      </w:r>
    </w:p>
    <w:p w14:paraId="16C1A4AA" w14:textId="77777777" w:rsidR="00366E1E" w:rsidRDefault="00000000">
      <w:pPr>
        <w:pStyle w:val="FirstParagraph"/>
      </w:pPr>
      <w:r>
        <w:t>Then verse 26, one of the quietest earth-shaking sentences in the Bible: “At that time people began to call upon the name of the LORD.”</w:t>
      </w:r>
    </w:p>
    <w:p w14:paraId="1DD6CC07" w14:textId="77777777" w:rsidR="00366E1E" w:rsidRDefault="00000000">
      <w:pPr>
        <w:pStyle w:val="BodyText"/>
      </w:pPr>
      <w:r>
        <w:t>Several things are packed in here.</w:t>
      </w:r>
    </w:p>
    <w:p w14:paraId="545DD9D8" w14:textId="77777777" w:rsidR="00366E1E" w:rsidRDefault="00000000">
      <w:pPr>
        <w:pStyle w:val="BodyText"/>
      </w:pPr>
      <w:r>
        <w:t xml:space="preserve">The name </w:t>
      </w:r>
      <w:r>
        <w:rPr>
          <w:i/>
          <w:iCs/>
        </w:rPr>
        <w:t>Enosh</w:t>
      </w:r>
      <w:r>
        <w:t xml:space="preserve"> means “man” or “humanity,” much like </w:t>
      </w:r>
      <w:r>
        <w:rPr>
          <w:i/>
          <w:iCs/>
        </w:rPr>
        <w:t>Adam</w:t>
      </w:r>
      <w:r>
        <w:t xml:space="preserve"> (CSB Study Bible, note on 4:26; NIV Biblical Theology Study Bible, note on 4:26). In a real sense his birth marks a new and brighter beginning for the human race — a fresh start in the line of hope. The Hebrew </w:t>
      </w:r>
      <w:r>
        <w:rPr>
          <w:i/>
          <w:iCs/>
        </w:rPr>
        <w:t>’enosh</w:t>
      </w:r>
      <w:r>
        <w:t xml:space="preserve"> carries an added shade of meaning, often used in poetry for man in his weakness and mortality — “What is man, that you are mindful of him?” (Psalm 8:4) uses this word. So the generation that begins public worship is named Frailty. That is not an accident of vocabulary; it is the posture of prayer. People who know they are dust call on the name of the LORD. People who think they are Lamech write songs about themselves.</w:t>
      </w:r>
    </w:p>
    <w:p w14:paraId="2F7B213D" w14:textId="77777777" w:rsidR="00366E1E" w:rsidRDefault="00000000">
      <w:pPr>
        <w:pStyle w:val="BodyText"/>
      </w:pPr>
      <w:r>
        <w:lastRenderedPageBreak/>
        <w:t>And note the trail this phrase leaves through the rest of Scripture. Abram calls on the name of the LORD at Bethel and at the altar between Bethel and Ai (Genesis 12:8; 13:4); Isaac does the same at Beersheba (26:25). Joel promises that “everyone who calls on the name of the LORD shall be saved” (Joel 2:32) — a verse Peter preaches at Pentecost (Acts 2:21) and Paul applies to Jew and Gentile alike (Romans 10:13). Paul can even describe Christians simply as “all those who in every place call upon the name of our Lord Jesus Christ” (1 Corinthians 1:2). What begins in a tent in the days of Enosh becomes the definition of the church.</w:t>
      </w:r>
    </w:p>
    <w:p w14:paraId="21B6FEF9" w14:textId="77777777" w:rsidR="00366E1E" w:rsidRDefault="00000000">
      <w:pPr>
        <w:pStyle w:val="BodyText"/>
      </w:pPr>
      <w:r>
        <w:t xml:space="preserve">“Call upon the name of the LORD” is a technical phrase in the Old Testament. It refers to worshiping the LORD through prayer and sacrifice, and it recurs at the great altar-building moments of the patriarchal narratives — Genesis 12:8; 13:4; 21:33; 26:25 (NET Bible translators’ note on 4:26, citing Wenham). Elsewhere it describes prayer (1 Kings 18:24; 2 Kings 5:11; Joel 2:32). The ESV Study Bible glosses it as seeking God in </w:t>
      </w:r>
      <w:r>
        <w:rPr>
          <w:i/>
          <w:iCs/>
        </w:rPr>
        <w:t>public</w:t>
      </w:r>
      <w:r>
        <w:t xml:space="preserve"> worship, and suggests the implication that this calling on the LORD’s name began within Adam’s own family circle (note on 4:25–26).</w:t>
      </w:r>
    </w:p>
    <w:p w14:paraId="046059D2" w14:textId="77777777" w:rsidR="00366E1E" w:rsidRDefault="00000000">
      <w:pPr>
        <w:pStyle w:val="BodyText"/>
      </w:pPr>
      <w:r>
        <w:t xml:space="preserve">Two further nuances are worth teaching. Grammatically, the Hebrew is a passive construction without an expressed subject — literally “to call was begun” — which is most naturally taken to mean that people began to call (NET Bible translators’ note on 4:26). And the verb </w:t>
      </w:r>
      <w:r>
        <w:rPr>
          <w:i/>
          <w:iCs/>
        </w:rPr>
        <w:t>qara</w:t>
      </w:r>
      <w:r>
        <w:t xml:space="preserve"> can mean not only “call” but “proclaim,” so the verse may also picture men testifying about God to one another (</w:t>
      </w:r>
      <w:hyperlink r:id="rId27">
        <w:r>
          <w:rPr>
            <w:rStyle w:val="Hyperlink"/>
          </w:rPr>
          <w:t>Ligonier, “The Birth of Seth”</w:t>
        </w:r>
      </w:hyperlink>
      <w:r>
        <w:t>). Worship and witness are born in the same breath.</w:t>
      </w:r>
    </w:p>
    <w:p w14:paraId="7F628C13" w14:textId="77777777" w:rsidR="00366E1E" w:rsidRDefault="00000000">
      <w:pPr>
        <w:pStyle w:val="Heading3"/>
      </w:pPr>
      <w:bookmarkStart w:id="28" w:name="Xae1b99ddb3be70716a82f293ecfb6fc47933bc8"/>
      <w:bookmarkEnd w:id="27"/>
      <w:r>
        <w:t>A translation crux worth knowing: “began” or “profaned”?</w:t>
      </w:r>
    </w:p>
    <w:p w14:paraId="02A4BD5A" w14:textId="77777777" w:rsidR="00366E1E" w:rsidRDefault="00000000">
      <w:pPr>
        <w:pStyle w:val="FirstParagraph"/>
      </w:pPr>
      <w:r>
        <w:t>Honesty requires flagging a genuine difficulty here, because a student with a study Bible and an internet connection will eventually find it.</w:t>
      </w:r>
    </w:p>
    <w:p w14:paraId="0500D055" w14:textId="77777777" w:rsidR="00366E1E" w:rsidRDefault="00000000">
      <w:pPr>
        <w:pStyle w:val="BodyText"/>
      </w:pPr>
      <w:r>
        <w:t xml:space="preserve">The Hebrew verb behind “began” is from the root </w:t>
      </w:r>
      <w:r>
        <w:rPr>
          <w:i/>
          <w:iCs/>
        </w:rPr>
        <w:t>chalal</w:t>
      </w:r>
      <w:r>
        <w:t xml:space="preserve">, and the lexicons list a range of meanings for that root: to profane, defile, pollute, desecrate — and also to begin. The two senses come from what most lexicographers treat as related roots, and the form here is grammatically capable of either. So the verse can be rendered “then men began to call on the name of the LORD” or, as some ancient Jewish tradition took it, “then men began to profane the name of the LORD.” Both the Targums of Onkelos and Jonathan render it in the direction of “profane,” while the Septuagint uses a form of </w:t>
      </w:r>
      <w:r>
        <w:rPr>
          <w:i/>
          <w:iCs/>
        </w:rPr>
        <w:t>kaleo</w:t>
      </w:r>
      <w:r>
        <w:t>, “to call” (</w:t>
      </w:r>
      <w:hyperlink r:id="rId28">
        <w:r>
          <w:rPr>
            <w:rStyle w:val="Hyperlink"/>
          </w:rPr>
          <w:t>Third Millennium Ministries</w:t>
        </w:r>
      </w:hyperlink>
      <w:r>
        <w:t>).</w:t>
      </w:r>
    </w:p>
    <w:p w14:paraId="0B450DEC" w14:textId="77777777" w:rsidR="00366E1E" w:rsidRDefault="00000000">
      <w:pPr>
        <w:pStyle w:val="BodyText"/>
      </w:pPr>
      <w:r>
        <w:t xml:space="preserve">The Reformed judgment is decisively for “began to call,” and the reasons are contextual rather than merely lexical. Third Millennium Ministries states the case: “I lean toward ‘begin’ as opposed to ‘profane;’ as Seth’s line (in the context of the verse) is seen as the seed of the </w:t>
      </w:r>
      <w:r>
        <w:lastRenderedPageBreak/>
        <w:t>woman as opposed to the seed of the serpent — Genesis 3:15,” and “Seth’s line would be more prone to begin ‘calling’ as opposed to ‘profaning’” (</w:t>
      </w:r>
      <w:hyperlink r:id="rId29">
        <w:r>
          <w:rPr>
            <w:rStyle w:val="Hyperlink"/>
          </w:rPr>
          <w:t>Third Millennium Ministries</w:t>
        </w:r>
      </w:hyperlink>
      <w:r>
        <w:t>). Add three more considerations. The immediate context is the birth of the hopeful line, not its corruption. The identical phrase “call on the name of the LORD” is used positively throughout Genesis of Abraham and Isaac at their altars. And the two-panel structure of the passage requires a positive note here, since the whole point of 4:25–26 is to answer Lamech’s song with something better.</w:t>
      </w:r>
    </w:p>
    <w:p w14:paraId="7333D450" w14:textId="77777777" w:rsidR="00366E1E" w:rsidRDefault="00000000">
      <w:pPr>
        <w:pStyle w:val="BodyText"/>
      </w:pPr>
      <w:r>
        <w:t>Still, teach the difficulty rather than hiding it. The very fact that a Hebrew root can mean both “begin” and “profane” is a useful lesson in how translation works, and the same source rightly notes the connection to the third commandment — “You shall not take the name of the LORD your God in vain” (Exodus 20:7) stands over against “calling on the name of the LORD” (Genesis 4:26) as two ways of using one name (</w:t>
      </w:r>
      <w:hyperlink r:id="rId30">
        <w:r>
          <w:rPr>
            <w:rStyle w:val="Hyperlink"/>
          </w:rPr>
          <w:t>Third Millennium Ministries</w:t>
        </w:r>
      </w:hyperlink>
      <w:r>
        <w:t>).</w:t>
      </w:r>
    </w:p>
    <w:p w14:paraId="2664FDD9" w14:textId="77777777" w:rsidR="00366E1E" w:rsidRDefault="00000000">
      <w:pPr>
        <w:pStyle w:val="BodyText"/>
      </w:pPr>
      <w:r>
        <w:t>This is also the first time in the narrative that anyone invokes God by His covenant name, YHWH — Yahweh, the personal name God later reveals to Moses at the bush (Exodus 3:15; Faithlife Study Bible, note on 4:26; CSB Study Bible, note on 4:26).</w:t>
      </w:r>
    </w:p>
    <w:p w14:paraId="0B6B394A" w14:textId="77777777" w:rsidR="00366E1E" w:rsidRDefault="00000000">
      <w:pPr>
        <w:pStyle w:val="BodyText"/>
      </w:pPr>
      <w:r>
        <w:t xml:space="preserve">Now set the two families side by side at this exact point, because Moses has arranged them for precisely this comparison. In chapter 4 we hear Cain’s line </w:t>
      </w:r>
      <w:r>
        <w:rPr>
          <w:b/>
          <w:bCs/>
        </w:rPr>
        <w:t>sing about itself</w:t>
      </w:r>
      <w:r>
        <w:t xml:space="preserve"> — “Hear my voice, you wives of Lamech.” In chapter 4 we see Seth’s line </w:t>
      </w:r>
      <w:r>
        <w:rPr>
          <w:b/>
          <w:bCs/>
        </w:rPr>
        <w:t>call on the name of the LORD</w:t>
      </w:r>
      <w:r>
        <w:t>. One family makes its name great; the other calls on God’s name. As the Reformation Study Bible puts it, “The family, making its petition and praise in the name of the Lord, glorifies God, not people” (note on 4:26, contrasting verses 23–24).</w:t>
      </w:r>
    </w:p>
    <w:p w14:paraId="2B817BFD" w14:textId="77777777" w:rsidR="00366E1E" w:rsidRDefault="00000000">
      <w:pPr>
        <w:pStyle w:val="BodyText"/>
      </w:pPr>
      <w:r>
        <w:t>The RTS treatment identifies this verse as recording “the gathering for corporate worship of the people of God,” and notes that it is the first usage in Scripture of the covenant name of the LORD in this way (</w:t>
      </w:r>
      <w:hyperlink r:id="rId31">
        <w:r>
          <w:rPr>
            <w:rStyle w:val="Hyperlink"/>
          </w:rPr>
          <w:t>Reformed Theological Seminary, “The Godly Line”</w:t>
        </w:r>
      </w:hyperlink>
      <w:r>
        <w:t>). Ligonier adds that Abel had already offered true sacrifices (4:4), but “with Seth’s sons this devotion becomes widespread” — “true piety enters the fallen world through Seth’s family” (</w:t>
      </w:r>
      <w:hyperlink r:id="rId32">
        <w:r>
          <w:rPr>
            <w:rStyle w:val="Hyperlink"/>
          </w:rPr>
          <w:t>Ligonier, “The Birth of Seth”</w:t>
        </w:r>
      </w:hyperlink>
      <w:r>
        <w:t>).</w:t>
      </w:r>
    </w:p>
    <w:p w14:paraId="217E63EA" w14:textId="77777777" w:rsidR="00366E1E" w:rsidRDefault="00000000">
      <w:pPr>
        <w:pStyle w:val="BodyText"/>
      </w:pPr>
      <w:r>
        <w:t>Here is where the two-line structure becomes unmistakable. The line of Seth appears to be a more godly line, corresponding to the promise of the offspring of the woman in 3:15, while Cain and his descendants correspond more to the offspring of the serpent — and the line of Seth ultimately leads to Christ (ESV Study Bible, note on 4:26; Luke 3:38).</w:t>
      </w:r>
    </w:p>
    <w:p w14:paraId="08CBDB08" w14:textId="77777777" w:rsidR="00366E1E" w:rsidRDefault="00000000">
      <w:pPr>
        <w:pStyle w:val="BodyText"/>
      </w:pPr>
      <w:r>
        <w:t>One vital qualification must be added, or students will draw the wrong conclusion. “This does not mean all of his seed are believers; the principle of election and the necessity of personal faith still holds true (Rom. 9:6–8)” (</w:t>
      </w:r>
      <w:hyperlink r:id="rId33">
        <w:r>
          <w:rPr>
            <w:rStyle w:val="Hyperlink"/>
          </w:rPr>
          <w:t>Ligonier, “The Birth of Seth”</w:t>
        </w:r>
      </w:hyperlink>
      <w:r>
        <w:t xml:space="preserve">). Grace is not genetic. Matthew </w:t>
      </w:r>
      <w:r>
        <w:lastRenderedPageBreak/>
        <w:t>Henry says it with unforgettable economy: “Grace does not run in the blood, but corruption does. A sinner begets a sinner, but a saint does not beget a saint” (</w:t>
      </w:r>
      <w:hyperlink r:id="rId34">
        <w:r>
          <w:rPr>
            <w:rStyle w:val="Hyperlink"/>
          </w:rPr>
          <w:t>Matthew Henry, Genesis 5</w:t>
        </w:r>
      </w:hyperlink>
      <w:r>
        <w:t>). The Sethite line is holy because God sovereignly preserves worship within it, not because righteousness is inherited.</w:t>
      </w:r>
    </w:p>
    <w:p w14:paraId="0F9E7F47" w14:textId="77777777" w:rsidR="00366E1E" w:rsidRDefault="00000000">
      <w:r>
        <w:pict w14:anchorId="130F3095">
          <v:rect id="_x0000_i1034" style="width:0;height:1.5pt" o:hralign="center" o:hrstd="t" o:hr="t"/>
        </w:pict>
      </w:r>
    </w:p>
    <w:p w14:paraId="4E857134" w14:textId="77777777" w:rsidR="00366E1E" w:rsidRDefault="00000000">
      <w:pPr>
        <w:pStyle w:val="Heading2"/>
      </w:pPr>
      <w:bookmarkStart w:id="29" w:name="X420764e046b5db059797c8a301bc00faeda1d0d"/>
      <w:bookmarkEnd w:id="25"/>
      <w:bookmarkEnd w:id="28"/>
      <w:r>
        <w:t>Part Nine: The Book of Adam’s Generations (Genesis 5:1–3)</w:t>
      </w:r>
    </w:p>
    <w:p w14:paraId="7054AA62" w14:textId="77777777" w:rsidR="00366E1E" w:rsidRDefault="00000000">
      <w:pPr>
        <w:pStyle w:val="BlockText"/>
      </w:pPr>
      <w:r>
        <w:t>“This is the book of the generations of Adam. When God created man, he made him in the likeness of God. Male and female he created them, and he blessed them and named them Man when they were created. When Adam had lived 130 years, he fathered a son in his own likeness, after his image, and named him Seth.”</w:t>
      </w:r>
    </w:p>
    <w:p w14:paraId="7B197147" w14:textId="77777777" w:rsidR="00366E1E" w:rsidRDefault="00000000">
      <w:pPr>
        <w:pStyle w:val="FirstParagraph"/>
      </w:pPr>
      <w:r>
        <w:t xml:space="preserve">Chapter 5 opens with a deliberate act of literary return. Before tracing the line forward, Moses reaches back and re-summarizes Genesis 1:1–2:3, especially 1:27–28 (Reformation Study Bible, note on 5:1–3). The message is clear before a single lifespan is recorded: </w:t>
      </w:r>
      <w:r>
        <w:rPr>
          <w:b/>
          <w:bCs/>
        </w:rPr>
        <w:t>God’s intention for creation will be realized through Seth, not Cain</w:t>
      </w:r>
      <w:r>
        <w:t xml:space="preserve"> (Reformation Study Bible, note on 5:1–3).</w:t>
      </w:r>
    </w:p>
    <w:p w14:paraId="1A1B9E6A" w14:textId="77777777" w:rsidR="00366E1E" w:rsidRDefault="00000000">
      <w:pPr>
        <w:pStyle w:val="Heading3"/>
      </w:pPr>
      <w:bookmarkStart w:id="30" w:name="a-book-and-therefore-sources"/>
      <w:r>
        <w:t>A book, and therefore sources</w:t>
      </w:r>
    </w:p>
    <w:p w14:paraId="30991875" w14:textId="77777777" w:rsidR="00366E1E" w:rsidRDefault="00000000">
      <w:pPr>
        <w:pStyle w:val="FirstParagraph"/>
      </w:pPr>
      <w:r>
        <w:t xml:space="preserve">The heading here differs from the other </w:t>
      </w:r>
      <w:r>
        <w:rPr>
          <w:i/>
          <w:iCs/>
        </w:rPr>
        <w:t>toledoth</w:t>
      </w:r>
      <w:r>
        <w:t xml:space="preserve"> headings in one respect: it refers to a “book.” This was probably something like a clay tablet preserving the contents of 5:1–21 and possibly 11:10–26 in abbreviated form (ESV Study Bible, note on 5:1–2). The mention of a “book” or “document” indicates that the author used sources (Reformation Study Bible, note on 5:1). That is a datum worth pausing over with students: a high view of inspiration has never required that Moses received every word by direct dictation with no research. Luke says as much about his own Gospel (Luke 1:1–4). God superintends the use of ordinary means.</w:t>
      </w:r>
    </w:p>
    <w:p w14:paraId="7C4C1312" w14:textId="77777777" w:rsidR="00366E1E" w:rsidRDefault="00000000">
      <w:pPr>
        <w:pStyle w:val="BodyText"/>
      </w:pPr>
      <w:r>
        <w:t xml:space="preserve">The book is named after Adam — Hebrew </w:t>
      </w:r>
      <w:r>
        <w:rPr>
          <w:i/>
          <w:iCs/>
        </w:rPr>
        <w:t>’adam</w:t>
      </w:r>
      <w:r>
        <w:t xml:space="preserve">. The same word is translated “man” in 5:1 and “Man” in 5:2, reflecting the fact that </w:t>
      </w:r>
      <w:r>
        <w:rPr>
          <w:i/>
          <w:iCs/>
        </w:rPr>
        <w:t>’adam</w:t>
      </w:r>
      <w:r>
        <w:t xml:space="preserve"> functions as a proper name, as a common noun for a male individual, and as a generic noun for human beings male and female together (ESV Study Bible, note on 5:1–2; NIV Biblical Theology Study Bible, note on 5:2–3).</w:t>
      </w:r>
    </w:p>
    <w:p w14:paraId="0D84A030" w14:textId="77777777" w:rsidR="00366E1E" w:rsidRDefault="00000000">
      <w:pPr>
        <w:pStyle w:val="Heading3"/>
      </w:pPr>
      <w:bookmarkStart w:id="31" w:name="image-and-likeness-after-the-fall"/>
      <w:bookmarkEnd w:id="30"/>
      <w:r>
        <w:t>Image and likeness after the fall</w:t>
      </w:r>
    </w:p>
    <w:p w14:paraId="340214A6" w14:textId="77777777" w:rsidR="00366E1E" w:rsidRDefault="00000000">
      <w:pPr>
        <w:pStyle w:val="FirstParagraph"/>
      </w:pPr>
      <w:r>
        <w:t xml:space="preserve">Verse 1 reaffirms that man was made “in the likeness of God” — and it does so </w:t>
      </w:r>
      <w:r>
        <w:rPr>
          <w:i/>
          <w:iCs/>
        </w:rPr>
        <w:t>after</w:t>
      </w:r>
      <w:r>
        <w:t xml:space="preserve"> three chapters of catastrophe. That placement is the point. The image of God remains present in humanity despite all the sin that has occurred since creation, and this anticipates Genesis 9:6, </w:t>
      </w:r>
      <w:r>
        <w:lastRenderedPageBreak/>
        <w:t>where the image becomes the ground for the sanctity of human life (NIV Biblical Theology Study Bible, note on 5:1).</w:t>
      </w:r>
    </w:p>
    <w:p w14:paraId="4EDEFB85" w14:textId="77777777" w:rsidR="00366E1E" w:rsidRDefault="00000000">
      <w:pPr>
        <w:pStyle w:val="BodyText"/>
      </w:pPr>
      <w:r>
        <w:t>Calvin dwells on this with evident joy. Moses repeats that Adam was formed in the image of God “because the excellency and dignity of this favor could not be sufficiently celebrated.” It was already remarkable that man received “the principal place among the creatures,” but the greater nobility was that he should “bear resemblance to his Creator, as a son does to his father.” Calvin concludes: “It was not indeed possible for God to act more liberally towards man, than by impressing his own glory upon him,” making him “as it were, a living image of the Divine wisdom and justice.” And he draws the crucial apologetic implication — this statement forbids us to lay human wickedness at God’s door, since “man was formed by nature a different being from that which he has now become, through the fault of his own defection from God” (</w:t>
      </w:r>
      <w:hyperlink r:id="rId35">
        <w:r>
          <w:rPr>
            <w:rStyle w:val="Hyperlink"/>
          </w:rPr>
          <w:t>Calvin, Genesis 5</w:t>
        </w:r>
      </w:hyperlink>
      <w:r>
        <w:t>).</w:t>
      </w:r>
    </w:p>
    <w:p w14:paraId="5B6407A3" w14:textId="77777777" w:rsidR="00366E1E" w:rsidRDefault="00000000">
      <w:pPr>
        <w:pStyle w:val="BodyText"/>
      </w:pPr>
      <w:r>
        <w:t>Calvin also finds marriage commended in verse 2: the clause “male and female he created them” honors “the sacred bond of marriage, and the inseparable union of the husband and the wife.” Both are gathered “under one name,” so that their descendants would “learn more sacredly to cherish this connection.” Adam and Eve were “denominated as one person,” and after the appointment of marriage “the husband and the wife were like one man” (</w:t>
      </w:r>
      <w:hyperlink r:id="rId36">
        <w:r>
          <w:rPr>
            <w:rStyle w:val="Hyperlink"/>
          </w:rPr>
          <w:t>Calvin, Genesis 5</w:t>
        </w:r>
      </w:hyperlink>
      <w:r>
        <w:t>).</w:t>
      </w:r>
    </w:p>
    <w:p w14:paraId="2785EEC1" w14:textId="77777777" w:rsidR="00366E1E" w:rsidRDefault="00000000">
      <w:pPr>
        <w:pStyle w:val="BodyText"/>
      </w:pPr>
      <w:r>
        <w:t>Set that beside Lamech’s two wives one chapter earlier, and you see why the placement is not accidental. Chapter 5 opens by restating the marriage ordinance that chapter 4 had just watched a man shatter.</w:t>
      </w:r>
    </w:p>
    <w:p w14:paraId="5825233A" w14:textId="77777777" w:rsidR="00366E1E" w:rsidRDefault="00000000">
      <w:pPr>
        <w:pStyle w:val="BodyText"/>
      </w:pPr>
      <w:r>
        <w:t xml:space="preserve">The Hebrew word for image is </w:t>
      </w:r>
      <w:r>
        <w:rPr>
          <w:i/>
          <w:iCs/>
        </w:rPr>
        <w:t>tselem</w:t>
      </w:r>
      <w:r>
        <w:t xml:space="preserve">. It is not always used of physical objects; it can be metaphorical — “shadow” in Psalm 39:6, “phantom” in Psalm 73:20. Applied to God, </w:t>
      </w:r>
      <w:r>
        <w:rPr>
          <w:i/>
          <w:iCs/>
        </w:rPr>
        <w:t>tselem</w:t>
      </w:r>
      <w:r>
        <w:t xml:space="preserve"> most likely refers to a kind of </w:t>
      </w:r>
      <w:r>
        <w:rPr>
          <w:i/>
          <w:iCs/>
        </w:rPr>
        <w:t>representation</w:t>
      </w:r>
      <w:r>
        <w:t xml:space="preserve"> of God that does not imply concrete physical attributes in God Himself (Faithlife Study Bible, on </w:t>
      </w:r>
      <w:r>
        <w:rPr>
          <w:i/>
          <w:iCs/>
        </w:rPr>
        <w:t>tselem</w:t>
      </w:r>
      <w:r>
        <w:t>). Man is God’s representative, not God’s photograph.</w:t>
      </w:r>
    </w:p>
    <w:p w14:paraId="23C53BFE" w14:textId="77777777" w:rsidR="00366E1E" w:rsidRDefault="00000000">
      <w:pPr>
        <w:pStyle w:val="Heading3"/>
      </w:pPr>
      <w:bookmarkStart w:id="32" w:name="adam-fathered-a-son-in-his-own-likeness"/>
      <w:bookmarkEnd w:id="31"/>
      <w:r>
        <w:t>Adam fathered a son in his own likeness</w:t>
      </w:r>
    </w:p>
    <w:p w14:paraId="609B4388" w14:textId="77777777" w:rsidR="00366E1E" w:rsidRDefault="00000000">
      <w:pPr>
        <w:pStyle w:val="FirstParagraph"/>
      </w:pPr>
      <w:r>
        <w:t>Verse 3 breaks the expected pattern. We would anticipate simply “Adam fathered Seth.” Instead we get “fathered a son in his own likeness, after his image” (ESV Study Bible, note on 5:3–5).</w:t>
      </w:r>
    </w:p>
    <w:p w14:paraId="3F7AA474" w14:textId="77777777" w:rsidR="00366E1E" w:rsidRDefault="00000000">
      <w:pPr>
        <w:pStyle w:val="BodyText"/>
      </w:pPr>
      <w:r>
        <w:t>This phrase carries a double weight, and both halves matter.</w:t>
      </w:r>
    </w:p>
    <w:p w14:paraId="5F03CD21" w14:textId="77777777" w:rsidR="00366E1E" w:rsidRDefault="00000000">
      <w:pPr>
        <w:pStyle w:val="BodyText"/>
      </w:pPr>
      <w:r>
        <w:t xml:space="preserve">On the hopeful side, the phrase implies that Seth, like Adam, is made in the divine image — the dignity was not destroyed. There is also a striking parallel and contrast with God: whereas God </w:t>
      </w:r>
      <w:r>
        <w:rPr>
          <w:i/>
          <w:iCs/>
        </w:rPr>
        <w:t>created</w:t>
      </w:r>
      <w:r>
        <w:t xml:space="preserve"> Adam, Adam </w:t>
      </w:r>
      <w:r>
        <w:rPr>
          <w:i/>
          <w:iCs/>
        </w:rPr>
        <w:t>fathered</w:t>
      </w:r>
      <w:r>
        <w:t xml:space="preserve"> Seth; whereas Adam was made in God’s image, Seth was made in </w:t>
      </w:r>
      <w:r>
        <w:lastRenderedPageBreak/>
        <w:t>Adam’s image; and like God, Adam names the one he brought into being (CSB Study Bible, note on 5:3).</w:t>
      </w:r>
    </w:p>
    <w:p w14:paraId="2FE166C5" w14:textId="77777777" w:rsidR="00366E1E" w:rsidRDefault="00000000">
      <w:pPr>
        <w:pStyle w:val="BodyText"/>
      </w:pPr>
      <w:r>
        <w:t>On the sober side, Calvin insists that “his own likeness” refers not only to “the first origin of our nature” but to “its corruption and pollution.” Adam contracted that corruption in the fall, and it “has flowed down to all his posterity.” Had Adam remained upright, “he would have transmitted to all his children what he had received”; instead, “Seth, as well as the rest, was defiled.” Adam, fallen from his original state, “could beget none but such as were like himself.” And even God’s electing grace toward Seth does not exempt him from natural corruption, because “a supernatural remedy does not prevent carnal generation from participating in the corruption of sin” (</w:t>
      </w:r>
      <w:hyperlink r:id="rId37">
        <w:r>
          <w:rPr>
            <w:rStyle w:val="Hyperlink"/>
          </w:rPr>
          <w:t>Calvin, Genesis 5</w:t>
        </w:r>
      </w:hyperlink>
      <w:r>
        <w:t>).</w:t>
      </w:r>
    </w:p>
    <w:p w14:paraId="7530701A" w14:textId="77777777" w:rsidR="00366E1E" w:rsidRDefault="00000000">
      <w:pPr>
        <w:pStyle w:val="BodyText"/>
      </w:pPr>
      <w:r>
        <w:t>Matthew Henry says the same thing in plainer words: “Adam was made in the image of God; but, when he was fallen and corrupt, he begat a son in his own image, sinful and defiled, frail, mortal, and miserable, like himself” (</w:t>
      </w:r>
      <w:hyperlink r:id="rId38">
        <w:r>
          <w:rPr>
            <w:rStyle w:val="Hyperlink"/>
          </w:rPr>
          <w:t>Matthew Henry, Genesis 5</w:t>
        </w:r>
      </w:hyperlink>
      <w:r>
        <w:t>).</w:t>
      </w:r>
    </w:p>
    <w:p w14:paraId="5E497BCC" w14:textId="77777777" w:rsidR="00366E1E" w:rsidRDefault="00000000">
      <w:pPr>
        <w:pStyle w:val="BodyText"/>
      </w:pPr>
      <w:r>
        <w:t xml:space="preserve">This is the doctrine of original sin taught by genealogy. </w:t>
      </w:r>
      <w:r>
        <w:rPr>
          <w:b/>
          <w:bCs/>
        </w:rPr>
        <w:t>Both lines are fallen.</w:t>
      </w:r>
      <w:r>
        <w:t xml:space="preserve"> Seth’s family is not a race of the naturally good; it is a race of the graciously preserved. That distinction is the difference between Reformed theology and moralism, and Genesis 5 encodes it in a single phrase.</w:t>
      </w:r>
    </w:p>
    <w:p w14:paraId="441F1FBE" w14:textId="77777777" w:rsidR="00366E1E" w:rsidRDefault="00000000">
      <w:pPr>
        <w:pStyle w:val="Heading3"/>
      </w:pPr>
      <w:bookmarkStart w:id="33" w:name="what-the-pattern-of-chapter-5-does"/>
      <w:bookmarkEnd w:id="32"/>
      <w:r>
        <w:t>What the pattern of chapter 5 does</w:t>
      </w:r>
    </w:p>
    <w:p w14:paraId="7911A5AB" w14:textId="77777777" w:rsidR="00366E1E" w:rsidRDefault="00000000">
      <w:pPr>
        <w:pStyle w:val="FirstParagraph"/>
      </w:pPr>
      <w:r>
        <w:t>The chapter is dominated by a repeated literary formula, applied to each named generation:</w:t>
      </w:r>
    </w:p>
    <w:p w14:paraId="350D95AC" w14:textId="77777777" w:rsidR="00366E1E" w:rsidRDefault="00000000">
      <w:pPr>
        <w:pStyle w:val="BlockText"/>
      </w:pPr>
      <w:r>
        <w:t>When A had lived X years, he fathered B. A lived Y years after he fathered B and had other sons and daughters. Thus all the days of A were Z (= X + Y) years, and he died.</w:t>
      </w:r>
    </w:p>
    <w:p w14:paraId="6533A765" w14:textId="77777777" w:rsidR="00366E1E" w:rsidRDefault="00000000">
      <w:pPr>
        <w:pStyle w:val="FirstParagraph"/>
      </w:pPr>
      <w:r>
        <w:t>Ten paragraphs, one per generation, each in the same form (Reformation Study Bible, note on 5:3–32). The genealogy is deliberately arranged to arrive at Noah and his sons in preparation for the flood narrative (Faithlife Study Bible, note on 5:3–31).</w:t>
      </w:r>
    </w:p>
    <w:p w14:paraId="09A9CB93" w14:textId="77777777" w:rsidR="00366E1E" w:rsidRDefault="00000000">
      <w:pPr>
        <w:pStyle w:val="BodyText"/>
      </w:pPr>
      <w:r>
        <w:t>Two features of the formula are quietly loaded with meaning.</w:t>
      </w:r>
    </w:p>
    <w:p w14:paraId="51F37FDF" w14:textId="77777777" w:rsidR="00366E1E" w:rsidRDefault="00000000">
      <w:pPr>
        <w:pStyle w:val="BodyText"/>
      </w:pPr>
      <w:r>
        <w:rPr>
          <w:b/>
          <w:bCs/>
        </w:rPr>
        <w:t>“And had other sons and daughters.”</w:t>
      </w:r>
      <w:r>
        <w:t xml:space="preserve"> This phrase appears ten times in the Sethite genealogy and never once in the Cainite genealogy. The implication is that the line of Seth more faithfully fulfilled God’s command to be fruitful and multiply (Genesis 1:28; CSB Study Bible, note on 5:4). The godly line is the fruitful line. The blessing of creation is landing where God’s promise is being believed.</w:t>
      </w:r>
    </w:p>
    <w:p w14:paraId="057D7411" w14:textId="77777777" w:rsidR="00366E1E" w:rsidRDefault="00000000">
      <w:pPr>
        <w:pStyle w:val="BodyText"/>
      </w:pPr>
      <w:r>
        <w:rPr>
          <w:b/>
          <w:bCs/>
        </w:rPr>
        <w:lastRenderedPageBreak/>
        <w:t>“And he died.”</w:t>
      </w:r>
      <w:r>
        <w:t xml:space="preserve"> More on that in a moment — it is the drumbeat of the chapter.</w:t>
      </w:r>
    </w:p>
    <w:p w14:paraId="38DA72CA" w14:textId="77777777" w:rsidR="00366E1E" w:rsidRDefault="00000000">
      <w:pPr>
        <w:pStyle w:val="Heading3"/>
      </w:pPr>
      <w:bookmarkStart w:id="34" w:name="are-there-gaps-in-the-genealogy"/>
      <w:bookmarkEnd w:id="33"/>
      <w:r>
        <w:t>Are there gaps in the genealogy?</w:t>
      </w:r>
    </w:p>
    <w:p w14:paraId="2F727538" w14:textId="77777777" w:rsidR="00366E1E" w:rsidRDefault="00000000">
      <w:pPr>
        <w:pStyle w:val="FirstParagraph"/>
      </w:pPr>
      <w:r>
        <w:t>This must be addressed honestly, because thoughtful students will ask.</w:t>
      </w:r>
    </w:p>
    <w:p w14:paraId="5507A3E8" w14:textId="77777777" w:rsidR="00366E1E" w:rsidRDefault="00000000">
      <w:pPr>
        <w:pStyle w:val="BodyText"/>
      </w:pPr>
      <w:r>
        <w:t>The Hebrew verb translated “fathered” (</w:t>
      </w:r>
      <w:r>
        <w:rPr>
          <w:i/>
          <w:iCs/>
        </w:rPr>
        <w:t>yalad</w:t>
      </w:r>
      <w:r>
        <w:t xml:space="preserve"> in the causative) can mean “fathered an ancestor of,” which means a biblical genealogy may legitimately skip generations; the literary conventions allow it. And we know from Scripture itself that such compression does occur. Compare the genealogy of Moses in Exodus 6:16–20 with that of Joshua in 1 Chronicles 7:23–27, and Moses’ line is undoubtedly compressed; compare also Ezra 7:1–5 with 1 Chronicles 6:4–14 (ESV Study Bible, note on 5:1–32). Luke 3:36 even includes a name (Cainan) not found in the Genesis 11 list (NIV Biblical Theology Study Bible, note on 5:5).</w:t>
      </w:r>
    </w:p>
    <w:p w14:paraId="2127EED3" w14:textId="77777777" w:rsidR="00366E1E" w:rsidRDefault="00000000">
      <w:pPr>
        <w:pStyle w:val="BodyText"/>
      </w:pPr>
      <w:r>
        <w:t>So what should we conclude? The Reformation Study Bible states the state of the question with admirable restraint: because “fathered” often means “became the ancestor of,” and because some numbers may be symbolic, “many scholars argue that there are gaps in these genealogies and cannot be used to compute a precise chronology to date the age of the earth. Others disagree.” What is not disputed is the theological function: “Unlike modern genealogies, in which exhaustive accounts are desired, genealogies in the ancient Near East and the Bible are often formulated along lines that emphasize theological purposes and functions” (note on 5:3–32).</w:t>
      </w:r>
    </w:p>
    <w:p w14:paraId="1401CB94" w14:textId="77777777" w:rsidR="00366E1E" w:rsidRDefault="00000000">
      <w:pPr>
        <w:pStyle w:val="BodyText"/>
      </w:pPr>
      <w:r>
        <w:t>Note also the numerical symmetry. Ten generations run from Adam to Noah, matching the ten generations from Shem to Abram in Genesis 11:10–26 (Reformation Study Bible, note on 5:3–32). Matthew Henry, working with the received Hebrew text, calculated 1,656 years from creation to the flood (</w:t>
      </w:r>
      <w:hyperlink r:id="rId39">
        <w:r>
          <w:rPr>
            <w:rStyle w:val="Hyperlink"/>
          </w:rPr>
          <w:t>Matthew Henry, Genesis 5</w:t>
        </w:r>
      </w:hyperlink>
      <w:r>
        <w:t>) — a reminder that this question has a long history among conservative interpreters and that faithful men have landed in different places on the chronology while agreeing entirely on the theology.</w:t>
      </w:r>
    </w:p>
    <w:p w14:paraId="23EBA5B7" w14:textId="77777777" w:rsidR="00366E1E" w:rsidRDefault="00000000">
      <w:pPr>
        <w:pStyle w:val="BodyText"/>
      </w:pPr>
      <w:r>
        <w:t>That is the responsible posture: hold the historicity firmly, hold the arithmetic humbly.</w:t>
      </w:r>
    </w:p>
    <w:p w14:paraId="224112C2" w14:textId="77777777" w:rsidR="00366E1E" w:rsidRDefault="00000000">
      <w:r>
        <w:pict w14:anchorId="48C789BD">
          <v:rect id="_x0000_i1035" style="width:0;height:1.5pt" o:hralign="center" o:hrstd="t" o:hr="t"/>
        </w:pict>
      </w:r>
    </w:p>
    <w:p w14:paraId="35795593" w14:textId="77777777" w:rsidR="00366E1E" w:rsidRDefault="00000000">
      <w:pPr>
        <w:pStyle w:val="Heading2"/>
      </w:pPr>
      <w:bookmarkStart w:id="35" w:name="part-ten-the-drumbeat-and-he-died"/>
      <w:bookmarkEnd w:id="29"/>
      <w:bookmarkEnd w:id="34"/>
      <w:r>
        <w:t>Part Ten: The Drumbeat — “And He Died”</w:t>
      </w:r>
    </w:p>
    <w:p w14:paraId="0AD4AB9E" w14:textId="77777777" w:rsidR="00366E1E" w:rsidRDefault="00000000">
      <w:pPr>
        <w:pStyle w:val="FirstParagraph"/>
      </w:pPr>
      <w:r>
        <w:t xml:space="preserve">Read Genesis 5 aloud sometime and listen to the rhythm. Eight times the phrase falls like a hammer on an anvil: </w:t>
      </w:r>
      <w:r>
        <w:rPr>
          <w:i/>
          <w:iCs/>
        </w:rPr>
        <w:t>and he died… and he died… and he died.</w:t>
      </w:r>
    </w:p>
    <w:p w14:paraId="1BC87D41" w14:textId="77777777" w:rsidR="00366E1E" w:rsidRDefault="00000000">
      <w:pPr>
        <w:pStyle w:val="BodyText"/>
      </w:pPr>
      <w:r>
        <w:lastRenderedPageBreak/>
        <w:t>This repetition is not filler. It is theology by cadence. Death is “a repeated, grim occurrence, reminding us of the reality of the curse” pronounced in Genesis 2:17 and 3:19, and of “the need for God in mercy to provide a final remedy for death through Christ” (ESV Study Bible, note on 5:5; John 11:25–26; Revelation 1:18; 21:4). The notation “he died” emphasizes the solemn truth of God’s curse following Adam’s sin, and its sevenfold repetition after Adam demonstrates the lasting consequences of that sin (CSB Study Bible, note on 5:5).</w:t>
      </w:r>
    </w:p>
    <w:p w14:paraId="7579EA92" w14:textId="77777777" w:rsidR="00366E1E" w:rsidRDefault="00000000">
      <w:pPr>
        <w:pStyle w:val="BodyText"/>
      </w:pPr>
      <w:r>
        <w:t>The Reformation Study Bible connects the drumbeat directly to Paul: “Through Adam’s transgression death came upon all (Rom. 5:12–14). On the other hand, in spite of this judgment God’s grace preserves the messianic line even while sin abounds on the earth” (note on 5:5).</w:t>
      </w:r>
    </w:p>
    <w:p w14:paraId="6128D993" w14:textId="77777777" w:rsidR="00366E1E" w:rsidRDefault="00000000">
      <w:pPr>
        <w:pStyle w:val="BodyText"/>
      </w:pPr>
      <w:r>
        <w:t>That is the double message of the chapter in miniature. God said, “In the day you eat of it you shall surely die,” and here is the receipt, eight times over. God said, “Her seed shall crush his head,” and here is the ledger of that seed’s survival, ten generations deep. The chapter is simultaneously a graveyard and a genealogy of hope.</w:t>
      </w:r>
    </w:p>
    <w:p w14:paraId="772FC406" w14:textId="77777777" w:rsidR="00366E1E" w:rsidRDefault="00000000">
      <w:pPr>
        <w:pStyle w:val="BodyText"/>
      </w:pPr>
      <w:r>
        <w:t>The lifespans themselves are extraordinary. Nearly everyone listed lives more than seven hundred years; several approach a thousand (Faithlife Study Bible, note on 5:1–32). Only three men are recorded as living longer than Adam’s 930 years: Noah at 950, Jared at 962, and Methuselah at 969 (CSB Study Bible, note on 5:5).</w:t>
      </w:r>
    </w:p>
    <w:p w14:paraId="7E802265" w14:textId="77777777" w:rsidR="00366E1E" w:rsidRDefault="00000000">
      <w:pPr>
        <w:pStyle w:val="BodyText"/>
      </w:pPr>
      <w:r>
        <w:rPr>
          <w:b/>
          <w:bCs/>
        </w:rPr>
        <w:t>How should we take these numbers?</w:t>
      </w:r>
      <w:r>
        <w:t xml:space="preserve"> Conservative scholarship offers a range of views, and the honest teacher presents the range. Some suggest the figures are symbolic — perhaps tied to astronomical periods, or encoding an unknown honorary significance. Others take them at face value, understanding that the pre-flood environment and a genome only recently corrupted could support far greater longevity, with lifespans collapsing after the flood. The NIV Biblical Theology Study Bible leaves the door open: “Whether the long life spans are literal or serve a literary purpose, or both” (note on 5:5). The Faithlife Study Bible similarly says it is unclear whether the ages are meant to be taken literally (note on 5:5).</w:t>
      </w:r>
    </w:p>
    <w:p w14:paraId="14B48597" w14:textId="77777777" w:rsidR="00366E1E" w:rsidRDefault="00000000">
      <w:pPr>
        <w:pStyle w:val="BodyText"/>
      </w:pPr>
      <w:r>
        <w:t xml:space="preserve">What </w:t>
      </w:r>
      <w:r>
        <w:rPr>
          <w:i/>
          <w:iCs/>
        </w:rPr>
        <w:t>is</w:t>
      </w:r>
      <w:r>
        <w:t xml:space="preserve"> clear is the contrast with the pagan alternatives. The Sumerian King List, dating to roughly 1800 BC, records antediluvian kings reigning for periods like 28,800, 36,000, and 43,200 years — three of them totaling 72,000 years between them (ESV Study Bible, note on 5:1–32; NIV Biblical Theology Study Bible, note on 5:5; Reformation Study Bible, note on 5:3–32). One figure in that list is credited with seventy-two thousand years. As the CSB Study Bible observes, while the Bible’s numbers are large by modern standards, “they seem much more credible than those found in the Sumerian king list” (note on 5:6–31). Genesis stands in the same ancient </w:t>
      </w:r>
      <w:r>
        <w:lastRenderedPageBreak/>
        <w:t>genre and refuses the genre’s excess. Its numbers are sober, ordered, and — crucially — attached to men who die.</w:t>
      </w:r>
    </w:p>
    <w:p w14:paraId="6C759FEF" w14:textId="77777777" w:rsidR="00366E1E" w:rsidRDefault="00000000">
      <w:pPr>
        <w:pStyle w:val="BodyText"/>
      </w:pPr>
      <w:r>
        <w:t>There is one more theological note in the numbers. The Sumerian list glorifies kings; Genesis 5 records fathers. The pagan lists are about power; the biblical list is about promise. Pagan lists tell you who ruled; Genesis tells you who believed, and who died still believing.</w:t>
      </w:r>
    </w:p>
    <w:p w14:paraId="778588DC" w14:textId="77777777" w:rsidR="00366E1E" w:rsidRDefault="00000000">
      <w:pPr>
        <w:pStyle w:val="Heading3"/>
      </w:pPr>
      <w:bookmarkStart w:id="36" w:name="the-numbers-in-the-manuscripts"/>
      <w:r>
        <w:t>The numbers in the manuscripts</w:t>
      </w:r>
    </w:p>
    <w:p w14:paraId="58E055A2" w14:textId="77777777" w:rsidR="00366E1E" w:rsidRDefault="00000000">
      <w:pPr>
        <w:pStyle w:val="FirstParagraph"/>
      </w:pPr>
      <w:r>
        <w:t>One more layer of rigor belongs here, and it is the layer most popular treatments skip. The ages in Genesis 5 are not identical in every ancient text of Genesis. The three major witnesses — the Masoretic Hebrew Text (MT), which stands behind our English translations; the Septuagint (LXX), the ancient Greek translation; and the Samaritan Pentateuch (SP) — differ in the component figures.</w:t>
      </w:r>
    </w:p>
    <w:tbl>
      <w:tblPr>
        <w:tblStyle w:val="Table"/>
        <w:tblW w:w="0" w:type="auto"/>
        <w:tblLook w:val="0020" w:firstRow="1" w:lastRow="0" w:firstColumn="0" w:lastColumn="0" w:noHBand="0" w:noVBand="0"/>
      </w:tblPr>
      <w:tblGrid>
        <w:gridCol w:w="1334"/>
        <w:gridCol w:w="3986"/>
        <w:gridCol w:w="1651"/>
        <w:gridCol w:w="1651"/>
      </w:tblGrid>
      <w:tr w:rsidR="00366E1E" w14:paraId="5020B319"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0" w:type="auto"/>
          </w:tcPr>
          <w:p w14:paraId="31420F7B" w14:textId="77777777" w:rsidR="00366E1E" w:rsidRDefault="00000000">
            <w:pPr>
              <w:pStyle w:val="Compact"/>
            </w:pPr>
            <w:r>
              <w:t>Patriarch</w:t>
            </w:r>
          </w:p>
        </w:tc>
        <w:tc>
          <w:tcPr>
            <w:tcW w:w="0" w:type="auto"/>
          </w:tcPr>
          <w:p w14:paraId="4E589D2D" w14:textId="77777777" w:rsidR="00366E1E" w:rsidRDefault="00000000">
            <w:pPr>
              <w:pStyle w:val="Compact"/>
            </w:pPr>
            <w:r>
              <w:t>MT age at son’s birth / remainder / total</w:t>
            </w:r>
          </w:p>
        </w:tc>
        <w:tc>
          <w:tcPr>
            <w:tcW w:w="0" w:type="auto"/>
          </w:tcPr>
          <w:p w14:paraId="3892A9BB" w14:textId="77777777" w:rsidR="00366E1E" w:rsidRDefault="00000000">
            <w:pPr>
              <w:pStyle w:val="Compact"/>
            </w:pPr>
            <w:r>
              <w:t>LXX</w:t>
            </w:r>
          </w:p>
        </w:tc>
        <w:tc>
          <w:tcPr>
            <w:tcW w:w="0" w:type="auto"/>
          </w:tcPr>
          <w:p w14:paraId="6D86315D" w14:textId="77777777" w:rsidR="00366E1E" w:rsidRDefault="00000000">
            <w:pPr>
              <w:pStyle w:val="Compact"/>
            </w:pPr>
            <w:r>
              <w:t>SP</w:t>
            </w:r>
          </w:p>
        </w:tc>
      </w:tr>
      <w:tr w:rsidR="00366E1E" w14:paraId="79511A68" w14:textId="77777777">
        <w:tc>
          <w:tcPr>
            <w:tcW w:w="0" w:type="auto"/>
          </w:tcPr>
          <w:p w14:paraId="118398BB" w14:textId="77777777" w:rsidR="00366E1E" w:rsidRDefault="00000000">
            <w:pPr>
              <w:pStyle w:val="Compact"/>
            </w:pPr>
            <w:r>
              <w:t>Adam</w:t>
            </w:r>
          </w:p>
        </w:tc>
        <w:tc>
          <w:tcPr>
            <w:tcW w:w="0" w:type="auto"/>
          </w:tcPr>
          <w:p w14:paraId="0086FED3" w14:textId="77777777" w:rsidR="00366E1E" w:rsidRDefault="00000000">
            <w:pPr>
              <w:pStyle w:val="Compact"/>
            </w:pPr>
            <w:r>
              <w:t>130 / 800 / 930</w:t>
            </w:r>
          </w:p>
        </w:tc>
        <w:tc>
          <w:tcPr>
            <w:tcW w:w="0" w:type="auto"/>
          </w:tcPr>
          <w:p w14:paraId="55EAA3AB" w14:textId="77777777" w:rsidR="00366E1E" w:rsidRDefault="00000000">
            <w:pPr>
              <w:pStyle w:val="Compact"/>
            </w:pPr>
            <w:r>
              <w:t>230 / 700 / 930</w:t>
            </w:r>
          </w:p>
        </w:tc>
        <w:tc>
          <w:tcPr>
            <w:tcW w:w="0" w:type="auto"/>
          </w:tcPr>
          <w:p w14:paraId="2595A7BF" w14:textId="77777777" w:rsidR="00366E1E" w:rsidRDefault="00000000">
            <w:pPr>
              <w:pStyle w:val="Compact"/>
            </w:pPr>
            <w:r>
              <w:t>130 / 800 / 930</w:t>
            </w:r>
          </w:p>
        </w:tc>
      </w:tr>
      <w:tr w:rsidR="00366E1E" w14:paraId="14792A3D" w14:textId="77777777">
        <w:tc>
          <w:tcPr>
            <w:tcW w:w="0" w:type="auto"/>
          </w:tcPr>
          <w:p w14:paraId="376F07AF" w14:textId="77777777" w:rsidR="00366E1E" w:rsidRDefault="00000000">
            <w:pPr>
              <w:pStyle w:val="Compact"/>
            </w:pPr>
            <w:r>
              <w:t>Seth</w:t>
            </w:r>
          </w:p>
        </w:tc>
        <w:tc>
          <w:tcPr>
            <w:tcW w:w="0" w:type="auto"/>
          </w:tcPr>
          <w:p w14:paraId="3986A0D0" w14:textId="77777777" w:rsidR="00366E1E" w:rsidRDefault="00000000">
            <w:pPr>
              <w:pStyle w:val="Compact"/>
            </w:pPr>
            <w:r>
              <w:t>105 / 807 / 912</w:t>
            </w:r>
          </w:p>
        </w:tc>
        <w:tc>
          <w:tcPr>
            <w:tcW w:w="0" w:type="auto"/>
          </w:tcPr>
          <w:p w14:paraId="7CD4160A" w14:textId="77777777" w:rsidR="00366E1E" w:rsidRDefault="00000000">
            <w:pPr>
              <w:pStyle w:val="Compact"/>
            </w:pPr>
            <w:r>
              <w:t>205 / 707 / 912</w:t>
            </w:r>
          </w:p>
        </w:tc>
        <w:tc>
          <w:tcPr>
            <w:tcW w:w="0" w:type="auto"/>
          </w:tcPr>
          <w:p w14:paraId="6F5E6C99" w14:textId="77777777" w:rsidR="00366E1E" w:rsidRDefault="00000000">
            <w:pPr>
              <w:pStyle w:val="Compact"/>
            </w:pPr>
            <w:r>
              <w:t>105 / 807 / 912</w:t>
            </w:r>
          </w:p>
        </w:tc>
      </w:tr>
      <w:tr w:rsidR="00366E1E" w14:paraId="74DBA8E4" w14:textId="77777777">
        <w:tc>
          <w:tcPr>
            <w:tcW w:w="0" w:type="auto"/>
          </w:tcPr>
          <w:p w14:paraId="075614FE" w14:textId="77777777" w:rsidR="00366E1E" w:rsidRDefault="00000000">
            <w:pPr>
              <w:pStyle w:val="Compact"/>
            </w:pPr>
            <w:r>
              <w:t>Enosh</w:t>
            </w:r>
          </w:p>
        </w:tc>
        <w:tc>
          <w:tcPr>
            <w:tcW w:w="0" w:type="auto"/>
          </w:tcPr>
          <w:p w14:paraId="0C701BE9" w14:textId="77777777" w:rsidR="00366E1E" w:rsidRDefault="00000000">
            <w:pPr>
              <w:pStyle w:val="Compact"/>
            </w:pPr>
            <w:r>
              <w:t>90 / 815 / 905</w:t>
            </w:r>
          </w:p>
        </w:tc>
        <w:tc>
          <w:tcPr>
            <w:tcW w:w="0" w:type="auto"/>
          </w:tcPr>
          <w:p w14:paraId="43EB5FA2" w14:textId="77777777" w:rsidR="00366E1E" w:rsidRDefault="00000000">
            <w:pPr>
              <w:pStyle w:val="Compact"/>
            </w:pPr>
            <w:r>
              <w:t>190 / 715 / 905</w:t>
            </w:r>
          </w:p>
        </w:tc>
        <w:tc>
          <w:tcPr>
            <w:tcW w:w="0" w:type="auto"/>
          </w:tcPr>
          <w:p w14:paraId="37C0A737" w14:textId="77777777" w:rsidR="00366E1E" w:rsidRDefault="00000000">
            <w:pPr>
              <w:pStyle w:val="Compact"/>
            </w:pPr>
            <w:r>
              <w:t>90 / 815 / 905</w:t>
            </w:r>
          </w:p>
        </w:tc>
      </w:tr>
      <w:tr w:rsidR="00366E1E" w14:paraId="52671BCA" w14:textId="77777777">
        <w:tc>
          <w:tcPr>
            <w:tcW w:w="0" w:type="auto"/>
          </w:tcPr>
          <w:p w14:paraId="29EB30B6" w14:textId="77777777" w:rsidR="00366E1E" w:rsidRDefault="00000000">
            <w:pPr>
              <w:pStyle w:val="Compact"/>
            </w:pPr>
            <w:r>
              <w:t>Kenan</w:t>
            </w:r>
          </w:p>
        </w:tc>
        <w:tc>
          <w:tcPr>
            <w:tcW w:w="0" w:type="auto"/>
          </w:tcPr>
          <w:p w14:paraId="3EB86F96" w14:textId="77777777" w:rsidR="00366E1E" w:rsidRDefault="00000000">
            <w:pPr>
              <w:pStyle w:val="Compact"/>
            </w:pPr>
            <w:r>
              <w:t>70 / 840 / 910</w:t>
            </w:r>
          </w:p>
        </w:tc>
        <w:tc>
          <w:tcPr>
            <w:tcW w:w="0" w:type="auto"/>
          </w:tcPr>
          <w:p w14:paraId="449DB38B" w14:textId="77777777" w:rsidR="00366E1E" w:rsidRDefault="00000000">
            <w:pPr>
              <w:pStyle w:val="Compact"/>
            </w:pPr>
            <w:r>
              <w:t>170 / 740 / 910</w:t>
            </w:r>
          </w:p>
        </w:tc>
        <w:tc>
          <w:tcPr>
            <w:tcW w:w="0" w:type="auto"/>
          </w:tcPr>
          <w:p w14:paraId="70FDC478" w14:textId="77777777" w:rsidR="00366E1E" w:rsidRDefault="00000000">
            <w:pPr>
              <w:pStyle w:val="Compact"/>
            </w:pPr>
            <w:r>
              <w:t>70 / 840 / 910</w:t>
            </w:r>
          </w:p>
        </w:tc>
      </w:tr>
      <w:tr w:rsidR="00366E1E" w14:paraId="33FD3CD8" w14:textId="77777777">
        <w:tc>
          <w:tcPr>
            <w:tcW w:w="0" w:type="auto"/>
          </w:tcPr>
          <w:p w14:paraId="58A1F94F" w14:textId="77777777" w:rsidR="00366E1E" w:rsidRDefault="00000000">
            <w:pPr>
              <w:pStyle w:val="Compact"/>
            </w:pPr>
            <w:r>
              <w:t>Mahalalel</w:t>
            </w:r>
          </w:p>
        </w:tc>
        <w:tc>
          <w:tcPr>
            <w:tcW w:w="0" w:type="auto"/>
          </w:tcPr>
          <w:p w14:paraId="58E63F3D" w14:textId="77777777" w:rsidR="00366E1E" w:rsidRDefault="00000000">
            <w:pPr>
              <w:pStyle w:val="Compact"/>
            </w:pPr>
            <w:r>
              <w:t>65 / 830 / 895</w:t>
            </w:r>
          </w:p>
        </w:tc>
        <w:tc>
          <w:tcPr>
            <w:tcW w:w="0" w:type="auto"/>
          </w:tcPr>
          <w:p w14:paraId="1414E473" w14:textId="77777777" w:rsidR="00366E1E" w:rsidRDefault="00000000">
            <w:pPr>
              <w:pStyle w:val="Compact"/>
            </w:pPr>
            <w:r>
              <w:t>165 / 730 / 895</w:t>
            </w:r>
          </w:p>
        </w:tc>
        <w:tc>
          <w:tcPr>
            <w:tcW w:w="0" w:type="auto"/>
          </w:tcPr>
          <w:p w14:paraId="008CC8BA" w14:textId="77777777" w:rsidR="00366E1E" w:rsidRDefault="00000000">
            <w:pPr>
              <w:pStyle w:val="Compact"/>
            </w:pPr>
            <w:r>
              <w:t>65 / 830 / 895</w:t>
            </w:r>
          </w:p>
        </w:tc>
      </w:tr>
      <w:tr w:rsidR="00366E1E" w14:paraId="28275C0F" w14:textId="77777777">
        <w:tc>
          <w:tcPr>
            <w:tcW w:w="0" w:type="auto"/>
          </w:tcPr>
          <w:p w14:paraId="151409EE" w14:textId="77777777" w:rsidR="00366E1E" w:rsidRDefault="00000000">
            <w:pPr>
              <w:pStyle w:val="Compact"/>
            </w:pPr>
            <w:r>
              <w:t>Jared</w:t>
            </w:r>
          </w:p>
        </w:tc>
        <w:tc>
          <w:tcPr>
            <w:tcW w:w="0" w:type="auto"/>
          </w:tcPr>
          <w:p w14:paraId="3CCDBE2C" w14:textId="77777777" w:rsidR="00366E1E" w:rsidRDefault="00000000">
            <w:pPr>
              <w:pStyle w:val="Compact"/>
            </w:pPr>
            <w:r>
              <w:t>162 / 800 / 962</w:t>
            </w:r>
          </w:p>
        </w:tc>
        <w:tc>
          <w:tcPr>
            <w:tcW w:w="0" w:type="auto"/>
          </w:tcPr>
          <w:p w14:paraId="3C0583DA" w14:textId="77777777" w:rsidR="00366E1E" w:rsidRDefault="00000000">
            <w:pPr>
              <w:pStyle w:val="Compact"/>
            </w:pPr>
            <w:r>
              <w:t>162 / 800 / 962</w:t>
            </w:r>
          </w:p>
        </w:tc>
        <w:tc>
          <w:tcPr>
            <w:tcW w:w="0" w:type="auto"/>
          </w:tcPr>
          <w:p w14:paraId="3AA00688" w14:textId="77777777" w:rsidR="00366E1E" w:rsidRDefault="00000000">
            <w:pPr>
              <w:pStyle w:val="Compact"/>
            </w:pPr>
            <w:r>
              <w:t>62 / 785 / 847</w:t>
            </w:r>
          </w:p>
        </w:tc>
      </w:tr>
      <w:tr w:rsidR="00366E1E" w14:paraId="3CA6A8CC" w14:textId="77777777">
        <w:tc>
          <w:tcPr>
            <w:tcW w:w="0" w:type="auto"/>
          </w:tcPr>
          <w:p w14:paraId="09037E53" w14:textId="77777777" w:rsidR="00366E1E" w:rsidRDefault="00000000">
            <w:pPr>
              <w:pStyle w:val="Compact"/>
            </w:pPr>
            <w:r>
              <w:t>Enoch</w:t>
            </w:r>
          </w:p>
        </w:tc>
        <w:tc>
          <w:tcPr>
            <w:tcW w:w="0" w:type="auto"/>
          </w:tcPr>
          <w:p w14:paraId="6611E594" w14:textId="77777777" w:rsidR="00366E1E" w:rsidRDefault="00000000">
            <w:pPr>
              <w:pStyle w:val="Compact"/>
            </w:pPr>
            <w:r>
              <w:t>65 / 300 / 365</w:t>
            </w:r>
          </w:p>
        </w:tc>
        <w:tc>
          <w:tcPr>
            <w:tcW w:w="0" w:type="auto"/>
          </w:tcPr>
          <w:p w14:paraId="57A15E25" w14:textId="77777777" w:rsidR="00366E1E" w:rsidRDefault="00000000">
            <w:pPr>
              <w:pStyle w:val="Compact"/>
            </w:pPr>
            <w:r>
              <w:t>165 / 200 / 365</w:t>
            </w:r>
          </w:p>
        </w:tc>
        <w:tc>
          <w:tcPr>
            <w:tcW w:w="0" w:type="auto"/>
          </w:tcPr>
          <w:p w14:paraId="64A58330" w14:textId="77777777" w:rsidR="00366E1E" w:rsidRDefault="00000000">
            <w:pPr>
              <w:pStyle w:val="Compact"/>
            </w:pPr>
            <w:r>
              <w:t>65 / 300 / 365</w:t>
            </w:r>
          </w:p>
        </w:tc>
      </w:tr>
      <w:tr w:rsidR="00366E1E" w14:paraId="50CF1198" w14:textId="77777777">
        <w:tc>
          <w:tcPr>
            <w:tcW w:w="0" w:type="auto"/>
          </w:tcPr>
          <w:p w14:paraId="60A66436" w14:textId="77777777" w:rsidR="00366E1E" w:rsidRDefault="00000000">
            <w:pPr>
              <w:pStyle w:val="Compact"/>
            </w:pPr>
            <w:r>
              <w:t>Methuselah</w:t>
            </w:r>
          </w:p>
        </w:tc>
        <w:tc>
          <w:tcPr>
            <w:tcW w:w="0" w:type="auto"/>
          </w:tcPr>
          <w:p w14:paraId="6A5F5E1B" w14:textId="77777777" w:rsidR="00366E1E" w:rsidRDefault="00000000">
            <w:pPr>
              <w:pStyle w:val="Compact"/>
            </w:pPr>
            <w:r>
              <w:t>187 / 782 / 969</w:t>
            </w:r>
          </w:p>
        </w:tc>
        <w:tc>
          <w:tcPr>
            <w:tcW w:w="0" w:type="auto"/>
          </w:tcPr>
          <w:p w14:paraId="67AA20A0" w14:textId="77777777" w:rsidR="00366E1E" w:rsidRDefault="00000000">
            <w:pPr>
              <w:pStyle w:val="Compact"/>
            </w:pPr>
            <w:r>
              <w:t>167 / 802 / 969</w:t>
            </w:r>
          </w:p>
        </w:tc>
        <w:tc>
          <w:tcPr>
            <w:tcW w:w="0" w:type="auto"/>
          </w:tcPr>
          <w:p w14:paraId="04B28CC5" w14:textId="77777777" w:rsidR="00366E1E" w:rsidRDefault="00000000">
            <w:pPr>
              <w:pStyle w:val="Compact"/>
            </w:pPr>
            <w:r>
              <w:t>67 / 653 / 720</w:t>
            </w:r>
          </w:p>
        </w:tc>
      </w:tr>
      <w:tr w:rsidR="00366E1E" w14:paraId="56A07E91" w14:textId="77777777">
        <w:tc>
          <w:tcPr>
            <w:tcW w:w="0" w:type="auto"/>
          </w:tcPr>
          <w:p w14:paraId="32E2DE9E" w14:textId="77777777" w:rsidR="00366E1E" w:rsidRDefault="00000000">
            <w:pPr>
              <w:pStyle w:val="Compact"/>
            </w:pPr>
            <w:r>
              <w:t>Lamech</w:t>
            </w:r>
          </w:p>
        </w:tc>
        <w:tc>
          <w:tcPr>
            <w:tcW w:w="0" w:type="auto"/>
          </w:tcPr>
          <w:p w14:paraId="44832A8A" w14:textId="77777777" w:rsidR="00366E1E" w:rsidRDefault="00000000">
            <w:pPr>
              <w:pStyle w:val="Compact"/>
            </w:pPr>
            <w:r>
              <w:t>182 / 595 / 777</w:t>
            </w:r>
          </w:p>
        </w:tc>
        <w:tc>
          <w:tcPr>
            <w:tcW w:w="0" w:type="auto"/>
          </w:tcPr>
          <w:p w14:paraId="7703D37C" w14:textId="77777777" w:rsidR="00366E1E" w:rsidRDefault="00000000">
            <w:pPr>
              <w:pStyle w:val="Compact"/>
            </w:pPr>
            <w:r>
              <w:t>188 / 565 / 753</w:t>
            </w:r>
          </w:p>
        </w:tc>
        <w:tc>
          <w:tcPr>
            <w:tcW w:w="0" w:type="auto"/>
          </w:tcPr>
          <w:p w14:paraId="68D536B4" w14:textId="77777777" w:rsidR="00366E1E" w:rsidRDefault="00000000">
            <w:pPr>
              <w:pStyle w:val="Compact"/>
            </w:pPr>
            <w:r>
              <w:t>53 / 600 / 653</w:t>
            </w:r>
          </w:p>
        </w:tc>
      </w:tr>
      <w:tr w:rsidR="00366E1E" w14:paraId="2B40A1F9" w14:textId="77777777">
        <w:tc>
          <w:tcPr>
            <w:tcW w:w="0" w:type="auto"/>
          </w:tcPr>
          <w:p w14:paraId="66245F15" w14:textId="77777777" w:rsidR="00366E1E" w:rsidRDefault="00000000">
            <w:pPr>
              <w:pStyle w:val="Compact"/>
            </w:pPr>
            <w:r>
              <w:t>Noah</w:t>
            </w:r>
          </w:p>
        </w:tc>
        <w:tc>
          <w:tcPr>
            <w:tcW w:w="0" w:type="auto"/>
          </w:tcPr>
          <w:p w14:paraId="1C60A3BD" w14:textId="77777777" w:rsidR="00366E1E" w:rsidRDefault="00000000">
            <w:pPr>
              <w:pStyle w:val="Compact"/>
            </w:pPr>
            <w:r>
              <w:t>502 / 448 / 950</w:t>
            </w:r>
          </w:p>
        </w:tc>
        <w:tc>
          <w:tcPr>
            <w:tcW w:w="0" w:type="auto"/>
          </w:tcPr>
          <w:p w14:paraId="42764DD8" w14:textId="77777777" w:rsidR="00366E1E" w:rsidRDefault="00000000">
            <w:pPr>
              <w:pStyle w:val="Compact"/>
            </w:pPr>
            <w:r>
              <w:t>502 / 448 / 950</w:t>
            </w:r>
          </w:p>
        </w:tc>
        <w:tc>
          <w:tcPr>
            <w:tcW w:w="0" w:type="auto"/>
          </w:tcPr>
          <w:p w14:paraId="4F953C8C" w14:textId="77777777" w:rsidR="00366E1E" w:rsidRDefault="00000000">
            <w:pPr>
              <w:pStyle w:val="Compact"/>
            </w:pPr>
            <w:r>
              <w:t>502 / 448 / 950</w:t>
            </w:r>
          </w:p>
        </w:tc>
      </w:tr>
    </w:tbl>
    <w:p w14:paraId="6992A280" w14:textId="77777777" w:rsidR="00366E1E" w:rsidRDefault="00000000">
      <w:pPr>
        <w:pStyle w:val="BodyText"/>
      </w:pPr>
      <w:r>
        <w:t xml:space="preserve">Figures as tabulated in </w:t>
      </w:r>
      <w:hyperlink r:id="rId40">
        <w:r>
          <w:rPr>
            <w:rStyle w:val="Hyperlink"/>
          </w:rPr>
          <w:t>Apologetics Press, “Can I Trust the Numbers in Genesis 5?”</w:t>
        </w:r>
      </w:hyperlink>
      <w:r>
        <w:t xml:space="preserve"> and in a technical comparison of the </w:t>
      </w:r>
      <w:hyperlink r:id="rId41">
        <w:r>
          <w:rPr>
            <w:rStyle w:val="Hyperlink"/>
          </w:rPr>
          <w:t>textual traditions and biblical chronology</w:t>
        </w:r>
      </w:hyperlink>
      <w:r>
        <w:t>.</w:t>
      </w:r>
    </w:p>
    <w:p w14:paraId="3970E88F" w14:textId="77777777" w:rsidR="00366E1E" w:rsidRDefault="00000000">
      <w:pPr>
        <w:pStyle w:val="BodyText"/>
      </w:pPr>
      <w:r>
        <w:t xml:space="preserve">Read the table carefully and a striking pattern appears. The Septuagint generally adds one hundred years to the father’s age at the birth of his son and subtracts one hundred from the years remaining, so that the </w:t>
      </w:r>
      <w:r>
        <w:rPr>
          <w:i/>
          <w:iCs/>
        </w:rPr>
        <w:t>total</w:t>
      </w:r>
      <w:r>
        <w:t xml:space="preserve"> lifespan comes out identical to the Hebrew in every case but one. The Masoretic and Samaritan texts agree almost entirely, differing in only three places — Jared, Methuselah, and Lamech (</w:t>
      </w:r>
      <w:hyperlink r:id="rId42">
        <w:r>
          <w:rPr>
            <w:rStyle w:val="Hyperlink"/>
          </w:rPr>
          <w:t>Apologetics Press</w:t>
        </w:r>
      </w:hyperlink>
      <w:r>
        <w:t xml:space="preserve">). That is not the fingerprint of sloppy copying; a scribe who miscopies numbers does not produce a consistent hundred-year shift that </w:t>
      </w:r>
      <w:r>
        <w:lastRenderedPageBreak/>
        <w:t>preserves the totals. It is the fingerprint of deliberate editorial adjustment, most likely in the Greek tradition, and possibly to harmonize biblical chronology with Egyptian chronological systems (</w:t>
      </w:r>
      <w:hyperlink r:id="rId43">
        <w:r>
          <w:rPr>
            <w:rStyle w:val="Hyperlink"/>
          </w:rPr>
          <w:t>textual traditions comparison</w:t>
        </w:r>
      </w:hyperlink>
      <w:r>
        <w:t>).</w:t>
      </w:r>
    </w:p>
    <w:p w14:paraId="3B968A8B" w14:textId="77777777" w:rsidR="00366E1E" w:rsidRDefault="00000000">
      <w:pPr>
        <w:pStyle w:val="BodyText"/>
      </w:pPr>
      <w:r>
        <w:t xml:space="preserve">How do careful scholars evaluate this? The consensus, across the theological spectrum, is that the Septuagint figures look secondary. Gordon Wenham’s summary is quoted in the technical literature: “Which of these chronologies is closest to the original? There is no consensus on this issue, except that the LXX looks secondary” (quoted in the </w:t>
      </w:r>
      <w:hyperlink r:id="rId44">
        <w:r>
          <w:rPr>
            <w:rStyle w:val="Hyperlink"/>
          </w:rPr>
          <w:t>textual traditions comparison</w:t>
        </w:r>
      </w:hyperlink>
      <w:r>
        <w:t>). The Masoretic Text is widely regarded as the best-preserved form of the Hebrew Bible and stands behind nearly all modern English translations, which is why our study works from its numbers.</w:t>
      </w:r>
    </w:p>
    <w:p w14:paraId="194DD31C" w14:textId="77777777" w:rsidR="00366E1E" w:rsidRDefault="00000000">
      <w:pPr>
        <w:pStyle w:val="BodyText"/>
      </w:pPr>
      <w:r>
        <w:t>What should a teacher do with this? Three things. First, use it as a case study in how God has preserved His Word — not by suppressing every variant, but by preserving the text so well that we can lay the witnesses side by side and see exactly where and how they differ. Second, notice that the variants touch the arithmetic and never the theology. In all three traditions, Adam fathers Seth, Enoch walks with God and does not die, Methuselah is the oldest man, Lamech names Noah, and the line runs unbroken to the flood. Third, let it reinforce the humility recommended earlier. Anyone who builds an exact date for creation on these figures is building on numbers that the ancient witnesses themselves report differently. The genealogy is airtight as theology and as history in its claims; it was never designed to be a calculator.</w:t>
      </w:r>
    </w:p>
    <w:p w14:paraId="59A8A021" w14:textId="77777777" w:rsidR="00366E1E" w:rsidRDefault="00000000">
      <w:r>
        <w:pict w14:anchorId="29FBE7AF">
          <v:rect id="_x0000_i1036" style="width:0;height:1.5pt" o:hralign="center" o:hrstd="t" o:hr="t"/>
        </w:pict>
      </w:r>
    </w:p>
    <w:p w14:paraId="3513EC5A" w14:textId="77777777" w:rsidR="00366E1E" w:rsidRDefault="00000000">
      <w:pPr>
        <w:pStyle w:val="Heading2"/>
      </w:pPr>
      <w:bookmarkStart w:id="37" w:name="Xdeee751f63439c3dc5119b4819fbb79392da6ca"/>
      <w:bookmarkEnd w:id="35"/>
      <w:bookmarkEnd w:id="36"/>
      <w:r>
        <w:t>Part Eleven: The Seventh from Adam Who Did Not Die (Genesis 5:21–24)</w:t>
      </w:r>
    </w:p>
    <w:p w14:paraId="585F14C8" w14:textId="77777777" w:rsidR="00366E1E" w:rsidRDefault="00000000">
      <w:pPr>
        <w:pStyle w:val="BlockText"/>
      </w:pPr>
      <w:r>
        <w:t>“When Enoch had lived 65 years, he fathered Methuselah. Enoch walked with God after he fathered Methuselah 300 years and had other sons and daughters. Thus all the days of Enoch were 365 years. Enoch walked with God, and he was not, for God took him.”</w:t>
      </w:r>
    </w:p>
    <w:p w14:paraId="52AD1F90" w14:textId="77777777" w:rsidR="00366E1E" w:rsidRDefault="00000000">
      <w:pPr>
        <w:pStyle w:val="FirstParagraph"/>
      </w:pPr>
      <w:r>
        <w:t>This is the summit of the chapter, and it is constructed by breaking the pattern twice.</w:t>
      </w:r>
    </w:p>
    <w:p w14:paraId="56A0A829" w14:textId="77777777" w:rsidR="00366E1E" w:rsidRDefault="00000000">
      <w:pPr>
        <w:pStyle w:val="BodyText"/>
      </w:pPr>
      <w:r>
        <w:rPr>
          <w:b/>
          <w:bCs/>
        </w:rPr>
        <w:t>First break:</w:t>
      </w:r>
      <w:r>
        <w:t xml:space="preserve"> instead of the expected “and Enoch lived X years after he fathered Methuselah,” we read “</w:t>
      </w:r>
      <w:r>
        <w:rPr>
          <w:b/>
          <w:bCs/>
        </w:rPr>
        <w:t>Enoch walked with God</w:t>
      </w:r>
      <w:r>
        <w:t xml:space="preserve"> after he fathered Methuselah 300 years.” The phrase appears twice, in verses 22 and 24, which is itself emphatic — perhaps also to reassure readers that Enoch’s comparatively short life span was not a judgment (Faithlife Study Bible, note on 5:22).</w:t>
      </w:r>
    </w:p>
    <w:p w14:paraId="6C60065B" w14:textId="77777777" w:rsidR="00366E1E" w:rsidRDefault="00000000">
      <w:pPr>
        <w:pStyle w:val="BodyText"/>
      </w:pPr>
      <w:r>
        <w:rPr>
          <w:b/>
          <w:bCs/>
        </w:rPr>
        <w:lastRenderedPageBreak/>
        <w:t>Second break:</w:t>
      </w:r>
      <w:r>
        <w:t xml:space="preserve"> instead of the expected “and he died,” we read “</w:t>
      </w:r>
      <w:r>
        <w:rPr>
          <w:b/>
          <w:bCs/>
        </w:rPr>
        <w:t>and he was not, for God took him</w:t>
      </w:r>
      <w:r>
        <w:t>.”</w:t>
      </w:r>
    </w:p>
    <w:p w14:paraId="3AE0CC9E" w14:textId="77777777" w:rsidR="00366E1E" w:rsidRDefault="00000000">
      <w:pPr>
        <w:pStyle w:val="Heading3"/>
      </w:pPr>
      <w:bookmarkStart w:id="38" w:name="walked-with-god"/>
      <w:r>
        <w:t>“Walked with God”</w:t>
      </w:r>
    </w:p>
    <w:p w14:paraId="5D16911A" w14:textId="77777777" w:rsidR="00366E1E" w:rsidRDefault="00000000">
      <w:pPr>
        <w:pStyle w:val="FirstParagraph"/>
      </w:pPr>
      <w:r>
        <w:t xml:space="preserve">The Hebrew verb here is a distinctive form (the </w:t>
      </w:r>
      <w:r>
        <w:rPr>
          <w:i/>
          <w:iCs/>
        </w:rPr>
        <w:t>hithpael</w:t>
      </w:r>
      <w:r>
        <w:t xml:space="preserve"> of </w:t>
      </w:r>
      <w:r>
        <w:rPr>
          <w:i/>
          <w:iCs/>
        </w:rPr>
        <w:t>halak</w:t>
      </w:r>
      <w:r>
        <w:t>) that conveys ongoing, habitual intimacy — the same form used in Genesis 3:8 of God walking in the garden, and of Noah in 6:9, and of the patriarchs in 17:1; 24:40; 48:15 (ESV Study Bible, note on 5:22–24). It signifies intimate fellowship (Reformation Study Bible, note on 5:22). It means living a life consistent with God’s will while genuinely enjoying communion with Him (CSB Study Bible, note on 5:6–31).</w:t>
      </w:r>
    </w:p>
    <w:p w14:paraId="45C98C21" w14:textId="77777777" w:rsidR="00366E1E" w:rsidRDefault="00000000">
      <w:pPr>
        <w:pStyle w:val="BodyText"/>
      </w:pPr>
      <w:r>
        <w:t>Think about what that phrase means in this context. Chapter 3 ended with man hiding from the God who walked in the garden. Chapter 4 ended with a man singing about murder. And now, seven generations from Adam, there is a man who walks with God the way Adam did before the fall. Eden’s fellowship has not been permanently lost. It has been restored — in one man, by grace, in the middle of a dying world.</w:t>
      </w:r>
    </w:p>
    <w:p w14:paraId="6011A73A" w14:textId="77777777" w:rsidR="00366E1E" w:rsidRDefault="00000000">
      <w:pPr>
        <w:pStyle w:val="BodyText"/>
      </w:pPr>
      <w:r>
        <w:t>The CSB Study Bible offers a pastoral observation worth passing on to students: perhaps it was Enoch’s entry into fatherhood at the birth of Methuselah that moved him to take God seriously. Then consider the arithmetic of devotion — three hundred years of walking wholeheartedly with God (note on 5:6–31). Whatever spiritual maturity is, Enoch had three centuries of it.</w:t>
      </w:r>
    </w:p>
    <w:p w14:paraId="204942B9" w14:textId="77777777" w:rsidR="00366E1E" w:rsidRDefault="00000000">
      <w:pPr>
        <w:pStyle w:val="BodyText"/>
      </w:pPr>
      <w:r>
        <w:t>Enoch was also a prophet. Jude 14–15 quotes his preaching of coming judgment, and identifies him as “the seventh from Adam” — the very structural position Genesis assigns him (CSB Study Bible, note on 5:6–31; NIV Biblical Theology Study Bible, note on 5:23). So the seventh from Adam in the godly line preached judgment, while the seventh from Adam in the ungodly line sang about murder. Both men spoke. Only one spoke for God.</w:t>
      </w:r>
    </w:p>
    <w:p w14:paraId="35918734" w14:textId="77777777" w:rsidR="00366E1E" w:rsidRDefault="00000000">
      <w:pPr>
        <w:pStyle w:val="Heading3"/>
      </w:pPr>
      <w:bookmarkStart w:id="39" w:name="god-took-him"/>
      <w:bookmarkEnd w:id="38"/>
      <w:r>
        <w:t>“God took him”</w:t>
      </w:r>
    </w:p>
    <w:p w14:paraId="2AFCA11F" w14:textId="77777777" w:rsidR="00366E1E" w:rsidRDefault="00000000">
      <w:pPr>
        <w:pStyle w:val="FirstParagraph"/>
      </w:pPr>
      <w:r>
        <w:t>The formula “and he died” is conspicuously absent. The narrator’s desire to highlight this may explain why this genealogy, unlike the one in Genesis 11:10–26, is careful to mention that each man died (ESV Study Bible, note on 5:22–24). The pattern exists so that the exception will shout.</w:t>
      </w:r>
    </w:p>
    <w:p w14:paraId="38BDE3D3" w14:textId="77777777" w:rsidR="00366E1E" w:rsidRDefault="00000000">
      <w:pPr>
        <w:pStyle w:val="BodyText"/>
      </w:pPr>
      <w:r>
        <w:t>The New Testament confirms the meaning: “Enoch was taken up so that he should not see death” (Hebrews 11:5). Of all the saints recorded in the Old Testament, only Enoch and Elijah did not experience physical death (2 Kings 2:1–12; Reformation Study Bible, note on 5:24). The Hebrew language describing Enoch’s removal is similar to that used of Elijah’s departure (2 Kings 2:1, 5, 9–11; Faithlife Study Bible, note on 5:24).</w:t>
      </w:r>
    </w:p>
    <w:p w14:paraId="67D9ED04" w14:textId="77777777" w:rsidR="00366E1E" w:rsidRDefault="00000000">
      <w:pPr>
        <w:pStyle w:val="BodyText"/>
      </w:pPr>
      <w:r>
        <w:lastRenderedPageBreak/>
        <w:t>There is a lovely structural echo here as well. The seventh from Adam does not end like the others — just as the seventh day of creation does not end like the other six with “and there was evening and there was morning” (Genesis 2:2–3; NIV Biblical Theology Study Bible, note on 5:24). Seven is the number of rest, and the seventh man in the line of promise enters rest without dying.</w:t>
      </w:r>
    </w:p>
    <w:p w14:paraId="2E66AAB7" w14:textId="77777777" w:rsidR="00366E1E" w:rsidRDefault="00000000">
      <w:pPr>
        <w:pStyle w:val="BodyText"/>
      </w:pPr>
      <w:r>
        <w:t xml:space="preserve">Note also what the 365 years teach. Longevity is often a mark of divine blessing in Scripture (Psalm 91:16), yet Enoch — the most blessed man in the chapter — has the shortest life in it. That inversion is intentional: “being in God’s presence is an even greater privilege” than long life (Reformation Study Bible, note on 5:23; John 17:24). The number 365 also matches the days of a solar year, which later contributed to Enoch’s prominence in Jewish calendrical speculation, including the pseudepigraphal work </w:t>
      </w:r>
      <w:r>
        <w:rPr>
          <w:i/>
          <w:iCs/>
        </w:rPr>
        <w:t>1 Enoch</w:t>
      </w:r>
      <w:r>
        <w:t xml:space="preserve"> (Faithlife Study Bible, note on 5:23; NIV Biblical Theology Study Bible, note on 5:23). We should note that literature without granting it authority; Jude’s citation of Enoch’s prophecy does not canonize </w:t>
      </w:r>
      <w:r>
        <w:rPr>
          <w:i/>
          <w:iCs/>
        </w:rPr>
        <w:t>1 Enoch</w:t>
      </w:r>
      <w:r>
        <w:t xml:space="preserve"> any more than Paul’s citation of Aratus canonizes Greek poetry.</w:t>
      </w:r>
    </w:p>
    <w:p w14:paraId="33AFF66A" w14:textId="77777777" w:rsidR="00366E1E" w:rsidRDefault="00000000">
      <w:pPr>
        <w:pStyle w:val="Heading3"/>
      </w:pPr>
      <w:bookmarkStart w:id="40" w:name="Xb40d69084840c80cef44e432649396fdfd422fb"/>
      <w:bookmarkEnd w:id="39"/>
      <w:r>
        <w:t>What “walking with God” means across the canon</w:t>
      </w:r>
    </w:p>
    <w:p w14:paraId="008D0260" w14:textId="77777777" w:rsidR="00366E1E" w:rsidRDefault="00000000">
      <w:pPr>
        <w:pStyle w:val="FirstParagraph"/>
      </w:pPr>
      <w:r>
        <w:t>The phrase Genesis uses of Enoch becomes one of Scripture’s central metaphors for the whole of the godly life, and tracing it gives students a durable category.</w:t>
      </w:r>
    </w:p>
    <w:p w14:paraId="3CA0C364" w14:textId="77777777" w:rsidR="00366E1E" w:rsidRDefault="00000000">
      <w:pPr>
        <w:pStyle w:val="Compact"/>
        <w:numPr>
          <w:ilvl w:val="0"/>
          <w:numId w:val="6"/>
        </w:numPr>
      </w:pPr>
      <w:r>
        <w:rPr>
          <w:b/>
          <w:bCs/>
        </w:rPr>
        <w:t>Noah</w:t>
      </w:r>
      <w:r>
        <w:t xml:space="preserve"> “walked with God” (6:9) — the only other antediluvian so described, and the man who survives the flood.</w:t>
      </w:r>
    </w:p>
    <w:p w14:paraId="7E7494BD" w14:textId="77777777" w:rsidR="00366E1E" w:rsidRDefault="00000000">
      <w:pPr>
        <w:pStyle w:val="Compact"/>
        <w:numPr>
          <w:ilvl w:val="0"/>
          <w:numId w:val="6"/>
        </w:numPr>
      </w:pPr>
      <w:r>
        <w:rPr>
          <w:b/>
          <w:bCs/>
        </w:rPr>
        <w:t>Abraham</w:t>
      </w:r>
      <w:r>
        <w:t xml:space="preserve"> is commanded, “Walk before me, and be blameless” (17:1), and later describes “the LORD, before whom I have walked” (24:40).</w:t>
      </w:r>
    </w:p>
    <w:p w14:paraId="597B11EA" w14:textId="77777777" w:rsidR="00366E1E" w:rsidRDefault="00000000">
      <w:pPr>
        <w:pStyle w:val="Compact"/>
        <w:numPr>
          <w:ilvl w:val="0"/>
          <w:numId w:val="6"/>
        </w:numPr>
      </w:pPr>
      <w:r>
        <w:rPr>
          <w:b/>
          <w:bCs/>
        </w:rPr>
        <w:t>Jacob</w:t>
      </w:r>
      <w:r>
        <w:t xml:space="preserve"> blesses Joseph’s sons in the name of “the God before whom my fathers Abraham and Isaac walked” (48:15).</w:t>
      </w:r>
    </w:p>
    <w:p w14:paraId="616B3691" w14:textId="77777777" w:rsidR="00366E1E" w:rsidRDefault="00000000">
      <w:pPr>
        <w:pStyle w:val="Compact"/>
        <w:numPr>
          <w:ilvl w:val="0"/>
          <w:numId w:val="6"/>
        </w:numPr>
      </w:pPr>
      <w:r>
        <w:rPr>
          <w:b/>
          <w:bCs/>
        </w:rPr>
        <w:t>Israel</w:t>
      </w:r>
      <w:r>
        <w:t xml:space="preserve"> is told the whole law in these terms: “walk in all his ways” (Deuteronomy 10:12), and Micah compresses all religion into “walk humbly with your God” (Micah 6:8).</w:t>
      </w:r>
    </w:p>
    <w:p w14:paraId="69193C7A" w14:textId="77777777" w:rsidR="00366E1E" w:rsidRDefault="00000000">
      <w:pPr>
        <w:pStyle w:val="Compact"/>
        <w:numPr>
          <w:ilvl w:val="0"/>
          <w:numId w:val="6"/>
        </w:numPr>
      </w:pPr>
      <w:r>
        <w:rPr>
          <w:b/>
          <w:bCs/>
        </w:rPr>
        <w:t>Malachi</w:t>
      </w:r>
      <w:r>
        <w:t xml:space="preserve"> describes the ideal priest: “he walked with me in peace and uprightness” (Malachi 2:6).</w:t>
      </w:r>
    </w:p>
    <w:p w14:paraId="0832126E" w14:textId="77777777" w:rsidR="00366E1E" w:rsidRDefault="00000000">
      <w:pPr>
        <w:pStyle w:val="Compact"/>
        <w:numPr>
          <w:ilvl w:val="0"/>
          <w:numId w:val="6"/>
        </w:numPr>
      </w:pPr>
      <w:r>
        <w:rPr>
          <w:b/>
          <w:bCs/>
        </w:rPr>
        <w:t>The New Testament</w:t>
      </w:r>
      <w:r>
        <w:t xml:space="preserve"> never drops the image: “walk in newness of life” (Romans 6:4), “walk by the Spirit” (Galatians 5:16), “walk in the light, as he is in the light” (1 John 1:7).</w:t>
      </w:r>
    </w:p>
    <w:p w14:paraId="03F9ADFA" w14:textId="77777777" w:rsidR="00366E1E" w:rsidRDefault="00000000">
      <w:pPr>
        <w:pStyle w:val="FirstParagraph"/>
      </w:pPr>
      <w:r>
        <w:t xml:space="preserve">Notice what the metaphor implies. Walking is slow, ordinary, and continuous. It is not a mountaintop experience but a pace kept up over years, in the same direction, alongside </w:t>
      </w:r>
      <w:r>
        <w:lastRenderedPageBreak/>
        <w:t>someone. Enoch had three hundred years of it. That is the biblical picture of holiness, and it is why the man who never built a city is the man Genesis honors most.</w:t>
      </w:r>
    </w:p>
    <w:p w14:paraId="1C940326" w14:textId="77777777" w:rsidR="00366E1E" w:rsidRDefault="00000000">
      <w:pPr>
        <w:pStyle w:val="BodyText"/>
      </w:pPr>
      <w:r>
        <w:t>There is one more thing to say about Enoch before Calvin, and Hebrews says it: “By faith Enoch was taken up so that he should not see death… And without faith it is impossible to please him, for whoever would draw near to God must believe that he exists and that he rewards those who seek him” (Hebrews 11:5–6). Read carefully, that is the New Testament’s own commentary on Genesis 5:24, and it makes two claims. First, whatever “walked with God” means, it means faith — not merely moral effort. Second, Enoch’s confidence had an object: he believed God rewards those who seek Him, which is another way of saying he believed the promise of Genesis 3:15 was worth staking a life on. Enoch is the first man in Scripture described as living by faith in a promise he never saw fulfilled, which makes him the pattern for everyone in Hebrews 11 who follows.</w:t>
      </w:r>
    </w:p>
    <w:p w14:paraId="75498C89" w14:textId="77777777" w:rsidR="00366E1E" w:rsidRDefault="00000000">
      <w:pPr>
        <w:pStyle w:val="Heading3"/>
      </w:pPr>
      <w:bookmarkStart w:id="41" w:name="calvin-on-enoch"/>
      <w:bookmarkEnd w:id="40"/>
      <w:r>
        <w:t>Calvin on Enoch</w:t>
      </w:r>
    </w:p>
    <w:p w14:paraId="21A16BC4" w14:textId="77777777" w:rsidR="00366E1E" w:rsidRDefault="00000000">
      <w:pPr>
        <w:pStyle w:val="FirstParagraph"/>
      </w:pPr>
      <w:r>
        <w:t>Calvin’s reading of these verses deserves extended attention because it is one of the finest examples of Reformed exegetical instinct.</w:t>
      </w:r>
    </w:p>
    <w:p w14:paraId="48B00BC1" w14:textId="77777777" w:rsidR="00366E1E" w:rsidRDefault="00000000">
      <w:pPr>
        <w:pStyle w:val="BodyText"/>
      </w:pPr>
      <w:r>
        <w:t>He understood Genesis 5 as recording the successive preservation of the church, and found the whole point of the catalogue in this: God intended “to inform us, that in the great, or rather, we might say, prodigious multitude of men, there was always a number, though small, who worshipped God” — a remnant “wonderfully preserved by celestial guardianship, lest the name of God should be entirely obliterated, and the seed of the Church should fail” (</w:t>
      </w:r>
      <w:hyperlink r:id="rId45">
        <w:r>
          <w:rPr>
            <w:rStyle w:val="Hyperlink"/>
          </w:rPr>
          <w:t>Calvin, Genesis 5</w:t>
        </w:r>
      </w:hyperlink>
      <w:r>
        <w:t>).</w:t>
      </w:r>
    </w:p>
    <w:p w14:paraId="24BFC4E1" w14:textId="77777777" w:rsidR="00366E1E" w:rsidRDefault="00000000">
      <w:pPr>
        <w:pStyle w:val="BodyText"/>
      </w:pPr>
      <w:r>
        <w:t>Of Enoch specifically, Calvin wrote that he “in the middle period of life, suddenly, and in an unexampled method, vanished from the sight of men, because the Lord took him away,” and that he “was taken to a better abode,” a “heavenly country.” Calvin saw a fourfold pastoral purpose in the event: it displayed an example of immortality, strengthened the faith of God’s saints facing death, mitigated their dread of death, and demonstrated “that a better life was elsewhere laid up for them” (</w:t>
      </w:r>
      <w:hyperlink r:id="rId46">
        <w:r>
          <w:rPr>
            <w:rStyle w:val="Hyperlink"/>
          </w:rPr>
          <w:t>Reformation21, “The Gospel According to Enoch”</w:t>
        </w:r>
      </w:hyperlink>
      <w:r>
        <w:t>).</w:t>
      </w:r>
    </w:p>
    <w:p w14:paraId="6BF0B670" w14:textId="77777777" w:rsidR="00366E1E" w:rsidRDefault="00000000">
      <w:pPr>
        <w:pStyle w:val="BodyText"/>
      </w:pPr>
      <w:r>
        <w:t>Calvin’s timing observation is remarkable: he calculated that Adam had been dead roughly 150 years when Enoch was translated. Adam and Eve alone had received the promise of the coming Seed directly from God; their believing children received it as testimony. So with the first preacher of that gospel now buried for a century and a half, it was fitting for God to renew His promise in an extraordinary way and reinvigorate the church’s faith (</w:t>
      </w:r>
      <w:hyperlink r:id="rId47">
        <w:r>
          <w:rPr>
            <w:rStyle w:val="Hyperlink"/>
          </w:rPr>
          <w:t>Reformation21</w:t>
        </w:r>
      </w:hyperlink>
      <w:r>
        <w:t>). Enoch’s translation was a sermon God preached with a man’s body.</w:t>
      </w:r>
    </w:p>
    <w:p w14:paraId="0C93EA91" w14:textId="77777777" w:rsidR="00366E1E" w:rsidRDefault="00000000">
      <w:pPr>
        <w:pStyle w:val="BodyText"/>
      </w:pPr>
      <w:r>
        <w:lastRenderedPageBreak/>
        <w:t>And Calvin is careful at exactly the point where a lesser interpreter would stumble. Enoch’s righteousness was genuine and extraordinary, but it did not merit his translation or atone for his sin. He was righteous on the basis of Christ’s righteousness reckoned to him — imputed before any righteous act of his own. His acceptance before God and his hope of glory rested entirely on the coming Seed who would conquer death, obey perfectly, bear the penalty in the place of sinners, and secure eternal glory for all who trust Him (</w:t>
      </w:r>
      <w:hyperlink r:id="rId48">
        <w:r>
          <w:rPr>
            <w:rStyle w:val="Hyperlink"/>
          </w:rPr>
          <w:t>Reformation21</w:t>
        </w:r>
      </w:hyperlink>
      <w:r>
        <w:t>).</w:t>
      </w:r>
    </w:p>
    <w:p w14:paraId="219A642A" w14:textId="77777777" w:rsidR="00366E1E" w:rsidRDefault="00000000">
      <w:pPr>
        <w:pStyle w:val="BodyText"/>
      </w:pPr>
      <w:r>
        <w:t>That is why Hebrews places Enoch in the hall of faith and immediately adds the interpretive key: “without faith it is impossible to please him” (Hebrews 11:5–6). Enoch’s walk with God makes him an early example of faith, and his being taken without dying anticipates the eternal resurrection life Christ gives (ESV Study Bible, note on 5:24; Romans 8:11). His experience, like Elijah’s, foreshadows what awaits believers alive at Christ’s return (1 Corinthians 15:51–55; 1 Thessalonians 4:17; CSB Study Bible, note on 5:6–31).</w:t>
      </w:r>
    </w:p>
    <w:p w14:paraId="3B016E88" w14:textId="77777777" w:rsidR="00366E1E" w:rsidRDefault="00000000">
      <w:pPr>
        <w:pStyle w:val="BodyText"/>
      </w:pPr>
      <w:r>
        <w:t>Reformation21 makes the boldest claim of all, and it is defensible: Genesis 5:24 functions as “the first explicit promise of eternal life in fellowship with God,” though eternal life was already implicit in the promise of the conquering Seed in Genesis 3:15 (</w:t>
      </w:r>
      <w:hyperlink r:id="rId49">
        <w:r>
          <w:rPr>
            <w:rStyle w:val="Hyperlink"/>
          </w:rPr>
          <w:t>Reformation21</w:t>
        </w:r>
      </w:hyperlink>
      <w:r>
        <w:t>).</w:t>
      </w:r>
    </w:p>
    <w:p w14:paraId="40FA37FD" w14:textId="77777777" w:rsidR="00366E1E" w:rsidRDefault="00000000">
      <w:pPr>
        <w:pStyle w:val="BodyText"/>
      </w:pPr>
      <w:r>
        <w:t>Put the two seventh-generation men side by side one final time. Lamech: “I have killed a man.” Enoch: “he walked with God, and he was not, for God took him.” Lamech multiplied death and stayed in the ground. Enoch never tasted it. Where Lamech “boasted of being greater than God,” Enoch “walked with God and did not taste death” (</w:t>
      </w:r>
      <w:hyperlink r:id="rId50">
        <w:r>
          <w:rPr>
            <w:rStyle w:val="Hyperlink"/>
          </w:rPr>
          <w:t>Tabletalk Magazine</w:t>
        </w:r>
      </w:hyperlink>
      <w:r>
        <w:t>).</w:t>
      </w:r>
    </w:p>
    <w:p w14:paraId="5A42C3EB" w14:textId="77777777" w:rsidR="00366E1E" w:rsidRDefault="00000000">
      <w:r>
        <w:pict w14:anchorId="3FF3FE1D">
          <v:rect id="_x0000_i1037" style="width:0;height:1.5pt" o:hralign="center" o:hrstd="t" o:hr="t"/>
        </w:pict>
      </w:r>
    </w:p>
    <w:p w14:paraId="4E62F47F" w14:textId="77777777" w:rsidR="00366E1E" w:rsidRDefault="00000000">
      <w:pPr>
        <w:pStyle w:val="Heading2"/>
      </w:pPr>
      <w:bookmarkStart w:id="42" w:name="X2a8f45813fe4082255b9a10cc366ed31a5f05ee"/>
      <w:bookmarkEnd w:id="37"/>
      <w:bookmarkEnd w:id="41"/>
      <w:r>
        <w:t>Part Twelve: Methuselah and the Arithmetic of Mercy (Genesis 5:25–27)</w:t>
      </w:r>
    </w:p>
    <w:p w14:paraId="454A9C14" w14:textId="77777777" w:rsidR="00366E1E" w:rsidRDefault="00000000">
      <w:pPr>
        <w:pStyle w:val="FirstParagraph"/>
      </w:pPr>
      <w:r>
        <w:t>Methuselah’s 969 years make him the oldest man in the Bible (CSB Study Bible, note on 5:6–31). His name may mean “man of the spear” or “man/devotee of the spear/missile,” or possibly “man of Shelah” (CSB Study Bible, note on 5:6–31; NIV Biblical Theology Study Bible, note on 5:21).</w:t>
      </w:r>
    </w:p>
    <w:p w14:paraId="5A529357" w14:textId="77777777" w:rsidR="00366E1E" w:rsidRDefault="00000000">
      <w:pPr>
        <w:pStyle w:val="BodyText"/>
      </w:pPr>
      <w:r>
        <w:t xml:space="preserve">Now do the math the commentators do. Methuselah fathered Lamech at 187. Lamech fathered Noah at 182. Noah was 600 when the flood came (Genesis 7:6). 187 + 182 + 600 = 969 — exactly Methuselah’s lifespan. It is therefore possible, and probably intended, that </w:t>
      </w:r>
      <w:r>
        <w:rPr>
          <w:b/>
          <w:bCs/>
        </w:rPr>
        <w:t>Methuselah died in the year of the flood</w:t>
      </w:r>
      <w:r>
        <w:t xml:space="preserve"> (ESV Study Bible, note on 5:27; NIV Biblical Theology Study Bible, note on 5:27).</w:t>
      </w:r>
    </w:p>
    <w:p w14:paraId="2CEB55E9" w14:textId="77777777" w:rsidR="00366E1E" w:rsidRDefault="00000000">
      <w:pPr>
        <w:pStyle w:val="BodyText"/>
      </w:pPr>
      <w:r>
        <w:lastRenderedPageBreak/>
        <w:t>Sit with that. The longest human life ever recorded ended in the year God’s patience with a violent world ran out. Peter says God’s forbearance waited “in the days of Noah, while the ark was being prepared” (1 Peter 3:20). The longest life in Scripture is a measure of the longest patience in Scripture. God did not lose His temper with the antediluvian world. He waited nine hundred and sixty-nine years’ worth of one man’s lifetime, and then He acted.</w:t>
      </w:r>
    </w:p>
    <w:p w14:paraId="5B4B954C" w14:textId="77777777" w:rsidR="00366E1E" w:rsidRDefault="00000000">
      <w:pPr>
        <w:pStyle w:val="BodyText"/>
      </w:pPr>
      <w:r>
        <w:t xml:space="preserve">Two cautions keep this observation honest. First, the arithmetic depends on the Masoretic figures; as we have seen, the Samaritan and Greek traditions give Methuselah different component numbers, and the correspondence is exact only in the Hebrew. Second, and more importantly, the text nowhere says Methuselah perished </w:t>
      </w:r>
      <w:r>
        <w:rPr>
          <w:i/>
          <w:iCs/>
        </w:rPr>
        <w:t>in</w:t>
      </w:r>
      <w:r>
        <w:t xml:space="preserve"> the flood, and we should not slander a man Scripture does not accuse. Genesis simply says “he died.” He may have died of old age in the same year the waters came. The point of the correspondence is not to sneak Methuselah onto the list of the wicked; it is to dramatize the transition from an era of extraordinary divine patience to an hour of judgment. The oldest life in the Bible expires in the very year the flood begins, as though God’s long-suffering and one man’s lifetime ran out together.</w:t>
      </w:r>
    </w:p>
    <w:p w14:paraId="7DAB73A6" w14:textId="77777777" w:rsidR="00366E1E" w:rsidRDefault="00000000">
      <w:pPr>
        <w:pStyle w:val="BodyText"/>
      </w:pPr>
      <w:r>
        <w:t>Consider also the chain of witness that the ages create. Adam lived 930 years and Methuselah was born within Adam’s lifetime; Methuselah lived until the year of the flood, which Noah survived; and Noah lived 350 years after the flood (Genesis 9:28–29), overlapping the generations that produced Abraham’s world. There was never a moment in the pre-flood or immediate post-flood world when a living man could not say, “I heard this from someone who knew Adam.” The genealogy is also a chain of custody for the promise.</w:t>
      </w:r>
    </w:p>
    <w:p w14:paraId="3580AEDA" w14:textId="77777777" w:rsidR="00366E1E" w:rsidRDefault="00000000">
      <w:r>
        <w:pict w14:anchorId="0E687AB3">
          <v:rect id="_x0000_i1038" style="width:0;height:1.5pt" o:hralign="center" o:hrstd="t" o:hr="t"/>
        </w:pict>
      </w:r>
    </w:p>
    <w:p w14:paraId="24C0AB4D" w14:textId="77777777" w:rsidR="00366E1E" w:rsidRDefault="00000000">
      <w:pPr>
        <w:pStyle w:val="Heading2"/>
      </w:pPr>
      <w:bookmarkStart w:id="43" w:name="Xd543795f4fb500df94821efe3df3ce2697539bd"/>
      <w:bookmarkEnd w:id="42"/>
      <w:r>
        <w:t>Part Thirteen: The Other Lamech, and a Son Named Rest (Genesis 5:28–31)</w:t>
      </w:r>
    </w:p>
    <w:p w14:paraId="0E78751A" w14:textId="77777777" w:rsidR="00366E1E" w:rsidRDefault="00000000">
      <w:pPr>
        <w:pStyle w:val="BlockText"/>
      </w:pPr>
      <w:r>
        <w:t>“When Lamech had lived 182 years, he fathered a son and called his name Noah, saying, ‘Out of the ground that the LORD has cursed, this one shall bring us relief from our work and from the painful toil of our hands.’ … Thus all the days of Lamech were 777 years, and he died.”</w:t>
      </w:r>
    </w:p>
    <w:p w14:paraId="3E312EE7" w14:textId="77777777" w:rsidR="00366E1E" w:rsidRDefault="00000000">
      <w:pPr>
        <w:pStyle w:val="FirstParagraph"/>
      </w:pPr>
      <w:r>
        <w:t>Moses has been building to this all along. There are exactly two men in these two genealogies whose words are recorded — the Lamech of Cain’s line and the Lamech of Seth’s line (CSB Study Bible, note on 5:6–31). Two men, same name, same generation-slot function as the closer of a genealogy, and they say opposite things.</w:t>
      </w:r>
    </w:p>
    <w:p w14:paraId="7FE12031" w14:textId="77777777" w:rsidR="00366E1E" w:rsidRDefault="00000000">
      <w:pPr>
        <w:pStyle w:val="BodyText"/>
      </w:pPr>
      <w:r>
        <w:lastRenderedPageBreak/>
        <w:t>Cainite Lamech looks backward and glories in vengeance and violence. Sethite Lamech looks forward to one who will bring comfort (NIV Biblical Theology Study Bible, note on 5:25). One man says, “I have killed.” The other says, “This one shall bring us relief.” RTS captures the contrast in a single sentence: “The Cainite Lamech is remembered for his arrogance in uttering oaths and threats. The Sethite Lamech, the father of Noah, is remembered for his longing” (</w:t>
      </w:r>
      <w:hyperlink r:id="rId51">
        <w:r>
          <w:rPr>
            <w:rStyle w:val="Hyperlink"/>
          </w:rPr>
          <w:t>Reformed Theological Seminary, “The Godly Line”</w:t>
        </w:r>
      </w:hyperlink>
      <w:r>
        <w:t>).</w:t>
      </w:r>
    </w:p>
    <w:p w14:paraId="7A9CF48E" w14:textId="77777777" w:rsidR="00366E1E" w:rsidRDefault="00000000">
      <w:pPr>
        <w:pStyle w:val="Heading3"/>
      </w:pPr>
      <w:bookmarkStart w:id="44" w:name="the-wordplay-in-the-name"/>
      <w:r>
        <w:t>The wordplay in the name</w:t>
      </w:r>
    </w:p>
    <w:p w14:paraId="725ED60E" w14:textId="77777777" w:rsidR="00366E1E" w:rsidRDefault="00000000">
      <w:pPr>
        <w:pStyle w:val="FirstParagraph"/>
      </w:pPr>
      <w:r>
        <w:t>There is a triple sound-play in Hebrew that is worth teaching carefully:</w:t>
      </w:r>
    </w:p>
    <w:p w14:paraId="3B46DBA2" w14:textId="77777777" w:rsidR="00366E1E" w:rsidRDefault="00000000">
      <w:pPr>
        <w:pStyle w:val="Compact"/>
        <w:numPr>
          <w:ilvl w:val="0"/>
          <w:numId w:val="7"/>
        </w:numPr>
      </w:pPr>
      <w:r>
        <w:rPr>
          <w:b/>
          <w:bCs/>
        </w:rPr>
        <w:t>Noah</w:t>
      </w:r>
      <w:r>
        <w:t xml:space="preserve"> — </w:t>
      </w:r>
      <w:r>
        <w:rPr>
          <w:i/>
          <w:iCs/>
        </w:rPr>
        <w:t>noakh</w:t>
      </w:r>
    </w:p>
    <w:p w14:paraId="2864BC21" w14:textId="77777777" w:rsidR="00366E1E" w:rsidRDefault="00000000">
      <w:pPr>
        <w:pStyle w:val="Compact"/>
        <w:numPr>
          <w:ilvl w:val="0"/>
          <w:numId w:val="7"/>
        </w:numPr>
      </w:pPr>
      <w:r>
        <w:rPr>
          <w:b/>
          <w:bCs/>
        </w:rPr>
        <w:t>rest</w:t>
      </w:r>
      <w:r>
        <w:t xml:space="preserve"> — </w:t>
      </w:r>
      <w:r>
        <w:rPr>
          <w:i/>
          <w:iCs/>
        </w:rPr>
        <w:t>nuakh</w:t>
      </w:r>
      <w:r>
        <w:t>, which is what the name strictly relates to</w:t>
      </w:r>
    </w:p>
    <w:p w14:paraId="3B921581" w14:textId="77777777" w:rsidR="00366E1E" w:rsidRDefault="00000000">
      <w:pPr>
        <w:pStyle w:val="Compact"/>
        <w:numPr>
          <w:ilvl w:val="0"/>
          <w:numId w:val="7"/>
        </w:numPr>
      </w:pPr>
      <w:r>
        <w:rPr>
          <w:b/>
          <w:bCs/>
        </w:rPr>
        <w:t>comfort/relief</w:t>
      </w:r>
      <w:r>
        <w:t xml:space="preserve"> — </w:t>
      </w:r>
      <w:r>
        <w:rPr>
          <w:i/>
          <w:iCs/>
        </w:rPr>
        <w:t>nakham</w:t>
      </w:r>
      <w:r>
        <w:t>, the verb Lamech actually uses</w:t>
      </w:r>
    </w:p>
    <w:p w14:paraId="6E4FD5B2" w14:textId="77777777" w:rsidR="00366E1E" w:rsidRDefault="00000000">
      <w:pPr>
        <w:pStyle w:val="FirstParagraph"/>
      </w:pPr>
      <w:r>
        <w:t>The name means “rest,” but Lamech’s explanation introduces the related concept of “comfort” (ESV Study Bible, note on 5:28–31; Faithlife Study Bible, note on 5:29). Lamech expects that Noah will bring both rest and comfort from the painful toil of working the cursed soil — a direct reach back to the curse of Genesis 3:17–19 (ESV Study Bible, note on 5:28–31).</w:t>
      </w:r>
    </w:p>
    <w:p w14:paraId="07C5F3B8" w14:textId="77777777" w:rsidR="00366E1E" w:rsidRDefault="00000000">
      <w:pPr>
        <w:pStyle w:val="BodyText"/>
      </w:pPr>
      <w:r>
        <w:t>Do you see what that is? It is a father naming his son out of Genesis 3. Lamech has read the promise, felt the curse in his hands and his back, and named his baby “Rest” as an act of hope. The Reformation Study Bible: whereas the Cainite Lamech sought to redress wrong through revenge, “the Sethite Lamech looks in hope to the Lord to provide the seed through whom would come deliverance from the curse” (note on 5:29). This is prophecy voiced as parental longing (CSB Study Bible, note on 5:6–31).</w:t>
      </w:r>
    </w:p>
    <w:p w14:paraId="50239C9B" w14:textId="77777777" w:rsidR="00366E1E" w:rsidRDefault="00000000">
      <w:pPr>
        <w:pStyle w:val="Heading3"/>
      </w:pPr>
      <w:bookmarkStart w:id="45" w:name="was-lamechs-hope-fulfilled"/>
      <w:bookmarkEnd w:id="44"/>
      <w:r>
        <w:t>Was Lamech’s hope fulfilled?</w:t>
      </w:r>
    </w:p>
    <w:p w14:paraId="013BBA15" w14:textId="77777777" w:rsidR="00366E1E" w:rsidRDefault="00000000">
      <w:pPr>
        <w:pStyle w:val="FirstParagraph"/>
      </w:pPr>
      <w:r>
        <w:t>This question deserves a careful answer, because it is one of the places where the Old Testament teaches us how promise and fulfillment work.</w:t>
      </w:r>
    </w:p>
    <w:p w14:paraId="6B5E6DF3" w14:textId="77777777" w:rsidR="00366E1E" w:rsidRDefault="00000000">
      <w:pPr>
        <w:pStyle w:val="BodyText"/>
      </w:pPr>
      <w:r>
        <w:t>The honest answer is: partially, and the partiality is the point.</w:t>
      </w:r>
    </w:p>
    <w:p w14:paraId="20ACF792" w14:textId="77777777" w:rsidR="00366E1E" w:rsidRDefault="00000000">
      <w:pPr>
        <w:pStyle w:val="BodyText"/>
      </w:pPr>
      <w:r>
        <w:rPr>
          <w:b/>
          <w:bCs/>
        </w:rPr>
        <w:t>What Noah did accomplish</w:t>
      </w:r>
      <w:r>
        <w:t xml:space="preserve"> is genuinely substantial. Through him the human race survived judgment (Genesis 6:8; 7:23). God renewed the creation mandate to him in almost the words spoken to Adam — “Be fruitful and multiply and fill the earth” (9:1, 7) — making Noah a second head of humanity. God established a relationship to the ground that removed the specific threat Lamech had felt in his hands: “I will never again curse the ground because of man… neither will I </w:t>
      </w:r>
      <w:r>
        <w:lastRenderedPageBreak/>
        <w:t>ever again strike down every living creature” and “while the earth remains, seedtime and harvest… shall not cease” (8:21–22). And God bound Himself by covenant, with the rainbow as its sign, never again to destroy the earth by water (9:8–17). Farming under a guaranteed sky is a real relief from painful toil. Lamech’s hope was not wishful thinking.</w:t>
      </w:r>
    </w:p>
    <w:p w14:paraId="26A25776" w14:textId="77777777" w:rsidR="00366E1E" w:rsidRDefault="00000000">
      <w:pPr>
        <w:pStyle w:val="BodyText"/>
      </w:pPr>
      <w:r>
        <w:rPr>
          <w:b/>
          <w:bCs/>
        </w:rPr>
        <w:t>What Noah did not accomplish</w:t>
      </w:r>
      <w:r>
        <w:t xml:space="preserve"> is equally clear. The curse of Genesis 3 was not lifted; work remained hard, and thorns kept growing. Death continued — Noah himself dies (9:29). And Noah himself fails. In one of Scripture’s most deliberate ironies, “Noah began to be a man of the soil” — the very soil his father had named him in hope over — “and he planted a vineyard. He drank of the wine and became drunk” (9:20–21), and the episode ends in shame and a curse spoken within his own family. Within a few chapters, humanity is again building a city and a tower to make a name for itself (11:1–9). The flood washed the earth; it did not wash the human heart. God says so plainly even as He makes His promise: “the intention of man’s heart is evil from his youth” (8:21).</w:t>
      </w:r>
    </w:p>
    <w:p w14:paraId="3D01FEEB" w14:textId="77777777" w:rsidR="00366E1E" w:rsidRDefault="00000000">
      <w:pPr>
        <w:pStyle w:val="BodyText"/>
      </w:pPr>
      <w:r>
        <w:t>So Lamech’s prophecy functions the way every Old Testament type functions. It is genuinely fulfilled, and the fulfillment is too small for the promise, and that gap is the engine that drives the reader forward. Noah gives rest from the water; he cannot give rest from sin. The name waits for a greater bearer, the One who stood up and said, “Come to me, all who labor and are heavy laden, and I will give you rest” (Matthew 11:28), and whose work Hebrews describes as the true Sabbath rest that Israel never entered (Hebrews 4:8–11). Every “Noah” in Scripture points past himself. That is not a defect in the Old Testament. It is its design.</w:t>
      </w:r>
    </w:p>
    <w:p w14:paraId="109D47EE" w14:textId="77777777" w:rsidR="00366E1E" w:rsidRDefault="00000000">
      <w:pPr>
        <w:pStyle w:val="Heading3"/>
      </w:pPr>
      <w:bookmarkStart w:id="46" w:name="against-77"/>
      <w:bookmarkEnd w:id="45"/>
      <w:r>
        <w:t>777 against 77</w:t>
      </w:r>
    </w:p>
    <w:p w14:paraId="7CDD1EAB" w14:textId="77777777" w:rsidR="00366E1E" w:rsidRDefault="00000000">
      <w:pPr>
        <w:pStyle w:val="FirstParagraph"/>
      </w:pPr>
      <w:r>
        <w:t>And now the numbers, which are the most elegant literary touch in the whole section.</w:t>
      </w:r>
    </w:p>
    <w:p w14:paraId="49EE8294" w14:textId="77777777" w:rsidR="00366E1E" w:rsidRDefault="00000000">
      <w:pPr>
        <w:pStyle w:val="BodyText"/>
      </w:pPr>
      <w:r>
        <w:t>Cainite Lamech boasted of seventy-sevenfold vengeance. Sethite Lamech lived 777 years (ESV Study Bible, note on 5:28–31). Reformed commentators consistently see the parallel as deliberate. The number 777, composed entirely of sevens, symbolizes a perfect and complete number of years (NIV Biblical Theology Study Bible, note on 5:31). For an original audience attentive to numbers, three sevens would have “trumped” the first Lamech’s boast and lent a sense of completeness and perfection to this man’s life (CSB Study Bible, note on 5:6–31).</w:t>
      </w:r>
    </w:p>
    <w:p w14:paraId="5E14365D" w14:textId="77777777" w:rsidR="00366E1E" w:rsidRDefault="00000000">
      <w:pPr>
        <w:pStyle w:val="BodyText"/>
      </w:pPr>
      <w:r>
        <w:t xml:space="preserve">That is the final scoreboard of the two lines, written in arithmetic. One Lamech seized seventy-seven for himself by violence. The other Lamech was </w:t>
      </w:r>
      <w:r>
        <w:rPr>
          <w:i/>
          <w:iCs/>
        </w:rPr>
        <w:t>given</w:t>
      </w:r>
      <w:r>
        <w:t xml:space="preserve"> seven hundred seventy-seven by God. What the man of the city grabbed, the man of the promise received. Grace outbids grasping, and it does so in the same currency.</w:t>
      </w:r>
    </w:p>
    <w:p w14:paraId="48767C61" w14:textId="77777777" w:rsidR="00366E1E" w:rsidRDefault="00000000">
      <w:r>
        <w:lastRenderedPageBreak/>
        <w:pict w14:anchorId="5937E889">
          <v:rect id="_x0000_i1039" style="width:0;height:1.5pt" o:hralign="center" o:hrstd="t" o:hr="t"/>
        </w:pict>
      </w:r>
    </w:p>
    <w:p w14:paraId="048E72FA" w14:textId="77777777" w:rsidR="00366E1E" w:rsidRDefault="00000000">
      <w:pPr>
        <w:pStyle w:val="Heading2"/>
      </w:pPr>
      <w:bookmarkStart w:id="47" w:name="part-fourteen-the-doorway-genesis-53268"/>
      <w:bookmarkEnd w:id="43"/>
      <w:bookmarkEnd w:id="46"/>
      <w:r>
        <w:t>Part Fourteen: The Doorway (Genesis 5:32–6:8)</w:t>
      </w:r>
    </w:p>
    <w:p w14:paraId="67DD9D36" w14:textId="77777777" w:rsidR="00366E1E" w:rsidRDefault="00000000">
      <w:pPr>
        <w:pStyle w:val="BlockText"/>
      </w:pPr>
      <w:r>
        <w:t>“After Noah was 500 years old, Noah fathered Shem, Ham, and Japheth.”</w:t>
      </w:r>
    </w:p>
    <w:p w14:paraId="3BE509E4" w14:textId="77777777" w:rsidR="00366E1E" w:rsidRDefault="00000000">
      <w:pPr>
        <w:pStyle w:val="FirstParagraph"/>
      </w:pPr>
      <w:r>
        <w:t>Verse 32 looks like it is continuing the pattern, but the naming of three sons brings the list to an end — the same technique that closes the genealogy of Shem in Genesis 11:10–26 (ESV Study Bible, note on 5:32). Cain’s line also ended with three named sons (4:20–22), one more structural rhyme (Reformation Study Bible, note on 5:3–32). Noah is 500 here; he will be 600 when the flood comes (Genesis 7:11; Faithlife Study Bible, note on 5:32). The story of Shem, Ham, and Japheth resumes at Genesis 9:18 (Reformation Study Bible, note on 5:32).</w:t>
      </w:r>
    </w:p>
    <w:p w14:paraId="5CB95188" w14:textId="77777777" w:rsidR="00366E1E" w:rsidRDefault="00000000">
      <w:pPr>
        <w:pStyle w:val="BodyText"/>
      </w:pPr>
      <w:r>
        <w:t>Then the tone changes completely. Genesis 6:1–8 pulls the camera back from the single family line to a worldwide panorama of escalating wickedness.</w:t>
      </w:r>
    </w:p>
    <w:p w14:paraId="4C79C937" w14:textId="77777777" w:rsidR="00366E1E" w:rsidRDefault="00000000">
      <w:pPr>
        <w:pStyle w:val="BodyText"/>
      </w:pPr>
      <w:r>
        <w:t>The larger section 5:1–6:8 thus has two distinct halves, and the contrast between them is the whole point: “The contrast between these two elements is not simply between the particular and the universal but, more importantly, between righteousness and evil” (ESV Study Bible, note on 5:1–6:8). Chapter 5 shows you one thin thread of grace; 6:1–8 shows you the flood of corruption surrounding it.</w:t>
      </w:r>
    </w:p>
    <w:p w14:paraId="772911A7" w14:textId="77777777" w:rsidR="00366E1E" w:rsidRDefault="00000000">
      <w:pPr>
        <w:pStyle w:val="BodyText"/>
      </w:pPr>
      <w:r>
        <w:t>Genesis 6:1–8 serves double duty as bridge: as prologue to the flood narrative it illustrates the increasing wickedness on earth, and as conclusion to the genealogy it explains why the long lifespans of chapter 5 come to an end (Faithlife Study Bible, note on 6:1–8). Noah is the hinge between the two.</w:t>
      </w:r>
    </w:p>
    <w:p w14:paraId="7D97293A" w14:textId="77777777" w:rsidR="00366E1E" w:rsidRDefault="00000000">
      <w:pPr>
        <w:pStyle w:val="Heading3"/>
      </w:pPr>
      <w:bookmarkStart w:id="48" w:name="the-hardest-four-verses-in-the-section"/>
      <w:r>
        <w:t>The hardest four verses in the section</w:t>
      </w:r>
    </w:p>
    <w:p w14:paraId="2B159620" w14:textId="77777777" w:rsidR="00366E1E" w:rsidRDefault="00000000">
      <w:pPr>
        <w:pStyle w:val="BlockText"/>
      </w:pPr>
      <w:r>
        <w:t>“When man began to multiply on the face of the land and daughters were born to them, the sons of God saw that the daughters of man were attractive. And they took as their wives any they chose…. The Nephilim were on the earth in those days, and also afterward, when the sons of God came in to the daughters of man and they bore children to them. These were the mighty men who were of old, the men of renown” (6:1–2, 4).</w:t>
      </w:r>
    </w:p>
    <w:p w14:paraId="762D0D6F" w14:textId="77777777" w:rsidR="00366E1E" w:rsidRDefault="00000000">
      <w:pPr>
        <w:pStyle w:val="FirstParagraph"/>
      </w:pPr>
      <w:r>
        <w:t>Three main interpretations are held by conservative, high-view-of-Scripture interpreters. A teacher should be able to state all three fairly.</w:t>
      </w:r>
    </w:p>
    <w:p w14:paraId="396943ED" w14:textId="77777777" w:rsidR="00366E1E" w:rsidRDefault="00000000">
      <w:pPr>
        <w:pStyle w:val="BodyText"/>
      </w:pPr>
      <w:r>
        <w:rPr>
          <w:b/>
          <w:bCs/>
        </w:rPr>
        <w:lastRenderedPageBreak/>
        <w:t>1. The Sethite view.</w:t>
      </w:r>
      <w:r>
        <w:t xml:space="preserve"> The “sons of God” are the covenant line of Seth; the “daughters of man” are the line of Cain; the sin is indiscriminate intermarriage that dissolves the distinction Moses has spent two chapters drawing. This has been the dominant reading in the West since Augustine and is the standard Reformed position, held by Calvin and Matthew Henry. Its central strength is literary context. A modern Reformed defense states the argument crisply: Genesis 4 traces a line defined by “worldly power, technological advancement, polygamy, and violence,” Genesis 5 traces a line “defined by the image of God and calling upon the name of the Lord,” and Genesis 6 “does not suddenly introduce a new cast of Sci-Fi characters. It describes the collision of the two trains Moses just set in motion” (</w:t>
      </w:r>
      <w:hyperlink r:id="rId52">
        <w:r>
          <w:rPr>
            <w:rStyle w:val="Hyperlink"/>
          </w:rPr>
          <w:t>Reformed Arsenal, “Angels or Men?”</w:t>
        </w:r>
      </w:hyperlink>
      <w:r>
        <w:t>). On this reading, the flood comes because of “the collapse of the antithesis between the church and the world,” and the lesson is that “the greatest threat to the people of God is not external invasion, but internal compromise” (</w:t>
      </w:r>
      <w:hyperlink r:id="rId53">
        <w:r>
          <w:rPr>
            <w:rStyle w:val="Hyperlink"/>
          </w:rPr>
          <w:t>Reformed Arsenal</w:t>
        </w:r>
      </w:hyperlink>
      <w:r>
        <w:t>).</w:t>
      </w:r>
    </w:p>
    <w:p w14:paraId="165FA475" w14:textId="77777777" w:rsidR="00366E1E" w:rsidRDefault="00000000">
      <w:pPr>
        <w:pStyle w:val="BodyText"/>
      </w:pPr>
      <w:r>
        <w:rPr>
          <w:b/>
          <w:bCs/>
        </w:rPr>
        <w:t>2. The dynastic or royal view.</w:t>
      </w:r>
      <w:r>
        <w:t xml:space="preserve"> The “sons of God” are ancient kings and rulers who claimed divine sonship — a standard royal title across the ancient Near East — and the sin is despotic harem-building, taking “any they chose,” which reads Genesis 6:2 as an escalation of Lamech’s polygamy in 4:19. This view has the advantage of explaining the language of divine sonship without requiring angels, and it fits the “mighty men… men of renown” of verse 4, which is warrior-king vocabulary.</w:t>
      </w:r>
    </w:p>
    <w:p w14:paraId="6E34C94F" w14:textId="77777777" w:rsidR="00366E1E" w:rsidRDefault="00000000">
      <w:pPr>
        <w:pStyle w:val="BodyText"/>
      </w:pPr>
      <w:r>
        <w:rPr>
          <w:b/>
          <w:bCs/>
        </w:rPr>
        <w:t>3. The divine-being or angelic view.</w:t>
      </w:r>
      <w:r>
        <w:t xml:space="preserve"> The “sons of God” are spiritual beings who transgressed the boundary between heaven and earth. This is the oldest attested reading: it is found in Second Temple Jewish literature, notably </w:t>
      </w:r>
      <w:r>
        <w:rPr>
          <w:i/>
          <w:iCs/>
        </w:rPr>
        <w:t>1 Enoch</w:t>
      </w:r>
      <w:r>
        <w:t xml:space="preserve">, and in most of the church fathers before Augustine. Its strongest arguments are lexical and canonical. The phrase </w:t>
      </w:r>
      <w:r>
        <w:rPr>
          <w:i/>
          <w:iCs/>
        </w:rPr>
        <w:t>bene ha’elohim</w:t>
      </w:r>
      <w:r>
        <w:t xml:space="preserve"> elsewhere in the Hebrew Bible clearly refers to heavenly beings (Job 1:6; 2:1; 38:7), and 2 Peter 2:4–5 and Jude 6–7 appear to link angels who “did not stay within their own position of authority” with the generation of the flood and with sexual transgression.</w:t>
      </w:r>
    </w:p>
    <w:p w14:paraId="7A1BCD5D" w14:textId="77777777" w:rsidR="00366E1E" w:rsidRDefault="00000000">
      <w:pPr>
        <w:pStyle w:val="Heading3"/>
      </w:pPr>
      <w:bookmarkStart w:id="49" w:name="Xd3d64f1f3d6aa433d50b3eb112bcb79ae1c2807"/>
      <w:bookmarkEnd w:id="48"/>
      <w:r>
        <w:t>Michael Heiser and the divine-council reading</w:t>
      </w:r>
    </w:p>
    <w:p w14:paraId="17A257C2" w14:textId="77777777" w:rsidR="00366E1E" w:rsidRDefault="00000000">
      <w:pPr>
        <w:pStyle w:val="FirstParagraph"/>
      </w:pPr>
      <w:r>
        <w:t>Any modern teacher working through this passage will run into the work of Michael S. Heiser (1963–2023), and it is worth engaging him directly rather than pretending he does not exist. Heiser held degrees in ancient history, Semitic languages, and the Hebrew Bible from the University of Pennsylvania and the University of Wisconsin–Madison (</w:t>
      </w:r>
      <w:hyperlink r:id="rId54">
        <w:r>
          <w:rPr>
            <w:rStyle w:val="Hyperlink"/>
          </w:rPr>
          <w:t>Wikipedia</w:t>
        </w:r>
      </w:hyperlink>
      <w:r>
        <w:t>), and served as scholar-in-residence for Logos Bible Software from 2004 to 2019 (</w:t>
      </w:r>
      <w:hyperlink r:id="rId55">
        <w:r>
          <w:rPr>
            <w:rStyle w:val="Hyperlink"/>
          </w:rPr>
          <w:t>Logos</w:t>
        </w:r>
      </w:hyperlink>
      <w:r>
        <w:t>). He is also, notably for this study, one of the listed academic editors of the Faithlife Study Bible you are using (</w:t>
      </w:r>
      <w:hyperlink r:id="rId56">
        <w:r>
          <w:rPr>
            <w:rStyle w:val="Hyperlink"/>
          </w:rPr>
          <w:t>Faithlife</w:t>
        </w:r>
      </w:hyperlink>
      <w:r>
        <w:t xml:space="preserve">) — so his influence is already quietly present in one of your source sets. His best-known work is </w:t>
      </w:r>
      <w:r>
        <w:rPr>
          <w:i/>
          <w:iCs/>
        </w:rPr>
        <w:lastRenderedPageBreak/>
        <w:t>The Unseen Realm</w:t>
      </w:r>
      <w:r>
        <w:t xml:space="preserve"> (Lexham, 2015), with a popular version titled </w:t>
      </w:r>
      <w:r>
        <w:rPr>
          <w:i/>
          <w:iCs/>
        </w:rPr>
        <w:t>Supernatural</w:t>
      </w:r>
      <w:r>
        <w:t xml:space="preserve"> and a specialized study of the Enochic material titled </w:t>
      </w:r>
      <w:r>
        <w:rPr>
          <w:i/>
          <w:iCs/>
        </w:rPr>
        <w:t>Reversing Hermon</w:t>
      </w:r>
      <w:r>
        <w:t>.</w:t>
      </w:r>
    </w:p>
    <w:p w14:paraId="4A0D6167" w14:textId="77777777" w:rsidR="00366E1E" w:rsidRDefault="00000000">
      <w:pPr>
        <w:pStyle w:val="BodyText"/>
      </w:pPr>
      <w:r>
        <w:rPr>
          <w:b/>
          <w:bCs/>
        </w:rPr>
        <w:t>What Heiser argues.</w:t>
      </w:r>
      <w:r>
        <w:t xml:space="preserve"> His governing claim is that Scripture assumes a supernatural worldview modern Western readers have flattened: “a theology of the unseen world that derives exclusively from the text understood through the lens of the ancient, premodern worldview of the authors informs every Bible doctrine in significant ways” (</w:t>
      </w:r>
      <w:r>
        <w:rPr>
          <w:i/>
          <w:iCs/>
        </w:rPr>
        <w:t>The Unseen Realm</w:t>
      </w:r>
      <w:r>
        <w:t xml:space="preserve">, 13, quoted in </w:t>
      </w:r>
      <w:hyperlink r:id="rId57">
        <w:r>
          <w:rPr>
            <w:rStyle w:val="Hyperlink"/>
          </w:rPr>
          <w:t>Themelios</w:t>
        </w:r>
      </w:hyperlink>
      <w:r>
        <w:t xml:space="preserve">). From that starting point he argues that God presides over a divine council of lesser spiritual beings called </w:t>
      </w:r>
      <w:r>
        <w:rPr>
          <w:i/>
          <w:iCs/>
        </w:rPr>
        <w:t>elohim</w:t>
      </w:r>
      <w:r>
        <w:t xml:space="preserve">, taking Psalm 82:1 at face value — “God has taken his place in the divine council; in the midst of the gods he holds judgment” — while insisting that this is not polytheism, since “there is no warrant for concluding that plural </w:t>
      </w:r>
      <w:r>
        <w:rPr>
          <w:i/>
          <w:iCs/>
        </w:rPr>
        <w:t>elohim</w:t>
      </w:r>
      <w:r>
        <w:t xml:space="preserve"> produces a pantheon of interchangeable deities” (</w:t>
      </w:r>
      <w:r>
        <w:rPr>
          <w:i/>
          <w:iCs/>
        </w:rPr>
        <w:t>The Unseen Realm</w:t>
      </w:r>
      <w:r>
        <w:t xml:space="preserve">, 31, quoted in </w:t>
      </w:r>
      <w:hyperlink r:id="rId58">
        <w:r>
          <w:rPr>
            <w:rStyle w:val="Hyperlink"/>
          </w:rPr>
          <w:t>Themelios</w:t>
        </w:r>
      </w:hyperlink>
      <w:r>
        <w:t xml:space="preserve">). For Heiser, </w:t>
      </w:r>
      <w:r>
        <w:rPr>
          <w:i/>
          <w:iCs/>
        </w:rPr>
        <w:t>elohim</w:t>
      </w:r>
      <w:r>
        <w:t xml:space="preserve"> is not a statement about rank or nature but about domain — a “place of residence” term: “Our home is the world of embodiment; </w:t>
      </w:r>
      <w:r>
        <w:rPr>
          <w:i/>
          <w:iCs/>
        </w:rPr>
        <w:t>elohim</w:t>
      </w:r>
      <w:r>
        <w:t xml:space="preserve"> by nature inhabit the spiritual world” (</w:t>
      </w:r>
      <w:r>
        <w:rPr>
          <w:i/>
          <w:iCs/>
        </w:rPr>
        <w:t>The Unseen Realm</w:t>
      </w:r>
      <w:r>
        <w:t xml:space="preserve">, 29, quoted in </w:t>
      </w:r>
      <w:hyperlink r:id="rId59">
        <w:r>
          <w:rPr>
            <w:rStyle w:val="Hyperlink"/>
          </w:rPr>
          <w:t>Theopolis Institute</w:t>
        </w:r>
      </w:hyperlink>
      <w:r>
        <w:t>).</w:t>
      </w:r>
    </w:p>
    <w:p w14:paraId="7E5E8188" w14:textId="77777777" w:rsidR="00366E1E" w:rsidRDefault="00000000">
      <w:pPr>
        <w:pStyle w:val="BodyText"/>
      </w:pPr>
      <w:r>
        <w:t xml:space="preserve">On our passage, Heiser rejects the Sethite reading and identifies the “sons of God” of Genesis 6 as “members of the divine council who, like Satan, rebelled against God,” with the Nephilim as their “semi-divine offspring,” whom he treats as “analogous to the </w:t>
      </w:r>
      <w:r>
        <w:rPr>
          <w:i/>
          <w:iCs/>
        </w:rPr>
        <w:t>apkallu</w:t>
      </w:r>
      <w:r>
        <w:t xml:space="preserve"> of Mesopotamian tradition” (</w:t>
      </w:r>
      <w:hyperlink r:id="rId60">
        <w:r>
          <w:rPr>
            <w:rStyle w:val="Hyperlink"/>
          </w:rPr>
          <w:t>Themelios</w:t>
        </w:r>
      </w:hyperlink>
      <w:r>
        <w:t>). He connects the episode to 2 Peter 2:1–10 and Jude 5–7, and reads the later Anakim and Rephaim as continuations of the same conflict, which is why Israel’s conquest targets them (</w:t>
      </w:r>
      <w:hyperlink r:id="rId61">
        <w:r>
          <w:rPr>
            <w:rStyle w:val="Hyperlink"/>
          </w:rPr>
          <w:t>Themelios</w:t>
        </w:r>
      </w:hyperlink>
      <w:r>
        <w:t xml:space="preserve">; </w:t>
      </w:r>
      <w:hyperlink r:id="rId62">
        <w:r>
          <w:rPr>
            <w:rStyle w:val="Hyperlink"/>
          </w:rPr>
          <w:t>Knowing Scripture</w:t>
        </w:r>
      </w:hyperlink>
      <w:r>
        <w:t>). All of this feeds his “Deuteronomy 32 worldview”: reading Deuteronomy 32:8 with the Dead Sea Scrolls and Septuagint as “sons of God” rather than the Masoretic “sons of Israel,” he argues that at Babel God disinherited the nations and placed them under members of His council, many of whom became corrupt, so that Christ’s work reclaims the nations from these powers (</w:t>
      </w:r>
      <w:hyperlink r:id="rId63">
        <w:r>
          <w:rPr>
            <w:rStyle w:val="Hyperlink"/>
          </w:rPr>
          <w:t>Themelios</w:t>
        </w:r>
      </w:hyperlink>
      <w:r>
        <w:t xml:space="preserve">; </w:t>
      </w:r>
      <w:hyperlink r:id="rId64">
        <w:r>
          <w:rPr>
            <w:rStyle w:val="Hyperlink"/>
          </w:rPr>
          <w:t>Knowing Scripture</w:t>
        </w:r>
      </w:hyperlink>
      <w:r>
        <w:t>).</w:t>
      </w:r>
    </w:p>
    <w:p w14:paraId="0A9C4BCD" w14:textId="77777777" w:rsidR="00366E1E" w:rsidRDefault="00000000">
      <w:pPr>
        <w:pStyle w:val="BodyText"/>
      </w:pPr>
      <w:r>
        <w:rPr>
          <w:b/>
          <w:bCs/>
        </w:rPr>
        <w:t>Where Heiser is strong, and Reformed reviewers say so.</w:t>
      </w:r>
      <w:r>
        <w:t xml:space="preserve"> Three things deserve real credit.</w:t>
      </w:r>
    </w:p>
    <w:p w14:paraId="2914A1A9" w14:textId="77777777" w:rsidR="00366E1E" w:rsidRDefault="00000000">
      <w:pPr>
        <w:pStyle w:val="BodyText"/>
      </w:pPr>
      <w:r>
        <w:t xml:space="preserve">First, he recovers something genuinely biblical that modern conservatives often suppress. Reviewing him for </w:t>
      </w:r>
      <w:r>
        <w:rPr>
          <w:i/>
          <w:iCs/>
        </w:rPr>
        <w:t>Themelios</w:t>
      </w:r>
      <w:r>
        <w:t>, Benjamin Noonan concluded that “on the whole Heiser cogently and effectively demonstrates the importance of the divine council for Scripture’s metanarrative,” offering “a fresh and coherent reading of Scripture that is appropriately shaped by the contextual world of the Bible,” and that his “biblical theology of the supernatural should receive serious consideration by Christians” (</w:t>
      </w:r>
      <w:hyperlink r:id="rId65">
        <w:r>
          <w:rPr>
            <w:rStyle w:val="Hyperlink"/>
          </w:rPr>
          <w:t>Themelios</w:t>
        </w:r>
      </w:hyperlink>
      <w:r>
        <w:t xml:space="preserve">). </w:t>
      </w:r>
      <w:r>
        <w:rPr>
          <w:i/>
          <w:iCs/>
        </w:rPr>
        <w:t>Modern Reformation</w:t>
      </w:r>
      <w:r>
        <w:t xml:space="preserve">’s reviewer, though critical, granted that Heiser “boldly interprets a host of historically thorny passages in a </w:t>
      </w:r>
      <w:r>
        <w:lastRenderedPageBreak/>
        <w:t>remarkably coherent fashion,” and that his work “has a compelling way of reawakening for its readers the reality of the spiritual dimension of the created order” (</w:t>
      </w:r>
      <w:hyperlink r:id="rId66">
        <w:r>
          <w:rPr>
            <w:rStyle w:val="Hyperlink"/>
          </w:rPr>
          <w:t>Modern Reformation</w:t>
        </w:r>
      </w:hyperlink>
      <w:r>
        <w:t>).</w:t>
      </w:r>
    </w:p>
    <w:p w14:paraId="178A8DFD" w14:textId="77777777" w:rsidR="00366E1E" w:rsidRDefault="00000000">
      <w:pPr>
        <w:pStyle w:val="BodyText"/>
      </w:pPr>
      <w:r>
        <w:t xml:space="preserve">Second, his treatment of the strange texts is honest work on texts most teachers skip. A confessionally Reformed reviewer at Knowing Scripture wrote that “Michael Heiser’s </w:t>
      </w:r>
      <w:r>
        <w:rPr>
          <w:i/>
          <w:iCs/>
        </w:rPr>
        <w:t>The Unseen Realm</w:t>
      </w:r>
      <w:r>
        <w:t xml:space="preserve"> is a book that every serious student of the Bible should take up,” that his handling of the Nephilim “is probably the best part of the book,” and that “there are not many scholars out there willing to tackle passages dealing with the sons of God, the Nephilim, and giants in the Old Testament” (</w:t>
      </w:r>
      <w:hyperlink r:id="rId67">
        <w:r>
          <w:rPr>
            <w:rStyle w:val="Hyperlink"/>
          </w:rPr>
          <w:t>Knowing Scripture</w:t>
        </w:r>
      </w:hyperlink>
      <w:r>
        <w:t>).</w:t>
      </w:r>
    </w:p>
    <w:p w14:paraId="3975E23A" w14:textId="77777777" w:rsidR="00366E1E" w:rsidRDefault="00000000">
      <w:pPr>
        <w:pStyle w:val="BodyText"/>
      </w:pPr>
      <w:r>
        <w:t>Third, his reading is not a novelty. As the same reviewer notes, “as odd as this sounds, Heiser’s view is not novel. Many in pre-Christian Judaism, as well as the church fathers up until Augustine, took this view of ‘the sons of God’” (</w:t>
      </w:r>
      <w:hyperlink r:id="rId68">
        <w:r>
          <w:rPr>
            <w:rStyle w:val="Hyperlink"/>
          </w:rPr>
          <w:t>Knowing Scripture</w:t>
        </w:r>
      </w:hyperlink>
      <w:r>
        <w:t>). Whatever one concludes, the angelic reading cannot be dismissed as modern sensationalism; it is older than the Sethite reading.</w:t>
      </w:r>
    </w:p>
    <w:p w14:paraId="7A749133" w14:textId="77777777" w:rsidR="00366E1E" w:rsidRDefault="00000000">
      <w:pPr>
        <w:pStyle w:val="BodyText"/>
      </w:pPr>
      <w:r>
        <w:rPr>
          <w:b/>
          <w:bCs/>
        </w:rPr>
        <w:t>Where Heiser is disputed, and why it matters.</w:t>
      </w:r>
      <w:r>
        <w:t xml:space="preserve"> Now the cautions, and they are substantial.</w:t>
      </w:r>
    </w:p>
    <w:p w14:paraId="64F35254" w14:textId="77777777" w:rsidR="00366E1E" w:rsidRDefault="00000000">
      <w:pPr>
        <w:pStyle w:val="BodyText"/>
      </w:pPr>
      <w:r>
        <w:rPr>
          <w:i/>
          <w:iCs/>
        </w:rPr>
        <w:t>Method: the weight placed on extrabiblical material.</w:t>
      </w:r>
      <w:r>
        <w:t xml:space="preserve"> This is the central concern. Heiser’s stated principle is that “I assume that the Scripture writers were communicating to people intentionally — people that lived in their day and who shared their same worldview,” adopted because he is “sensitive to imposing a foreign worldview on the writers” (quoted in </w:t>
      </w:r>
      <w:hyperlink r:id="rId69">
        <w:r>
          <w:rPr>
            <w:rStyle w:val="Hyperlink"/>
          </w:rPr>
          <w:t>Theopolis Institute</w:t>
        </w:r>
      </w:hyperlink>
      <w:r>
        <w:t xml:space="preserve">). That instinct is sound as far as it goes; the danger is that the reconstructed “ancient worldview” comes largely from Ugaritic, Mesopotamian, and Second Temple Jewish sources, and then functions as the lens through which Scripture must be read. Heiser himself conceded that “what comes out of the mouth of pagans cannot constitute a sound source of Israelite theology,” yet his critics argue his system depends on exactly such sources at load-bearing points — a definition of </w:t>
      </w:r>
      <w:r>
        <w:rPr>
          <w:i/>
          <w:iCs/>
        </w:rPr>
        <w:t>elohim</w:t>
      </w:r>
      <w:r>
        <w:t xml:space="preserve"> drawn partly from the medium’s words at Endor in 1 Samuel 28:13, a “seventy sons of God” thesis resting on Ugaritic mythology, and Ugaritic material shaping the readings of Psalm 82 and Deuteronomy 32 (</w:t>
      </w:r>
      <w:hyperlink r:id="rId70">
        <w:r>
          <w:rPr>
            <w:rStyle w:val="Hyperlink"/>
          </w:rPr>
          <w:t>Theopolis Institute</w:t>
        </w:r>
      </w:hyperlink>
      <w:r>
        <w:t>). The same critique charges that his presentation of his position as simply representative of Second Temple Judaism is “historically indefensible” (</w:t>
      </w:r>
      <w:hyperlink r:id="rId71">
        <w:r>
          <w:rPr>
            <w:rStyle w:val="Hyperlink"/>
          </w:rPr>
          <w:t>Theopolis Institute</w:t>
        </w:r>
      </w:hyperlink>
      <w:r>
        <w:t>).</w:t>
      </w:r>
    </w:p>
    <w:p w14:paraId="65AA43A5" w14:textId="77777777" w:rsidR="00366E1E" w:rsidRDefault="00000000">
      <w:pPr>
        <w:pStyle w:val="BodyText"/>
      </w:pPr>
      <w:r>
        <w:t xml:space="preserve">The underlying issue is a Reformation principle, not merely a scholarly quarrel. Comparative material is a genuine servant of exegesis — the Sumerian King List parallels earlier in this study are useful precisely as background. But Scripture interprets Scripture. When a reconstructed pagan cosmology begins supplying the categories that govern a text, the servant has become the master. Even the sympathetic </w:t>
      </w:r>
      <w:r>
        <w:rPr>
          <w:i/>
          <w:iCs/>
        </w:rPr>
        <w:t>Themelios</w:t>
      </w:r>
      <w:r>
        <w:t xml:space="preserve"> reviewer flagged this, noting that readers “may not </w:t>
      </w:r>
      <w:r>
        <w:lastRenderedPageBreak/>
        <w:t>always be comfortable with Heiser’s insistence that we read the Bible through ancient Near Eastern lenses, especially when the resulting interpretation clashes with traditional theological formulations and creeds” (</w:t>
      </w:r>
      <w:hyperlink r:id="rId72">
        <w:r>
          <w:rPr>
            <w:rStyle w:val="Hyperlink"/>
          </w:rPr>
          <w:t>Themelios</w:t>
        </w:r>
      </w:hyperlink>
      <w:r>
        <w:t>).</w:t>
      </w:r>
    </w:p>
    <w:p w14:paraId="4FF1F6B2" w14:textId="77777777" w:rsidR="00366E1E" w:rsidRDefault="00000000">
      <w:pPr>
        <w:pStyle w:val="BodyText"/>
      </w:pPr>
      <w:r>
        <w:rPr>
          <w:i/>
          <w:iCs/>
        </w:rPr>
        <w:t>Underdeveloped foundations.</w:t>
      </w:r>
      <w:r>
        <w:t xml:space="preserve"> Noonan observed that two of Heiser’s most controversial and load-bearing claims receive very little defense in the book itself — the argument that a council of lesser </w:t>
      </w:r>
      <w:r>
        <w:rPr>
          <w:i/>
          <w:iCs/>
        </w:rPr>
        <w:t>elohim</w:t>
      </w:r>
      <w:r>
        <w:t xml:space="preserve"> does not amount to polytheism, and the text-critical decision to prefer the Dead Sea Scrolls and Septuagint over the Masoretic Text at Deuteronomy 32:8 — with the reader referred to his articles and website instead. “It would have been better for Heiser to substantiate these potentially controversial claims in the book itself, especially given their foundational nature for his argument as a whole” (</w:t>
      </w:r>
      <w:hyperlink r:id="rId73">
        <w:r>
          <w:rPr>
            <w:rStyle w:val="Hyperlink"/>
          </w:rPr>
          <w:t>Themelios</w:t>
        </w:r>
      </w:hyperlink>
      <w:r>
        <w:t>).</w:t>
      </w:r>
    </w:p>
    <w:p w14:paraId="1091D7C5" w14:textId="77777777" w:rsidR="00366E1E" w:rsidRDefault="00000000">
      <w:pPr>
        <w:pStyle w:val="BodyText"/>
      </w:pPr>
      <w:r>
        <w:rPr>
          <w:i/>
          <w:iCs/>
        </w:rPr>
        <w:t>Overextension.</w:t>
      </w:r>
      <w:r>
        <w:t xml:space="preserve"> The Knowing Scripture reviewer, broadly sympathetic to the divine-council thesis itself, named his chief criticism plainly: “Heiser seeks to find the divine council in every nook and cranny of Scripture,” and “some of Heiser’s interpretations are a stretch” (</w:t>
      </w:r>
      <w:hyperlink r:id="rId74">
        <w:r>
          <w:rPr>
            <w:rStyle w:val="Hyperlink"/>
          </w:rPr>
          <w:t>Knowing Scripture</w:t>
        </w:r>
      </w:hyperlink>
      <w:r>
        <w:t>). A key that opens every door is usually a key that has been filed down.</w:t>
      </w:r>
    </w:p>
    <w:p w14:paraId="460F5085" w14:textId="77777777" w:rsidR="00366E1E" w:rsidRDefault="00000000">
      <w:pPr>
        <w:pStyle w:val="BodyText"/>
      </w:pPr>
      <w:r>
        <w:rPr>
          <w:i/>
          <w:iCs/>
        </w:rPr>
        <w:t>A serious exegetical cost on the flood.</w:t>
      </w:r>
      <w:r>
        <w:t xml:space="preserve"> The same reviewer notes with regret that in explaining post-flood Nephilim, “Heiser seems to favor the explanation that the Genesis flood was merely local and not worldwide” (</w:t>
      </w:r>
      <w:hyperlink r:id="rId75">
        <w:r>
          <w:rPr>
            <w:rStyle w:val="Hyperlink"/>
          </w:rPr>
          <w:t>Knowing Scripture</w:t>
        </w:r>
      </w:hyperlink>
      <w:r>
        <w:t>). That is a significant departure from the plain claims of Genesis 7:19–23 and from the way Peter uses the flood (2 Peter 3:5–7), and it illustrates the danger of a controlling framework: when a system needs giants after the flood, the flood may get downsized to accommodate them.</w:t>
      </w:r>
    </w:p>
    <w:p w14:paraId="5490E1BF" w14:textId="77777777" w:rsidR="00366E1E" w:rsidRDefault="00000000">
      <w:pPr>
        <w:pStyle w:val="BodyText"/>
      </w:pPr>
      <w:r>
        <w:rPr>
          <w:i/>
          <w:iCs/>
        </w:rPr>
        <w:t>Confessional concerns.</w:t>
      </w:r>
      <w:r>
        <w:t xml:space="preserve"> Heiser was not writing as a confessionally Reformed theologian, and it shows at the doctrine of God and of salvation. Knowing Scripture judges that “an erroneous understanding of God’s sovereignty and salvation infects the entire book,” since Heiser “emphasizes the Christian’s choosing of God” rather than God’s choosing of the Christian, and grounds libertarian free will in humanity’s status as “free imagers” — a construction that, the reviewer argues, “fails to take into account the effects of the fall on man’s will” (</w:t>
      </w:r>
      <w:hyperlink r:id="rId76">
        <w:r>
          <w:rPr>
            <w:rStyle w:val="Hyperlink"/>
          </w:rPr>
          <w:t>Knowing Scripture</w:t>
        </w:r>
      </w:hyperlink>
      <w:r>
        <w:t xml:space="preserve">). </w:t>
      </w:r>
      <w:r>
        <w:rPr>
          <w:i/>
          <w:iCs/>
        </w:rPr>
        <w:t>Modern Reformation</w:t>
      </w:r>
      <w:r>
        <w:t xml:space="preserve"> similarly cautions that “Heiser’s proposal… cannot be said to be a nonpartisan offering, devoid of a presupposed theological paradigm,” identifying “Pentecostal sympathies, sacramentarian parameters, Arminian perspectives” in his framework, and disputes several of his readings, such as taking Genesis 3:22’s “one of us” as a reference to the heavenly </w:t>
      </w:r>
      <w:r>
        <w:rPr>
          <w:i/>
          <w:iCs/>
        </w:rPr>
        <w:t>elohim</w:t>
      </w:r>
      <w:r>
        <w:t xml:space="preserve"> when the Hebrew admits other constructions (</w:t>
      </w:r>
      <w:hyperlink r:id="rId77">
        <w:r>
          <w:rPr>
            <w:rStyle w:val="Hyperlink"/>
          </w:rPr>
          <w:t>Modern Reformation</w:t>
        </w:r>
      </w:hyperlink>
      <w:r>
        <w:t>). A student who absorbs Heiser’s cosmology uncritically may also absorb his anthropology, and the second is a bigger problem than the first.</w:t>
      </w:r>
    </w:p>
    <w:p w14:paraId="553137A6" w14:textId="77777777" w:rsidR="00366E1E" w:rsidRDefault="00000000">
      <w:pPr>
        <w:pStyle w:val="Heading3"/>
      </w:pPr>
      <w:bookmarkStart w:id="50" w:name="how-to-use-heiser-well"/>
      <w:bookmarkEnd w:id="49"/>
      <w:r>
        <w:lastRenderedPageBreak/>
        <w:t>How to use Heiser well</w:t>
      </w:r>
    </w:p>
    <w:p w14:paraId="5C30BE49" w14:textId="77777777" w:rsidR="00366E1E" w:rsidRDefault="00000000">
      <w:pPr>
        <w:pStyle w:val="FirstParagraph"/>
      </w:pPr>
      <w:r>
        <w:t>Five working rules will let a class benefit from his strengths without inheriting his weaknesses.</w:t>
      </w:r>
    </w:p>
    <w:p w14:paraId="5500CE56" w14:textId="77777777" w:rsidR="00366E1E" w:rsidRDefault="00000000">
      <w:pPr>
        <w:pStyle w:val="Compact"/>
        <w:numPr>
          <w:ilvl w:val="0"/>
          <w:numId w:val="8"/>
        </w:numPr>
      </w:pPr>
      <w:r>
        <w:rPr>
          <w:b/>
          <w:bCs/>
        </w:rPr>
        <w:t>Take his diagnosis, weigh his prescription.</w:t>
      </w:r>
      <w:r>
        <w:t xml:space="preserve"> He is right that many modern conservatives have quietly demythologized the Bible’s spiritual world. Ephesians 6:12 and Daniel 10 are in the canon. Recovering a genuinely supernatural reading of Scripture is a gain, and Reformed theology has never denied real, personal, hostile spiritual powers under God’s absolute sovereignty.</w:t>
      </w:r>
    </w:p>
    <w:p w14:paraId="1AF88E97" w14:textId="77777777" w:rsidR="00366E1E" w:rsidRDefault="00000000">
      <w:pPr>
        <w:pStyle w:val="Compact"/>
        <w:numPr>
          <w:ilvl w:val="0"/>
          <w:numId w:val="8"/>
        </w:numPr>
      </w:pPr>
      <w:r>
        <w:rPr>
          <w:b/>
          <w:bCs/>
        </w:rPr>
        <w:t>Distinguish his exegesis of a text from his system.</w:t>
      </w:r>
      <w:r>
        <w:t xml:space="preserve"> His observation that </w:t>
      </w:r>
      <w:r>
        <w:rPr>
          <w:i/>
          <w:iCs/>
        </w:rPr>
        <w:t>bene ha’elohim</w:t>
      </w:r>
      <w:r>
        <w:t xml:space="preserve"> refers to heavenly beings in Job is a lexical datum worth weighing on its own. His “Deuteronomy 32 worldview” is a synthetic construction resting on a chain of contested judgments. The first can be evaluated by ordinary exegesis; the second stands or falls as a whole.</w:t>
      </w:r>
    </w:p>
    <w:p w14:paraId="4C82E60F" w14:textId="77777777" w:rsidR="00366E1E" w:rsidRDefault="00000000">
      <w:pPr>
        <w:pStyle w:val="Compact"/>
        <w:numPr>
          <w:ilvl w:val="0"/>
          <w:numId w:val="8"/>
        </w:numPr>
      </w:pPr>
      <w:r>
        <w:rPr>
          <w:b/>
          <w:bCs/>
        </w:rPr>
        <w:t>Ask where the categories come from.</w:t>
      </w:r>
      <w:r>
        <w:t xml:space="preserve"> Whenever the argument turns on Ugaritic, Mesopotamian, or </w:t>
      </w:r>
      <w:r>
        <w:rPr>
          <w:i/>
          <w:iCs/>
        </w:rPr>
        <w:t>1 Enoch</w:t>
      </w:r>
      <w:r>
        <w:t xml:space="preserve"> material, slow down and ask whether the biblical text requires that background or is merely being read through it. Jude’s citation of Enoch’s prophecy no more canonizes </w:t>
      </w:r>
      <w:r>
        <w:rPr>
          <w:i/>
          <w:iCs/>
        </w:rPr>
        <w:t>1 Enoch</w:t>
      </w:r>
      <w:r>
        <w:t xml:space="preserve"> than Paul’s citation of Aratus canonizes Greek poetry.</w:t>
      </w:r>
    </w:p>
    <w:p w14:paraId="54C0B7EC" w14:textId="77777777" w:rsidR="00366E1E" w:rsidRDefault="00000000">
      <w:pPr>
        <w:pStyle w:val="Compact"/>
        <w:numPr>
          <w:ilvl w:val="0"/>
          <w:numId w:val="8"/>
        </w:numPr>
      </w:pPr>
      <w:r>
        <w:rPr>
          <w:b/>
          <w:bCs/>
        </w:rPr>
        <w:t>Do not let him settle Genesis 6 by himself.</w:t>
      </w:r>
      <w:r>
        <w:t xml:space="preserve"> The Sethite reading remains, in my judgment, the strongest available, chiefly because Moses has just spent two chapters constructing the two lines and because Genesis places the blame for the flood squarely on human wickedness — “the wickedness of man was great in the earth” (6:5) — with the judgment falling on man, not on angels (6:7). Heiser’s lexical and canonical arguments deserve a fair hearing and should be taught as a live option held by serious believers, but the immediate literary context is the decisive consideration, and it points to the collapse of the antithesis between the two families this study has been tracing.</w:t>
      </w:r>
    </w:p>
    <w:p w14:paraId="005CB6D9" w14:textId="77777777" w:rsidR="00366E1E" w:rsidRDefault="00000000">
      <w:pPr>
        <w:pStyle w:val="Compact"/>
        <w:numPr>
          <w:ilvl w:val="0"/>
          <w:numId w:val="8"/>
        </w:numPr>
      </w:pPr>
      <w:r>
        <w:rPr>
          <w:b/>
          <w:bCs/>
        </w:rPr>
        <w:t>Hold the doctrinal line where he crosses it.</w:t>
      </w:r>
      <w:r>
        <w:t xml:space="preserve"> Sovereignty, election, total depravity, and the global flood are not negotiable in exchange for an interesting cosmology.</w:t>
      </w:r>
    </w:p>
    <w:p w14:paraId="7FDF5BB3" w14:textId="77777777" w:rsidR="00366E1E" w:rsidRDefault="00000000">
      <w:pPr>
        <w:pStyle w:val="FirstParagraph"/>
      </w:pPr>
      <w:r>
        <w:t>And note the encouraging thing: on all three views of 6:1–4, the theological logic still runs straight through our passage. When the line of promise stops being distinct from the line of the serpent — whether by intermarriage, by tyranny, or by an invasion from outside — the earth fills with violence (6:11) and judgment comes.</w:t>
      </w:r>
    </w:p>
    <w:p w14:paraId="36CDDD10" w14:textId="77777777" w:rsidR="00366E1E" w:rsidRDefault="00000000">
      <w:pPr>
        <w:pStyle w:val="BodyText"/>
      </w:pPr>
      <w:r>
        <w:t>And even there, grace has the last word: “But Noah found favor in the eyes of the LORD” (6:8).</w:t>
      </w:r>
    </w:p>
    <w:p w14:paraId="12A67A6B" w14:textId="77777777" w:rsidR="00366E1E" w:rsidRDefault="00000000">
      <w:r>
        <w:lastRenderedPageBreak/>
        <w:pict w14:anchorId="50E0C2DC">
          <v:rect id="_x0000_i1040" style="width:0;height:1.5pt" o:hralign="center" o:hrstd="t" o:hr="t"/>
        </w:pict>
      </w:r>
    </w:p>
    <w:p w14:paraId="17B318EA" w14:textId="77777777" w:rsidR="00366E1E" w:rsidRDefault="00000000">
      <w:pPr>
        <w:pStyle w:val="Heading2"/>
      </w:pPr>
      <w:bookmarkStart w:id="51" w:name="part-fifteen-why-two-lines-the-synthesis"/>
      <w:bookmarkEnd w:id="47"/>
      <w:bookmarkEnd w:id="50"/>
      <w:r>
        <w:t>Part Fifteen: Why Two Lines? The Synthesis</w:t>
      </w:r>
    </w:p>
    <w:p w14:paraId="4CCF8BC5" w14:textId="77777777" w:rsidR="00366E1E" w:rsidRDefault="00000000">
      <w:pPr>
        <w:pStyle w:val="FirstParagraph"/>
      </w:pPr>
      <w:r>
        <w:t>We can now answer directly the question your notes raise. Why does Moses lay two family trees side by side and press their comparison so insistently? There are at least eight reasons, and together they form one of the most important theological structures in the Bible.</w:t>
      </w:r>
    </w:p>
    <w:p w14:paraId="5131D856" w14:textId="77777777" w:rsidR="00366E1E" w:rsidRDefault="00000000">
      <w:pPr>
        <w:pStyle w:val="Heading3"/>
      </w:pPr>
      <w:bookmarkStart w:id="52" w:name="X028abe8cf560b2a2f11aeba9ed3510bfef98afe"/>
      <w:r>
        <w:t>1. Because Genesis 3:15 predicted exactly this</w:t>
      </w:r>
    </w:p>
    <w:p w14:paraId="004537EF" w14:textId="77777777" w:rsidR="00366E1E" w:rsidRDefault="00000000">
      <w:pPr>
        <w:pStyle w:val="FirstParagraph"/>
      </w:pPr>
      <w:r>
        <w:t>God said there would be two offspring — the seed of the woman and the seed of the serpent — and enmity between them. Genesis 4–5 is the first installment of that conflict. Cain is “the head of the line of the serpent, and Seth of the line of the promise”; from this point forward Genesis “depicts two lines of ‘seed’ engaged in holy war” (</w:t>
      </w:r>
      <w:hyperlink r:id="rId78">
        <w:r>
          <w:rPr>
            <w:rStyle w:val="Hyperlink"/>
          </w:rPr>
          <w:t>Tabletalk Magazine</w:t>
        </w:r>
      </w:hyperlink>
      <w:r>
        <w:t>). Eve’s own words at Seth’s birth reach back to that promise (ESV Study Bible, note on 4:25). The two genealogies are not sociology. They are eschatology in its infancy.</w:t>
      </w:r>
    </w:p>
    <w:p w14:paraId="7A7F7362" w14:textId="77777777" w:rsidR="00366E1E" w:rsidRDefault="00000000">
      <w:pPr>
        <w:pStyle w:val="BodyText"/>
      </w:pPr>
      <w:r>
        <w:t xml:space="preserve">Note carefully how Cain is characterized. He is like his biological father Adam in being cursed from the ground, but he is also like his spiritual father the devil, in that he received the curse </w:t>
      </w:r>
      <w:r>
        <w:rPr>
          <w:i/>
          <w:iCs/>
        </w:rPr>
        <w:t>himself</w:t>
      </w:r>
      <w:r>
        <w:t>: “you are cursed from the ground” (</w:t>
      </w:r>
      <w:hyperlink r:id="rId79">
        <w:r>
          <w:rPr>
            <w:rStyle w:val="Hyperlink"/>
          </w:rPr>
          <w:t>Tabletalk Magazine</w:t>
        </w:r>
      </w:hyperlink>
      <w:r>
        <w:t>). John says it flatly: Cain “was of the evil one” (1 John 3:12). Spiritual paternity, not biological paternity, defines the two lines.</w:t>
      </w:r>
    </w:p>
    <w:p w14:paraId="067A7336" w14:textId="77777777" w:rsidR="00366E1E" w:rsidRDefault="00000000">
      <w:pPr>
        <w:pStyle w:val="Heading3"/>
      </w:pPr>
      <w:bookmarkStart w:id="53" w:name="Xcf15d90a1c59ef64504ae99580f937c1a5c4610"/>
      <w:bookmarkEnd w:id="52"/>
      <w:r>
        <w:t>2. Because the reader needs to know where to look for the Savior</w:t>
      </w:r>
    </w:p>
    <w:p w14:paraId="22A2A32E" w14:textId="77777777" w:rsidR="00366E1E" w:rsidRDefault="00000000">
      <w:pPr>
        <w:pStyle w:val="FirstParagraph"/>
      </w:pPr>
      <w:r>
        <w:t>If Genesis 4 ended with Lamech’s song, the promise of 3:15 would look dead. Instead, the section ends with Seth, Enosh, worship, and a ten-generation line that leads to Noah and — through Noah — to Abraham, David, and Christ. Matthew Henry saw this as the entire purpose of the chapter: the genealogy is “of great use to show that Christ was the ‘seed of the woman’ that was promised,” and it records “the names, ages, and deaths, of those that were the successors of the first Adam in the custody of the promise, and the ancestors of the second Adam” (</w:t>
      </w:r>
      <w:hyperlink r:id="rId80">
        <w:r>
          <w:rPr>
            <w:rStyle w:val="Hyperlink"/>
          </w:rPr>
          <w:t>Matthew Henry, Genesis 5</w:t>
        </w:r>
      </w:hyperlink>
      <w:r>
        <w:t>). Luke’s genealogy of Jesus runs straight through this list back to “Seth, the son of Adam, the son of God” (Luke 3:38).</w:t>
      </w:r>
    </w:p>
    <w:p w14:paraId="545AD6E7" w14:textId="77777777" w:rsidR="00366E1E" w:rsidRDefault="00000000">
      <w:pPr>
        <w:pStyle w:val="BodyText"/>
      </w:pPr>
      <w:r>
        <w:t>Henry adds a striking observation: this is one of those genealogies Paul calls “endless” (1 Timothy 1:4), “for Christ, who was the end of the Old Testament law, was also the end of the Old Testament genealogies; towards him they looked, and in him they centered” (</w:t>
      </w:r>
      <w:hyperlink r:id="rId81">
        <w:r>
          <w:rPr>
            <w:rStyle w:val="Hyperlink"/>
          </w:rPr>
          <w:t>Matthew Henry, Genesis 5</w:t>
        </w:r>
      </w:hyperlink>
      <w:r>
        <w:t>). Genealogies in Scripture are not lists. They are arrows.</w:t>
      </w:r>
    </w:p>
    <w:p w14:paraId="3BF348CA" w14:textId="77777777" w:rsidR="00366E1E" w:rsidRDefault="00000000">
      <w:pPr>
        <w:pStyle w:val="Heading3"/>
      </w:pPr>
      <w:bookmarkStart w:id="54" w:name="Xe185fcd3f31a5c602b3dca7d47906d9b3f8d006"/>
      <w:bookmarkEnd w:id="53"/>
      <w:r>
        <w:lastRenderedPageBreak/>
        <w:t>3. Because sin has a trajectory, and so does grace</w:t>
      </w:r>
    </w:p>
    <w:p w14:paraId="7F3C444C" w14:textId="77777777" w:rsidR="00366E1E" w:rsidRDefault="00000000">
      <w:pPr>
        <w:pStyle w:val="FirstParagraph"/>
      </w:pPr>
      <w:r>
        <w:t>Read the two lines as graphs and they slope in opposite directions.</w:t>
      </w:r>
    </w:p>
    <w:p w14:paraId="46150C6C" w14:textId="77777777" w:rsidR="00366E1E" w:rsidRDefault="00000000">
      <w:pPr>
        <w:pStyle w:val="BodyText"/>
      </w:pPr>
      <w:r>
        <w:t>Cain’s line: murder (4:8) → defiant settlement (4:17) → polygamy (4:19) → cultural power (4:20–22) → gleeful, disproportionate homicide (4:23–24) → the violence that fills the earth (6:11). Lamech “seems to be worse” than his ancestor Cain (ESV Study Bible, note on 4:17–24). “Cain’s violence and vindictiveness are greatly magnified in his descendant” (Reformation Study Bible, note on 4:24). Sin left to itself does not plateau; it compounds. “Sin’s increasingly corrupting effect on those who remain far away from the Lord is apparent in Cain’s line” (</w:t>
      </w:r>
      <w:hyperlink r:id="rId82">
        <w:r>
          <w:rPr>
            <w:rStyle w:val="Hyperlink"/>
          </w:rPr>
          <w:t>Ligonier, “The First City”</w:t>
        </w:r>
      </w:hyperlink>
      <w:r>
        <w:t>).</w:t>
      </w:r>
    </w:p>
    <w:p w14:paraId="308A6BF8" w14:textId="77777777" w:rsidR="00366E1E" w:rsidRDefault="00000000">
      <w:pPr>
        <w:pStyle w:val="BodyText"/>
      </w:pPr>
      <w:r>
        <w:t>Seth’s line: a mother’s faith (4:25) → public worship (4:26) → a man who walks with God and is taken (5:24) → a father who names his son “Rest” in hope of deliverance from the curse (5:29) → a man who finds favor in the eyes of the LORD (6:8). Grace also compounds.</w:t>
      </w:r>
    </w:p>
    <w:p w14:paraId="495CCFAD" w14:textId="77777777" w:rsidR="00366E1E" w:rsidRDefault="00000000">
      <w:pPr>
        <w:pStyle w:val="Heading3"/>
      </w:pPr>
      <w:bookmarkStart w:id="55" w:name="X9f408abc6fb90aacd12fffe9f22aed22889f0dc"/>
      <w:bookmarkEnd w:id="54"/>
      <w:r>
        <w:t>4. Because outward success is not the measure of divine favor</w:t>
      </w:r>
    </w:p>
    <w:p w14:paraId="0897FDBD" w14:textId="77777777" w:rsidR="00366E1E" w:rsidRDefault="00000000">
      <w:pPr>
        <w:pStyle w:val="FirstParagraph"/>
      </w:pPr>
      <w:r>
        <w:t>This is one of the most pastorally urgent lessons in the passage, and every conservative commentator on it says some version of the same thing. Cain’s family gets the cities, the herds, the music, and the metal. Seth’s family gets a genealogy full of funerals. If prosperity were the index of God’s blessing, you would read these two chapters and conclude that God loved Cain.</w:t>
      </w:r>
    </w:p>
    <w:p w14:paraId="49EDDFA0" w14:textId="77777777" w:rsidR="00366E1E" w:rsidRDefault="00000000">
      <w:pPr>
        <w:pStyle w:val="BodyText"/>
      </w:pPr>
      <w:r>
        <w:t>Henry’s warning is exactly right: “We cannot judge of love or hatred by all that is before us” (</w:t>
      </w:r>
      <w:hyperlink r:id="rId83">
        <w:r>
          <w:rPr>
            <w:rStyle w:val="Hyperlink"/>
          </w:rPr>
          <w:t>Matthew Henry, Genesis 4</w:t>
        </w:r>
      </w:hyperlink>
      <w:r>
        <w:t>). Cain prospered even though he rebelled — which is itself an indication of God’s grace, but not of God’s approval. Israel needed to learn this lesson precisely as they left the sophisticated civilization of Egypt for a wilderness. Moses wrote for a newly constituted people who had just walked out of the most advanced culture on earth and who would soon grumble that they wanted it back (Exodus 16:1–3). From the world’s first cultural boom in Cain’s evil line, “Israel learned that advanced culture is nothing without knowledge of the Lord” (</w:t>
      </w:r>
      <w:hyperlink r:id="rId84">
        <w:r>
          <w:rPr>
            <w:rStyle w:val="Hyperlink"/>
          </w:rPr>
          <w:t>Ligonier, “The First City”</w:t>
        </w:r>
      </w:hyperlink>
      <w:r>
        <w:t>).</w:t>
      </w:r>
    </w:p>
    <w:p w14:paraId="45A8DE28" w14:textId="77777777" w:rsidR="00366E1E" w:rsidRDefault="00000000">
      <w:pPr>
        <w:pStyle w:val="Heading3"/>
      </w:pPr>
      <w:bookmarkStart w:id="56" w:name="X8c142931e82569f58b07b08fd3879c6617b711f"/>
      <w:bookmarkEnd w:id="55"/>
      <w:r>
        <w:t>5. Because common grace and saving grace must be distinguished, not confused</w:t>
      </w:r>
    </w:p>
    <w:p w14:paraId="7A5F86FC" w14:textId="77777777" w:rsidR="00366E1E" w:rsidRDefault="00000000">
      <w:pPr>
        <w:pStyle w:val="FirstParagraph"/>
      </w:pPr>
      <w:r>
        <w:t>The passage forces this distinction on us. Genesis genuinely credits Cain’s line with the arts and sciences. The image of God, though shattered by sin, still produces genuine goods in unbelievers (</w:t>
      </w:r>
      <w:hyperlink r:id="rId85">
        <w:r>
          <w:rPr>
            <w:rStyle w:val="Hyperlink"/>
          </w:rPr>
          <w:t>Ligonier, “The First City”</w:t>
        </w:r>
      </w:hyperlink>
      <w:r>
        <w:t>). Unbelievers enjoy real family life by God’s common grace (Reformation Study Bible, note on 4:17).</w:t>
      </w:r>
    </w:p>
    <w:p w14:paraId="3DCA6550" w14:textId="77777777" w:rsidR="00366E1E" w:rsidRDefault="00000000">
      <w:pPr>
        <w:pStyle w:val="BodyText"/>
      </w:pPr>
      <w:r>
        <w:lastRenderedPageBreak/>
        <w:t>And yet — no one in Cain’s line is named in Genesis 5. “Nobody in the line of Cain is named in Genesis, chapter 5,” and in all their achievements “there was not one shred of hope” (</w:t>
      </w:r>
      <w:hyperlink r:id="rId86">
        <w:r>
          <w:rPr>
            <w:rStyle w:val="Hyperlink"/>
          </w:rPr>
          <w:t>Reformed Theological Seminary, “The Godly Line”</w:t>
        </w:r>
      </w:hyperlink>
      <w:r>
        <w:t xml:space="preserve">). Christians should therefore be able to say two things at once without embarrassment: unbelieving culture produces real beauty that Christians may gratefully use, and no amount of cultural achievement can substitute for calling on the name of the LORD. Believers are called to exercise dominion and to make civilization serve the Creator (Genesis 9:7; Matthew 28:18–20; </w:t>
      </w:r>
      <w:hyperlink r:id="rId87">
        <w:r>
          <w:rPr>
            <w:rStyle w:val="Hyperlink"/>
          </w:rPr>
          <w:t>Ligonier, “The First City”</w:t>
        </w:r>
      </w:hyperlink>
      <w:r>
        <w:t>) — which is precisely what Cain’s line did not do.</w:t>
      </w:r>
    </w:p>
    <w:p w14:paraId="189D79F8" w14:textId="77777777" w:rsidR="00366E1E" w:rsidRDefault="00000000">
      <w:pPr>
        <w:pStyle w:val="Heading3"/>
      </w:pPr>
      <w:bookmarkStart w:id="57" w:name="because-god-always-keeps-a-remnant"/>
      <w:bookmarkEnd w:id="56"/>
      <w:r>
        <w:t>6. Because God always keeps a remnant</w:t>
      </w:r>
    </w:p>
    <w:p w14:paraId="6C5CD2A4" w14:textId="77777777" w:rsidR="00366E1E" w:rsidRDefault="00000000">
      <w:pPr>
        <w:pStyle w:val="FirstParagraph"/>
      </w:pPr>
      <w:r>
        <w:t>This is Calvin’s central reading of Genesis 5, and it is the heart of Reformed covenant theology. The catalogue exists to teach us that within an enormous multitude of men there was always a number, though small, who worshipped God — preserved by God’s own guardianship “lest the name of God should be entirely obliterated, and the seed of the Church should fail” (</w:t>
      </w:r>
      <w:hyperlink r:id="rId88">
        <w:r>
          <w:rPr>
            <w:rStyle w:val="Hyperlink"/>
          </w:rPr>
          <w:t>Calvin, Genesis 5</w:t>
        </w:r>
      </w:hyperlink>
      <w:r>
        <w:t>).</w:t>
      </w:r>
    </w:p>
    <w:p w14:paraId="4009DC95" w14:textId="77777777" w:rsidR="00366E1E" w:rsidRDefault="00000000">
      <w:pPr>
        <w:pStyle w:val="BodyText"/>
      </w:pPr>
      <w:r>
        <w:t xml:space="preserve">Calvin says of Seth, in a line worth memorizing: “We may readily conclude that Seth was an upright and faithful servant of God, and after he begat a son like himself, and had rightly constituted the family, the face of the church began distinctly to appear and the worship of God was set up which might continue to posterity” (quoted in </w:t>
      </w:r>
      <w:hyperlink r:id="rId89">
        <w:r>
          <w:rPr>
            <w:rStyle w:val="Hyperlink"/>
          </w:rPr>
          <w:t>Reformed Theological Seminary, “The Godly Line”</w:t>
        </w:r>
      </w:hyperlink>
      <w:r>
        <w:t>). The visible church begins here, in a family, in the middle of a hostile world.</w:t>
      </w:r>
    </w:p>
    <w:p w14:paraId="55601579" w14:textId="77777777" w:rsidR="00366E1E" w:rsidRDefault="00000000">
      <w:pPr>
        <w:pStyle w:val="BodyText"/>
      </w:pPr>
      <w:r>
        <w:t>The application follows directly: “God preserved a people for Himself even in a time of wickedness, even in a time of degeneracy. God always preserves a people for Himself” (</w:t>
      </w:r>
      <w:hyperlink r:id="rId90">
        <w:r>
          <w:rPr>
            <w:rStyle w:val="Hyperlink"/>
          </w:rPr>
          <w:t>Reformed Theological Seminary, “The Godly Line”</w:t>
        </w:r>
      </w:hyperlink>
      <w:r>
        <w:t>). Elijah thought he was the only one left; God had seven thousand (1 Kings 19:18). The remnant is often invisible and never absent.</w:t>
      </w:r>
    </w:p>
    <w:p w14:paraId="62249886" w14:textId="77777777" w:rsidR="00366E1E" w:rsidRDefault="00000000">
      <w:pPr>
        <w:pStyle w:val="Heading3"/>
      </w:pPr>
      <w:bookmarkStart w:id="58" w:name="Xdd98e5108675f8385e2c8e335721ce195361a66"/>
      <w:bookmarkEnd w:id="57"/>
      <w:r>
        <w:t>7. Because the two lines are two cities, and every reader lives in one of them</w:t>
      </w:r>
    </w:p>
    <w:p w14:paraId="30FC3727" w14:textId="77777777" w:rsidR="00366E1E" w:rsidRDefault="00000000">
      <w:pPr>
        <w:pStyle w:val="FirstParagraph"/>
      </w:pPr>
      <w:r>
        <w:t xml:space="preserve">Cain builds a city in the land of Wandering and names it after himself. The patriarchs live in tents and look for a city whose builder and maker is God (Hebrews 11:9–10). Augustine built his monumental </w:t>
      </w:r>
      <w:r>
        <w:rPr>
          <w:i/>
          <w:iCs/>
        </w:rPr>
        <w:t>City of God</w:t>
      </w:r>
      <w:r>
        <w:t xml:space="preserve"> on precisely this distinction, tracing the two cities back to Cain and Abel as their founders (</w:t>
      </w:r>
      <w:hyperlink r:id="rId91">
        <w:r>
          <w:rPr>
            <w:rStyle w:val="Hyperlink"/>
          </w:rPr>
          <w:t xml:space="preserve">Augustine, </w:t>
        </w:r>
        <w:r>
          <w:rPr>
            <w:rStyle w:val="Hyperlink"/>
            <w:i/>
            <w:iCs/>
          </w:rPr>
          <w:t>City of God</w:t>
        </w:r>
        <w:r>
          <w:rPr>
            <w:rStyle w:val="Hyperlink"/>
          </w:rPr>
          <w:t xml:space="preserve"> XV</w:t>
        </w:r>
      </w:hyperlink>
      <w:r>
        <w:t>). Henry works the same contrast: Cain’s city was “the head-quarters of the apostasy,” and Cain “pitched upon a settlement in this world, as his rest for ever,” while Adam’s blessed family dwelt in tents (</w:t>
      </w:r>
      <w:hyperlink r:id="rId92">
        <w:r>
          <w:rPr>
            <w:rStyle w:val="Hyperlink"/>
          </w:rPr>
          <w:t>Matthew Henry, Genesis 4</w:t>
        </w:r>
      </w:hyperlink>
      <w:r>
        <w:t>).</w:t>
      </w:r>
    </w:p>
    <w:p w14:paraId="56DCB147" w14:textId="77777777" w:rsidR="00366E1E" w:rsidRDefault="00000000">
      <w:pPr>
        <w:pStyle w:val="BodyText"/>
      </w:pPr>
      <w:r>
        <w:lastRenderedPageBreak/>
        <w:t xml:space="preserve">And the Bible’s resolution of the tension is not anti-urban. It is Revelation 21–22: a city God Himself builds and inhabits with redeemed humanity (Reformation Study Bible, note on 4:17). Cain’s problem was never architecture. It was that he built a city with no room for God in it. The end of the story is a city with nothing </w:t>
      </w:r>
      <w:r>
        <w:rPr>
          <w:i/>
          <w:iCs/>
        </w:rPr>
        <w:t>but</w:t>
      </w:r>
      <w:r>
        <w:t xml:space="preserve"> God at its center.</w:t>
      </w:r>
    </w:p>
    <w:p w14:paraId="6B89D006" w14:textId="77777777" w:rsidR="00366E1E" w:rsidRDefault="00000000">
      <w:pPr>
        <w:pStyle w:val="Heading3"/>
      </w:pPr>
      <w:bookmarkStart w:id="59" w:name="Xcf40378db4209ff9a060c2585c8758a7790bf8d"/>
      <w:bookmarkEnd w:id="58"/>
      <w:r>
        <w:t>8. Because the two lines confront the reader with a question</w:t>
      </w:r>
    </w:p>
    <w:p w14:paraId="20FE7137" w14:textId="77777777" w:rsidR="00366E1E" w:rsidRDefault="00000000">
      <w:pPr>
        <w:pStyle w:val="FirstParagraph"/>
      </w:pPr>
      <w:r>
        <w:t>Finally — and this is where teaching this passage becomes preaching it — the two-line structure is not merely informational. It is an invitation to self-examination. Which family are you in?</w:t>
      </w:r>
    </w:p>
    <w:p w14:paraId="5C4A0858" w14:textId="77777777" w:rsidR="00366E1E" w:rsidRDefault="00000000">
      <w:pPr>
        <w:pStyle w:val="BodyText"/>
      </w:pPr>
      <w:r>
        <w:t>The answer is not determined by blood. Grace does not run in the blood, but corruption does (</w:t>
      </w:r>
      <w:hyperlink r:id="rId93">
        <w:r>
          <w:rPr>
            <w:rStyle w:val="Hyperlink"/>
          </w:rPr>
          <w:t>Matthew Henry, Genesis 5</w:t>
        </w:r>
      </w:hyperlink>
      <w:r>
        <w:t xml:space="preserve">). Seth’s own descendants included the very people who filled the earth with violence. Election and personal faith remain necessary (Romans 9:6–8; </w:t>
      </w:r>
      <w:hyperlink r:id="rId94">
        <w:r>
          <w:rPr>
            <w:rStyle w:val="Hyperlink"/>
          </w:rPr>
          <w:t>Ligonier, “The Birth of Seth”</w:t>
        </w:r>
      </w:hyperlink>
      <w:r>
        <w:t>). So the question Genesis 4–5 puts to every reader is not about ancestry but about allegiance: Are you singing Lamech’s song or calling on the name of the LORD? Are you building a monument to your own name, or walking with God?</w:t>
      </w:r>
    </w:p>
    <w:p w14:paraId="1F2F0F1B" w14:textId="77777777" w:rsidR="00366E1E" w:rsidRDefault="00000000">
      <w:r>
        <w:pict w14:anchorId="59A04BC2">
          <v:rect id="_x0000_i1041" style="width:0;height:1.5pt" o:hralign="center" o:hrstd="t" o:hr="t"/>
        </w:pict>
      </w:r>
    </w:p>
    <w:p w14:paraId="6B63514D" w14:textId="77777777" w:rsidR="00366E1E" w:rsidRDefault="00000000">
      <w:pPr>
        <w:pStyle w:val="Heading2"/>
      </w:pPr>
      <w:bookmarkStart w:id="60" w:name="part-sixteen-interpretive-cruxes"/>
      <w:bookmarkEnd w:id="51"/>
      <w:bookmarkEnd w:id="59"/>
      <w:r>
        <w:t>Part Sixteen: Interpretive Cruxes</w:t>
      </w:r>
    </w:p>
    <w:p w14:paraId="5C32F6A6" w14:textId="77777777" w:rsidR="00366E1E" w:rsidRDefault="00000000">
      <w:pPr>
        <w:pStyle w:val="FirstParagraph"/>
      </w:pPr>
      <w:r>
        <w:t>Every serious reader of Genesis 4–5 hits the same set of questions, and a teacher who has not thought them through in advance will be ambushed by a fifteen-year-old. What follows is a direct treatment of the hardest ones. Where conservative interpreters genuinely disagree, the disagreement is stated rather than hidden, along with which way the evidence leans.</w:t>
      </w:r>
    </w:p>
    <w:p w14:paraId="2A2D2BED" w14:textId="77777777" w:rsidR="00366E1E" w:rsidRDefault="00000000">
      <w:pPr>
        <w:pStyle w:val="Heading3"/>
      </w:pPr>
      <w:bookmarkStart w:id="61" w:name="where-did-cain-get-his-wife"/>
      <w:r>
        <w:t>Where did Cain get his wife?</w:t>
      </w:r>
    </w:p>
    <w:p w14:paraId="21FAF2F9" w14:textId="77777777" w:rsidR="00366E1E" w:rsidRDefault="00000000">
      <w:pPr>
        <w:pStyle w:val="FirstParagraph"/>
      </w:pPr>
      <w:r>
        <w:t>He married a sister or a niece. Genesis 5:4 states plainly that Adam “had other sons and daughters,” and Genesis 5 covers more than a thousand years of childbearing among people who lived over nine centuries. The population available by the time Cain built a city was potentially very large. The prohibition of marriage between close relatives comes much later, in Leviticus 18, and belongs to a covenant context and to a genetic situation in which accumulated mutations make close-kin marriage medically dangerous. At the head of the race, with a single ancestral pair, there was no other possibility. This is not an embarrassment to the text; it is a necessary implication of it, and the New Testament insists on the single origin of humanity (Acts 17:26).</w:t>
      </w:r>
    </w:p>
    <w:p w14:paraId="33480610" w14:textId="77777777" w:rsidR="00366E1E" w:rsidRDefault="00000000">
      <w:pPr>
        <w:pStyle w:val="BodyText"/>
      </w:pPr>
      <w:r>
        <w:t>Teach it plainly and without squirming. Students respect an answer that owns its logic.</w:t>
      </w:r>
    </w:p>
    <w:p w14:paraId="6D1D51DA" w14:textId="77777777" w:rsidR="00366E1E" w:rsidRDefault="00000000">
      <w:pPr>
        <w:pStyle w:val="Heading3"/>
      </w:pPr>
      <w:bookmarkStart w:id="62" w:name="Xb8100324ff93b6ff7ac0d7d324295c333db9685"/>
      <w:bookmarkEnd w:id="61"/>
      <w:r>
        <w:lastRenderedPageBreak/>
        <w:t>If there were only a handful of people, who was Cain afraid of, and who lived in his city?</w:t>
      </w:r>
    </w:p>
    <w:p w14:paraId="18DA0153" w14:textId="77777777" w:rsidR="00366E1E" w:rsidRDefault="00000000">
      <w:pPr>
        <w:pStyle w:val="FirstParagraph"/>
      </w:pPr>
      <w:r>
        <w:t>The same answer covers both questions: his own relatives, present and future. Genesis 4:14–15 shows Cain fearing blood vengeance, which presupposes a growing network of kin who would have cause to hunt him. And the text’s timeline is not as tight as a quick reading suggests. Genesis 4:17 says Cain “built a city,” but the Hebrew narrative does not require that this happened in the first years after the murder, and Cain’s own lifespan is unstated. A “city” in the ancient sense is a walled or enclosed settlement, not a metropolis. Moses is describing the beginning of urban life, not Manhattan.</w:t>
      </w:r>
    </w:p>
    <w:p w14:paraId="7E717AA1" w14:textId="77777777" w:rsidR="00366E1E" w:rsidRDefault="00000000">
      <w:pPr>
        <w:pStyle w:val="Heading3"/>
      </w:pPr>
      <w:bookmarkStart w:id="63" w:name="did-cain-build-the-city-or-did-enoch"/>
      <w:bookmarkEnd w:id="62"/>
      <w:r>
        <w:t>Did Cain build the city, or did Enoch?</w:t>
      </w:r>
    </w:p>
    <w:p w14:paraId="627A7C81" w14:textId="77777777" w:rsidR="00366E1E" w:rsidRDefault="00000000">
      <w:pPr>
        <w:pStyle w:val="FirstParagraph"/>
      </w:pPr>
      <w:r>
        <w:t>The Hebrew of 4:17 is genuinely ambiguous, and the ambiguity is worth showing students because it teaches them something about how translation works. The clause reads, literally, “and he was building a city and he called the name of the city like the name of his son Enoch.” Most translations and most commentators take Cain as the builder and namer. A minority reading takes the son, Enoch, as the builder, with the city named after Enoch’s own son. The dominant reading is preferable on grounds of simple continuity — Cain is the subject of the preceding verbs — and it fits the theology of the passage, in which the man sentenced to wander answers his sentence with masonry.</w:t>
      </w:r>
    </w:p>
    <w:p w14:paraId="1007512F" w14:textId="77777777" w:rsidR="00366E1E" w:rsidRDefault="00000000">
      <w:pPr>
        <w:pStyle w:val="BodyText"/>
      </w:pPr>
      <w:r>
        <w:t>Either way the theological point stands: the line of Cain answers God’s judgment with construction and self-commemoration.</w:t>
      </w:r>
    </w:p>
    <w:p w14:paraId="03C23645" w14:textId="77777777" w:rsidR="00366E1E" w:rsidRDefault="00000000">
      <w:pPr>
        <w:pStyle w:val="Heading3"/>
      </w:pPr>
      <w:bookmarkStart w:id="64" w:name="X6c7d866a1c87678418fd8d409fa3a4942eb65ab"/>
      <w:bookmarkEnd w:id="63"/>
      <w:r>
        <w:t>Are there gaps in the genealogy of Genesis 5?</w:t>
      </w:r>
    </w:p>
    <w:p w14:paraId="4CA89F67" w14:textId="77777777" w:rsidR="00366E1E" w:rsidRDefault="00000000">
      <w:pPr>
        <w:pStyle w:val="FirstParagraph"/>
      </w:pPr>
      <w:r>
        <w:t>Possibly, and a teacher should say so carefully. On the one hand, the formula of Genesis 5 is unusually tight: it gives the age of the father at the birth of the named son, which is exactly the datum a genealogy needs if it intends to be chronologically complete, and which most biblical genealogies do not provide. That is a real argument for taking the list as a continuous chronology.</w:t>
      </w:r>
    </w:p>
    <w:p w14:paraId="7BF7FDF1" w14:textId="77777777" w:rsidR="00366E1E" w:rsidRDefault="00000000">
      <w:pPr>
        <w:pStyle w:val="BodyText"/>
      </w:pPr>
      <w:r>
        <w:t>On the other hand, the ESV Study Bible notes that because “fathered” in a genealogy can mean “fathered an ancestor of,” it is possible that this genealogy skips generations, and that the literary conventions of the genre allow it; demonstrable compressions occur elsewhere, as when the genealogy of Moses in Exodus 6:16–20 is compared with the line of Joshua in 1 Chronicles 7:23–27, or Ezra 7:1–5 with 1 Chronicles 6:4–14 (ESV Study Bible, note on 5:1–32).</w:t>
      </w:r>
    </w:p>
    <w:p w14:paraId="73D60A59" w14:textId="77777777" w:rsidR="00366E1E" w:rsidRDefault="00000000">
      <w:pPr>
        <w:pStyle w:val="BodyText"/>
      </w:pPr>
      <w:r>
        <w:lastRenderedPageBreak/>
        <w:t>The honest position is that Genesis 5 may be a complete chronology and may be a selective one, that Scripture does not tell us which, and that no doctrine of the faith depends on the answer. What the genealogy certainly asserts is that these were real people in a real line, and that they died.</w:t>
      </w:r>
    </w:p>
    <w:p w14:paraId="7557E5A6" w14:textId="77777777" w:rsidR="00366E1E" w:rsidRDefault="00000000">
      <w:pPr>
        <w:pStyle w:val="Heading3"/>
      </w:pPr>
      <w:bookmarkStart w:id="65" w:name="X34ece0e70d93360e5a7dc30156f9dbe7cb0a3f9"/>
      <w:bookmarkEnd w:id="64"/>
      <w:r>
        <w:t>Should the long lifespans be taken at face value?</w:t>
      </w:r>
    </w:p>
    <w:p w14:paraId="4812121B" w14:textId="77777777" w:rsidR="00366E1E" w:rsidRDefault="00000000">
      <w:pPr>
        <w:pStyle w:val="FirstParagraph"/>
      </w:pPr>
      <w:r>
        <w:t>Yes, and the alternatives have not succeeded. Various proposals treat the numbers as symbolic, or as astronomically coded, or as products of a different numerical system requiring division by five with the occasional addition of seven or fourteen. The ESV Study Bible’s assessment is blunt: “No writer, however, has offered a convincing alternative explanation, and none of the proposed alternatives can be substantiated with any certainty. The traditional understanding is that the numbers should be taken at face value” (ESV Study Bible, note on 5:1–32).</w:t>
      </w:r>
    </w:p>
    <w:p w14:paraId="784D78F0" w14:textId="77777777" w:rsidR="00366E1E" w:rsidRDefault="00000000">
      <w:pPr>
        <w:pStyle w:val="BodyText"/>
      </w:pPr>
      <w:r>
        <w:t>Two supports for taking them straight. First, the numbers behave like real data rather than symbols: they are irregular, they include awkward figures like 962 and 895, and they decline in a natural curve after the flood rather than dropping off a cliff. Second, the two obviously patterned numbers in the list — Enoch’s 365 and Lamech’s 777 — stand out precisely because the rest are not patterned. If Moses were inventing symbolic ages, we would expect symbolism throughout.</w:t>
      </w:r>
    </w:p>
    <w:p w14:paraId="4F2574F1" w14:textId="77777777" w:rsidR="00366E1E" w:rsidRDefault="00000000">
      <w:pPr>
        <w:pStyle w:val="BodyText"/>
      </w:pPr>
      <w:r>
        <w:t>The usual explanation for the decline is that something changed at the flood in human physiology, in the environment, or in both. That is an inference, not a statement of the text, and should be labeled as such.</w:t>
      </w:r>
    </w:p>
    <w:p w14:paraId="6B040ECD" w14:textId="77777777" w:rsidR="00366E1E" w:rsidRDefault="00000000">
      <w:pPr>
        <w:pStyle w:val="Heading3"/>
      </w:pPr>
      <w:bookmarkStart w:id="66" w:name="X5ca65dc1970753c1c4066ac4c0883d03a92dc75"/>
      <w:bookmarkEnd w:id="65"/>
      <w:r>
        <w:t>Does the Septuagint’s different arithmetic undermine the chronology?</w:t>
      </w:r>
    </w:p>
    <w:p w14:paraId="15B8B2BB" w14:textId="77777777" w:rsidR="00366E1E" w:rsidRDefault="00000000">
      <w:pPr>
        <w:pStyle w:val="FirstParagraph"/>
      </w:pPr>
      <w:r>
        <w:t>It complicates it, and pretending otherwise is not honesty. The Masoretic Text, the Septuagint, and the Samaritan Pentateuch give different ages at fatherhood for several patriarchs, with the Septuagint frequently adding a hundred years before the birth of the named son while adjusting the remaining years so that the totals often match. This affects the total time from Adam to the flood.</w:t>
      </w:r>
    </w:p>
    <w:p w14:paraId="69AD64E8" w14:textId="77777777" w:rsidR="00366E1E" w:rsidRDefault="00000000">
      <w:pPr>
        <w:pStyle w:val="BodyText"/>
      </w:pPr>
      <w:r>
        <w:t>The evidence favors the Masoretic figures. As Gordon Wenham observed of the pattern, “the LXX looks secondary,” since the inflated figures appear to serve a systematizing purpose (</w:t>
      </w:r>
      <w:hyperlink r:id="rId95">
        <w:r>
          <w:rPr>
            <w:rStyle w:val="Hyperlink"/>
          </w:rPr>
          <w:t>textual traditions and biblical chronology</w:t>
        </w:r>
      </w:hyperlink>
      <w:r>
        <w:t xml:space="preserve">). The practical lesson for students is more valuable than the arithmetic: we possess an extraordinarily well-attested text, and where the manuscript </w:t>
      </w:r>
      <w:r>
        <w:lastRenderedPageBreak/>
        <w:t>traditions differ we can see exactly where and can reason about why, which is a mark of the Bible’s openness to examination rather than a crack in it (</w:t>
      </w:r>
      <w:hyperlink r:id="rId96">
        <w:r>
          <w:rPr>
            <w:rStyle w:val="Hyperlink"/>
          </w:rPr>
          <w:t>Apologetics Press</w:t>
        </w:r>
      </w:hyperlink>
      <w:r>
        <w:t>).</w:t>
      </w:r>
    </w:p>
    <w:p w14:paraId="3C05023B" w14:textId="77777777" w:rsidR="00366E1E" w:rsidRDefault="00000000">
      <w:pPr>
        <w:pStyle w:val="Heading3"/>
      </w:pPr>
      <w:bookmarkStart w:id="67" w:name="X260682104cc5dba261c5f6e08eaae6fa1411be9"/>
      <w:bookmarkEnd w:id="66"/>
      <w:r>
        <w:t>Does Genesis 4:26 say worship began, or that God’s name was profaned?</w:t>
      </w:r>
    </w:p>
    <w:p w14:paraId="27336521" w14:textId="77777777" w:rsidR="00366E1E" w:rsidRDefault="00000000">
      <w:pPr>
        <w:pStyle w:val="FirstParagraph"/>
      </w:pPr>
      <w:r>
        <w:t xml:space="preserve">The Hebrew verb behind “began” is </w:t>
      </w:r>
      <w:r>
        <w:rPr>
          <w:i/>
          <w:iCs/>
        </w:rPr>
        <w:t>chalal</w:t>
      </w:r>
      <w:r>
        <w:t>, and it does double duty in the Hebrew Bible: in one stem it means to begin, in another it means to profane or defile. So the sentence “at that time people began to call upon the name of the LORD” can be read, with different vowels and stem, as “at that time the name of the LORD was profaned.” The Aramaic Targums Onkelos and Jonathan took something like the second sense, describing a corruption of worship in that generation.</w:t>
      </w:r>
    </w:p>
    <w:p w14:paraId="79BB78B4" w14:textId="77777777" w:rsidR="00366E1E" w:rsidRDefault="00000000">
      <w:pPr>
        <w:pStyle w:val="BodyText"/>
      </w:pPr>
      <w:r>
        <w:t>The first reading is correct, for three reasons. The Septuagint translators rendered the clause with the ordinary verb for calling, showing that the tradition they knew read it as the beginning of invocation. The grammatical form in the Masoretic Text supports “began.” And the literary context demands it: verse 26 is the counterweight to Lamech’s song, the moment when the narrative turns from boasting to worship (</w:t>
      </w:r>
      <w:hyperlink r:id="rId97">
        <w:r>
          <w:rPr>
            <w:rStyle w:val="Hyperlink"/>
          </w:rPr>
          <w:t>Third Millennium Ministries</w:t>
        </w:r>
      </w:hyperlink>
      <w:r>
        <w:t>).</w:t>
      </w:r>
    </w:p>
    <w:p w14:paraId="281289CD" w14:textId="77777777" w:rsidR="00366E1E" w:rsidRDefault="00000000">
      <w:pPr>
        <w:pStyle w:val="BodyText"/>
      </w:pPr>
      <w:r>
        <w:t>Still, mention the alternative to an advanced class. It shows students that translators make decisions, that those decisions are visible and arguable, and that context is usually the deciding factor.</w:t>
      </w:r>
    </w:p>
    <w:p w14:paraId="6A3D536A" w14:textId="77777777" w:rsidR="00366E1E" w:rsidRDefault="00000000">
      <w:pPr>
        <w:pStyle w:val="Heading3"/>
      </w:pPr>
      <w:bookmarkStart w:id="68" w:name="Xfff9730dd038089e4bfd9097d40ee91ed47e462"/>
      <w:bookmarkEnd w:id="67"/>
      <w:r>
        <w:t>In Lamech’s song, did he kill one person or two?</w:t>
      </w:r>
    </w:p>
    <w:p w14:paraId="4DB5F075" w14:textId="77777777" w:rsidR="00366E1E" w:rsidRDefault="00000000">
      <w:pPr>
        <w:pStyle w:val="FirstParagraph"/>
      </w:pPr>
      <w:r>
        <w:t>One. The Hebrew poetry of 4:23 uses parallelism, in which the second line restates the first in different words rather than adding a new fact: “I have killed a man for wounding me, a young man for striking me.” The “man” and the “young man” are the same victim, described twice. Reading it as two victims misses the poetic form — and it also misses the horror, which lies not in the body count but in the boast.</w:t>
      </w:r>
    </w:p>
    <w:p w14:paraId="57D6A85F" w14:textId="77777777" w:rsidR="00366E1E" w:rsidRDefault="00000000">
      <w:pPr>
        <w:pStyle w:val="Heading3"/>
      </w:pPr>
      <w:bookmarkStart w:id="69" w:name="X6098de3496370388cdd87675cc76e7c4ee464a0"/>
      <w:bookmarkEnd w:id="68"/>
      <w:r>
        <w:t>Does the two-line structure imply that salvation runs in the bloodline?</w:t>
      </w:r>
    </w:p>
    <w:p w14:paraId="6106259E" w14:textId="77777777" w:rsidR="00366E1E" w:rsidRDefault="00000000">
      <w:pPr>
        <w:pStyle w:val="FirstParagraph"/>
      </w:pPr>
      <w:r>
        <w:t>No, and Genesis itself demolishes that reading. The line of Seth produces the generation that fills the earth with violence and is destroyed by the flood. Matthew Henry’s formulation is exactly right: grace does not run in the blood, but corruption does (</w:t>
      </w:r>
      <w:hyperlink r:id="rId98">
        <w:r>
          <w:rPr>
            <w:rStyle w:val="Hyperlink"/>
          </w:rPr>
          <w:t>Matthew Henry, Genesis 5</w:t>
        </w:r>
      </w:hyperlink>
      <w:r>
        <w:t>). Paul makes the same point about physical descent from Abraham in Romans 9:6–8, and the Ligonier devotional on Seth’s birth draws the same conclusion for this passage: election and personal faith remain necessary (</w:t>
      </w:r>
      <w:hyperlink r:id="rId99">
        <w:r>
          <w:rPr>
            <w:rStyle w:val="Hyperlink"/>
          </w:rPr>
          <w:t>Ligonier, “The Birth of Seth”</w:t>
        </w:r>
      </w:hyperlink>
      <w:r>
        <w:t>).</w:t>
      </w:r>
    </w:p>
    <w:p w14:paraId="43DE07D3" w14:textId="77777777" w:rsidR="00366E1E" w:rsidRDefault="00000000">
      <w:pPr>
        <w:pStyle w:val="BodyText"/>
      </w:pPr>
      <w:r>
        <w:lastRenderedPageBreak/>
        <w:t>The two lines are covenantal and spiritual, not genetic. Cain and Abel had the same parents. That is the point.</w:t>
      </w:r>
    </w:p>
    <w:p w14:paraId="37DEF2EF" w14:textId="77777777" w:rsidR="00366E1E" w:rsidRDefault="00000000">
      <w:pPr>
        <w:pStyle w:val="Heading3"/>
      </w:pPr>
      <w:bookmarkStart w:id="70" w:name="Xf77097b6d2247d747daec3b69977f37628b4cb0"/>
      <w:bookmarkEnd w:id="69"/>
      <w:r>
        <w:t>Was Enoch’s translation a reward for sinlessness?</w:t>
      </w:r>
    </w:p>
    <w:p w14:paraId="7F1A8706" w14:textId="77777777" w:rsidR="00366E1E" w:rsidRDefault="00000000">
      <w:pPr>
        <w:pStyle w:val="FirstParagraph"/>
      </w:pPr>
      <w:r>
        <w:t>No. Enoch was a sinner saved by faith, and Hebrews 11:5–6 grounds his removal in faith, not in achievement: “without faith it is impossible to please him.” Calvin’s handling of the episode makes it a doctrine of hope rather than a doctrine of merit — a visible token, given in the middle of a dying world, that God’s friends are not finally abandoned to death (</w:t>
      </w:r>
      <w:hyperlink r:id="rId100">
        <w:r>
          <w:rPr>
            <w:rStyle w:val="Hyperlink"/>
          </w:rPr>
          <w:t>Reformation21</w:t>
        </w:r>
      </w:hyperlink>
      <w:r>
        <w:t>). Enoch is an exhibit of grace, not an exception to it.</w:t>
      </w:r>
    </w:p>
    <w:p w14:paraId="37BAE6F8" w14:textId="77777777" w:rsidR="00366E1E" w:rsidRDefault="00000000">
      <w:pPr>
        <w:pStyle w:val="Heading3"/>
      </w:pPr>
      <w:bookmarkStart w:id="71" w:name="did-methuselah-die-in-the-flood"/>
      <w:bookmarkEnd w:id="70"/>
      <w:r>
        <w:t>Did Methuselah die in the flood?</w:t>
      </w:r>
    </w:p>
    <w:p w14:paraId="183B8041" w14:textId="77777777" w:rsidR="00366E1E" w:rsidRDefault="00000000">
      <w:pPr>
        <w:pStyle w:val="FirstParagraph"/>
      </w:pPr>
      <w:r>
        <w:t>The text does not say. The arithmetic of the Masoretic figures does place his death in the year of the flood, which has generated centuries of sermons about the longest life in Scripture ending as judgment fell, and about a name that may mean “when he dies, it shall be sent.” Both observations are worth mentioning, and both should be flagged as inference. Scripture reports that he died at 969 and nothing more. Say what the text says; label the rest as calculation.</w:t>
      </w:r>
    </w:p>
    <w:p w14:paraId="3DB3EE04" w14:textId="77777777" w:rsidR="00366E1E" w:rsidRDefault="00000000">
      <w:r>
        <w:pict w14:anchorId="75874982">
          <v:rect id="_x0000_i1042" style="width:0;height:1.5pt" o:hralign="center" o:hrstd="t" o:hr="t"/>
        </w:pict>
      </w:r>
    </w:p>
    <w:p w14:paraId="3ABEF655" w14:textId="77777777" w:rsidR="00366E1E" w:rsidRDefault="00000000">
      <w:pPr>
        <w:pStyle w:val="Heading2"/>
      </w:pPr>
      <w:bookmarkStart w:id="72" w:name="Xff43caab4a4c8bef115d2232d9f7daae12f32e4"/>
      <w:bookmarkEnd w:id="60"/>
      <w:bookmarkEnd w:id="71"/>
      <w:r>
        <w:t>Part Seventeen: The Two Seeds Across the Canon</w:t>
      </w:r>
    </w:p>
    <w:p w14:paraId="4AFCDD6A" w14:textId="77777777" w:rsidR="00366E1E" w:rsidRDefault="00000000">
      <w:pPr>
        <w:pStyle w:val="FirstParagraph"/>
      </w:pPr>
      <w:r>
        <w:t>One test of whether a reading of Genesis 4–5 is sound is whether the rest of the Bible reads it the same way. This one does. The two-family structure Moses builds here is picked up by prophets, by Jesus, and by the apostles, and it runs to the last page of Revelation. Tracing that trajectory is one of the most rewarding things a teacher can do with this passage, because it shows students that Genesis is not an isolated ancient story but the opening argument of a case the whole canon prosecutes.</w:t>
      </w:r>
    </w:p>
    <w:p w14:paraId="61C710BC" w14:textId="77777777" w:rsidR="00366E1E" w:rsidRDefault="00000000">
      <w:pPr>
        <w:pStyle w:val="Heading3"/>
      </w:pPr>
      <w:bookmarkStart w:id="73" w:name="X861c74be1a77957e69512cca64d289825d7e5c3"/>
      <w:r>
        <w:t>Abel: the first witness whose blood still speaks</w:t>
      </w:r>
    </w:p>
    <w:p w14:paraId="2CD9E559" w14:textId="77777777" w:rsidR="00366E1E" w:rsidRDefault="00000000">
      <w:pPr>
        <w:pStyle w:val="FirstParagraph"/>
      </w:pPr>
      <w:r>
        <w:t>Abel becomes Scripture’s standing example of righteous faith and of righteous suffering. Hebrews lists him first among the faithful: “By faith Abel offered to God a more acceptable sacrifice than Cain, through which he was commended as righteous, God commending him by accepting his gifts. And through his faith, though he died, he still speaks” (Hebrews 11:4). Note carefully what Hebrews says the difference was. Not the commodity offered but the faith of the offerer. That settles a long-running dispute about Genesis 4 by apostolic authority.</w:t>
      </w:r>
    </w:p>
    <w:p w14:paraId="3E405422" w14:textId="77777777" w:rsidR="00366E1E" w:rsidRDefault="00000000">
      <w:pPr>
        <w:pStyle w:val="BodyText"/>
      </w:pPr>
      <w:r>
        <w:lastRenderedPageBreak/>
        <w:t>Then Hebrews returns to Abel with a stunning comparison: believers have come “to the sprinkled blood that speaks a better word than the blood of Abel” (Hebrews 12:24). Abel’s blood cried from the ground for justice; Christ’s blood speaks pardon. The line from Genesis 4:10 to Hebrews 12:24 is one of the cleanest gospel trajectories in the Bible, and it is worth building an entire lesson on.</w:t>
      </w:r>
    </w:p>
    <w:p w14:paraId="44E87D29" w14:textId="77777777" w:rsidR="00366E1E" w:rsidRDefault="00000000">
      <w:pPr>
        <w:pStyle w:val="Heading3"/>
      </w:pPr>
      <w:bookmarkStart w:id="74" w:name="X7f638cdd5777da51ab2767cd4031025407cbe71"/>
      <w:bookmarkEnd w:id="73"/>
      <w:r>
        <w:t>Jesus makes Abel the beginning of the martyr line</w:t>
      </w:r>
    </w:p>
    <w:p w14:paraId="26165B72" w14:textId="77777777" w:rsidR="00366E1E" w:rsidRDefault="00000000">
      <w:pPr>
        <w:pStyle w:val="FirstParagraph"/>
      </w:pPr>
      <w:r>
        <w:t>In His indictment of the religious leaders, Jesus draws a single line of shed righteous blood from the first murder to His own generation: “so that on you may come all the righteous blood shed on earth, from the blood of righteous Abel to the blood of Zechariah the son of Barachiah” (Matthew 23:35; compare Luke 11:50–51). Two things follow. First, Jesus treats Abel as a historical person and Genesis 4 as history. Second, He treats the murder of Abel as the opening act of a continuing pattern in which the seed of the serpent kills the seed of the woman — a pattern that would reach its climax within days at the cross.</w:t>
      </w:r>
    </w:p>
    <w:p w14:paraId="42BEFE2E" w14:textId="77777777" w:rsidR="00366E1E" w:rsidRDefault="00000000">
      <w:pPr>
        <w:pStyle w:val="Heading3"/>
      </w:pPr>
      <w:bookmarkStart w:id="75" w:name="john-names-the-paternity"/>
      <w:bookmarkEnd w:id="74"/>
      <w:r>
        <w:t>John names the paternity</w:t>
      </w:r>
    </w:p>
    <w:p w14:paraId="3429F56A" w14:textId="77777777" w:rsidR="00366E1E" w:rsidRDefault="00000000">
      <w:pPr>
        <w:pStyle w:val="FirstParagraph"/>
      </w:pPr>
      <w:r>
        <w:t>The Gospel of John supplies the theological vocabulary for the two lines. Jesus tells His opponents, “You are of your father the devil…. He was a murderer from the beginning” (John 8:44). That is Genesis 4 language: murder, from the beginning, with a paternity that is spiritual rather than biological.</w:t>
      </w:r>
    </w:p>
    <w:p w14:paraId="48B8C105" w14:textId="77777777" w:rsidR="00366E1E" w:rsidRDefault="00000000">
      <w:pPr>
        <w:pStyle w:val="BodyText"/>
      </w:pPr>
      <w:r>
        <w:t>John’s first letter makes the connection explicit and applies it: “We should love one another. Not as Cain who was of the evil one and murdered his brother” (1 John 3:11–12). And John answers the question Genesis leaves hanging — why Cain hated Abel: “And why did he murder him? Because his own deeds were evil and his brother’s were righteous.” Hatred of the righteous is not caused by the righteous. It is caused by the exposure their righteousness produces. Then John turns the knife toward the reader: “Do not be surprised, brothers, that the world hates you” (1 John 3:13). The two lines are not ancient history. They are current events.</w:t>
      </w:r>
    </w:p>
    <w:p w14:paraId="72D1AAAA" w14:textId="77777777" w:rsidR="00366E1E" w:rsidRDefault="00000000">
      <w:pPr>
        <w:pStyle w:val="Heading3"/>
      </w:pPr>
      <w:bookmarkStart w:id="76" w:name="Xa68d6af856b466660bdc64c75c7852d126b4720"/>
      <w:bookmarkEnd w:id="75"/>
      <w:r>
        <w:t>Jude: the way of Cain as a live danger to the church</w:t>
      </w:r>
    </w:p>
    <w:p w14:paraId="708D3165" w14:textId="77777777" w:rsidR="00366E1E" w:rsidRDefault="00000000">
      <w:pPr>
        <w:pStyle w:val="FirstParagraph"/>
      </w:pPr>
      <w:r>
        <w:t>Jude warns of teachers who “walked in the way of Cain and abandoned themselves for the sake of gain like Balaam and perished in Korah’s rebellion” (Jude 11). Cain has become a category — a way, a path, a pattern of religion that performs worship while nursing resentment and refusing correction. Jude’s point is that this way appears inside the visible church, not outside it. That is precisely the danger Genesis 4 dramatizes: Cain is a worshiper.</w:t>
      </w:r>
    </w:p>
    <w:p w14:paraId="73ACD06C" w14:textId="77777777" w:rsidR="00366E1E" w:rsidRDefault="00000000">
      <w:pPr>
        <w:pStyle w:val="Heading3"/>
      </w:pPr>
      <w:bookmarkStart w:id="77" w:name="the-wheat-and-the-weeds"/>
      <w:bookmarkEnd w:id="76"/>
      <w:r>
        <w:lastRenderedPageBreak/>
        <w:t>The wheat and the weeds</w:t>
      </w:r>
    </w:p>
    <w:p w14:paraId="47C4AC41" w14:textId="77777777" w:rsidR="00366E1E" w:rsidRDefault="00000000">
      <w:pPr>
        <w:pStyle w:val="FirstParagraph"/>
      </w:pPr>
      <w:r>
        <w:t>Jesus’s parable in Matthew 13:24–30 and 36–43 is the two lines of Genesis 4–5 transposed into agriculture. Two kinds of seed grow in one field until harvest; the servants are forbidden to sort them early; the sorting is God’s work at the end. This is the answer to a question Genesis 4–5 raises but does not resolve — why God allows Cain’s city to flourish while Seth’s line buries its dead. The harvest has not come yet. Jesus explicitly identifies the good seed as “the sons of the kingdom” and the weeds as “the sons of the evil one” (Matthew 13:38), which is the same language of spiritual paternity John uses.</w:t>
      </w:r>
    </w:p>
    <w:p w14:paraId="5F111E8A" w14:textId="77777777" w:rsidR="00366E1E" w:rsidRDefault="00000000">
      <w:pPr>
        <w:pStyle w:val="Heading3"/>
      </w:pPr>
      <w:bookmarkStart w:id="78" w:name="two-cities-and-only-one-of-them-lasts"/>
      <w:bookmarkEnd w:id="77"/>
      <w:r>
        <w:t>Two cities, and only one of them lasts</w:t>
      </w:r>
    </w:p>
    <w:p w14:paraId="2ECD87AC" w14:textId="77777777" w:rsidR="00366E1E" w:rsidRDefault="00000000">
      <w:pPr>
        <w:pStyle w:val="FirstParagraph"/>
      </w:pPr>
      <w:r>
        <w:t>Cain builds a city in the land of Wandering and names it for his son. Abraham lives in a tent and looks “forward to the city that has foundations, whose designer and builder is God” (Hebrews 11:10). Babel wants to make a name (Genesis 11:4); God makes Abram’s name great instead (Genesis 12:2). Augustine organized the whole of Western history around this contrast, tracing his two cities back to Cain and Abel as their respective founders (</w:t>
      </w:r>
      <w:hyperlink r:id="rId101">
        <w:r>
          <w:rPr>
            <w:rStyle w:val="Hyperlink"/>
          </w:rPr>
          <w:t xml:space="preserve">Augustine, </w:t>
        </w:r>
        <w:r>
          <w:rPr>
            <w:rStyle w:val="Hyperlink"/>
            <w:i/>
            <w:iCs/>
          </w:rPr>
          <w:t>City of God</w:t>
        </w:r>
        <w:r>
          <w:rPr>
            <w:rStyle w:val="Hyperlink"/>
          </w:rPr>
          <w:t xml:space="preserve"> XV</w:t>
        </w:r>
      </w:hyperlink>
      <w:r>
        <w:t>).</w:t>
      </w:r>
    </w:p>
    <w:p w14:paraId="1DDAAEC6" w14:textId="77777777" w:rsidR="00366E1E" w:rsidRDefault="00000000">
      <w:pPr>
        <w:pStyle w:val="BodyText"/>
      </w:pPr>
      <w:r>
        <w:t>And Scripture ends with a city. Revelation 21–22 does not abolish urban life; it perfects it. The city descends rather than being built, God dwells in it, and its gates are never shut. Everything Cain wanted — permanence, security, a name, a community, a place to belong — is given in the end as a gift to those who never built it. The last city in the Bible is the answer to the first one.</w:t>
      </w:r>
    </w:p>
    <w:p w14:paraId="696F9ADF" w14:textId="77777777" w:rsidR="00366E1E" w:rsidRDefault="00000000">
      <w:pPr>
        <w:pStyle w:val="Heading3"/>
      </w:pPr>
      <w:bookmarkStart w:id="79" w:name="the-line-of-seth-arrives-at-a-name"/>
      <w:bookmarkEnd w:id="78"/>
      <w:r>
        <w:t>The line of Seth arrives at a name</w:t>
      </w:r>
    </w:p>
    <w:p w14:paraId="79955F02" w14:textId="77777777" w:rsidR="00366E1E" w:rsidRDefault="00000000">
      <w:pPr>
        <w:pStyle w:val="FirstParagraph"/>
      </w:pPr>
      <w:r>
        <w:t xml:space="preserve">Finally, the genealogy itself has a destination. Luke’s genealogy of Jesus runs through this exact list back to “Seth, the son of Adam, the son of God” (Luke 3:38). Matthew opens his Gospel with “The book of the genealogy of Jesus Christ” (Matthew 1:1), echoing the </w:t>
      </w:r>
      <w:r>
        <w:rPr>
          <w:i/>
          <w:iCs/>
        </w:rPr>
        <w:t>toledoth</w:t>
      </w:r>
      <w:r>
        <w:t xml:space="preserve"> formula of Genesis 5:1. Matthew Henry’s insight applies here with full force: Christ “was the end of the Old Testament law” and “also the end of the Old Testament genealogies; towards him they looked, and in him they centered” (</w:t>
      </w:r>
      <w:hyperlink r:id="rId102">
        <w:r>
          <w:rPr>
            <w:rStyle w:val="Hyperlink"/>
          </w:rPr>
          <w:t>Matthew Henry, Genesis 5</w:t>
        </w:r>
      </w:hyperlink>
      <w:r>
        <w:t>).</w:t>
      </w:r>
    </w:p>
    <w:p w14:paraId="726AD58C" w14:textId="77777777" w:rsidR="00366E1E" w:rsidRDefault="00000000">
      <w:pPr>
        <w:pStyle w:val="BodyText"/>
      </w:pPr>
      <w:r>
        <w:t>So when Genesis 5 tells you that a man lived, fathered a son, and died, eight times over, it is not filling space. It is passing a promise down a chain of hands until it reaches a manger.</w:t>
      </w:r>
    </w:p>
    <w:p w14:paraId="078F4596" w14:textId="77777777" w:rsidR="00366E1E" w:rsidRDefault="00000000">
      <w:r>
        <w:pict w14:anchorId="621BFFFA">
          <v:rect id="_x0000_i1043" style="width:0;height:1.5pt" o:hralign="center" o:hrstd="t" o:hr="t"/>
        </w:pict>
      </w:r>
    </w:p>
    <w:p w14:paraId="1E6D4A5C" w14:textId="77777777" w:rsidR="00366E1E" w:rsidRDefault="00000000">
      <w:pPr>
        <w:pStyle w:val="Heading2"/>
      </w:pPr>
      <w:bookmarkStart w:id="80" w:name="part-eighteen-the-chart"/>
      <w:bookmarkEnd w:id="72"/>
      <w:bookmarkEnd w:id="79"/>
      <w:r>
        <w:lastRenderedPageBreak/>
        <w:t>Part Eighteen: The Chart</w:t>
      </w:r>
    </w:p>
    <w:p w14:paraId="61CA6E1B" w14:textId="77777777" w:rsidR="00366E1E" w:rsidRDefault="00000000">
      <w:pPr>
        <w:pStyle w:val="FirstParagraph"/>
      </w:pPr>
      <w:r>
        <w:t>The ages given in Genesis 5 and 11, listed as age at fatherhood of the named son / total lifespan:</w:t>
      </w:r>
    </w:p>
    <w:tbl>
      <w:tblPr>
        <w:tblStyle w:val="Table"/>
        <w:tblW w:w="0" w:type="auto"/>
        <w:tblLook w:val="0020" w:firstRow="1" w:lastRow="0" w:firstColumn="0" w:lastColumn="0" w:noHBand="0" w:noVBand="0"/>
      </w:tblPr>
      <w:tblGrid>
        <w:gridCol w:w="1334"/>
        <w:gridCol w:w="1168"/>
        <w:gridCol w:w="3281"/>
      </w:tblGrid>
      <w:tr w:rsidR="00366E1E" w14:paraId="04051A62"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0" w:type="auto"/>
          </w:tcPr>
          <w:p w14:paraId="2DEEF4FA" w14:textId="77777777" w:rsidR="00366E1E" w:rsidRDefault="00000000">
            <w:pPr>
              <w:pStyle w:val="Compact"/>
            </w:pPr>
            <w:r>
              <w:t>Name</w:t>
            </w:r>
          </w:p>
        </w:tc>
        <w:tc>
          <w:tcPr>
            <w:tcW w:w="0" w:type="auto"/>
          </w:tcPr>
          <w:p w14:paraId="4338D544" w14:textId="77777777" w:rsidR="00366E1E" w:rsidRDefault="00000000">
            <w:pPr>
              <w:pStyle w:val="Compact"/>
            </w:pPr>
            <w:r>
              <w:t>Reference</w:t>
            </w:r>
          </w:p>
        </w:tc>
        <w:tc>
          <w:tcPr>
            <w:tcW w:w="0" w:type="auto"/>
          </w:tcPr>
          <w:p w14:paraId="765A5F40" w14:textId="77777777" w:rsidR="00366E1E" w:rsidRDefault="00000000">
            <w:pPr>
              <w:pStyle w:val="Compact"/>
            </w:pPr>
            <w:r>
              <w:t>Age at fatherhood / age at death</w:t>
            </w:r>
          </w:p>
        </w:tc>
      </w:tr>
      <w:tr w:rsidR="00366E1E" w14:paraId="5E9B5C70" w14:textId="77777777">
        <w:tc>
          <w:tcPr>
            <w:tcW w:w="0" w:type="auto"/>
          </w:tcPr>
          <w:p w14:paraId="52D1C617" w14:textId="77777777" w:rsidR="00366E1E" w:rsidRDefault="00000000">
            <w:pPr>
              <w:pStyle w:val="Compact"/>
            </w:pPr>
            <w:r>
              <w:t>Adam</w:t>
            </w:r>
          </w:p>
        </w:tc>
        <w:tc>
          <w:tcPr>
            <w:tcW w:w="0" w:type="auto"/>
          </w:tcPr>
          <w:p w14:paraId="54A94BCD" w14:textId="77777777" w:rsidR="00366E1E" w:rsidRDefault="00000000">
            <w:pPr>
              <w:pStyle w:val="Compact"/>
            </w:pPr>
            <w:r>
              <w:t>5:3–5</w:t>
            </w:r>
          </w:p>
        </w:tc>
        <w:tc>
          <w:tcPr>
            <w:tcW w:w="0" w:type="auto"/>
          </w:tcPr>
          <w:p w14:paraId="7DCDE371" w14:textId="77777777" w:rsidR="00366E1E" w:rsidRDefault="00000000">
            <w:pPr>
              <w:pStyle w:val="Compact"/>
            </w:pPr>
            <w:r>
              <w:t>130 / 930</w:t>
            </w:r>
          </w:p>
        </w:tc>
      </w:tr>
      <w:tr w:rsidR="00366E1E" w14:paraId="7FA8BB7F" w14:textId="77777777">
        <w:tc>
          <w:tcPr>
            <w:tcW w:w="0" w:type="auto"/>
          </w:tcPr>
          <w:p w14:paraId="09360E3B" w14:textId="77777777" w:rsidR="00366E1E" w:rsidRDefault="00000000">
            <w:pPr>
              <w:pStyle w:val="Compact"/>
            </w:pPr>
            <w:r>
              <w:t>Seth</w:t>
            </w:r>
          </w:p>
        </w:tc>
        <w:tc>
          <w:tcPr>
            <w:tcW w:w="0" w:type="auto"/>
          </w:tcPr>
          <w:p w14:paraId="79CCA33B" w14:textId="77777777" w:rsidR="00366E1E" w:rsidRDefault="00000000">
            <w:pPr>
              <w:pStyle w:val="Compact"/>
            </w:pPr>
            <w:r>
              <w:t>5:6–8</w:t>
            </w:r>
          </w:p>
        </w:tc>
        <w:tc>
          <w:tcPr>
            <w:tcW w:w="0" w:type="auto"/>
          </w:tcPr>
          <w:p w14:paraId="3A9EF84F" w14:textId="77777777" w:rsidR="00366E1E" w:rsidRDefault="00000000">
            <w:pPr>
              <w:pStyle w:val="Compact"/>
            </w:pPr>
            <w:r>
              <w:t>105 / 912</w:t>
            </w:r>
          </w:p>
        </w:tc>
      </w:tr>
      <w:tr w:rsidR="00366E1E" w14:paraId="06BD2B29" w14:textId="77777777">
        <w:tc>
          <w:tcPr>
            <w:tcW w:w="0" w:type="auto"/>
          </w:tcPr>
          <w:p w14:paraId="072DFE50" w14:textId="77777777" w:rsidR="00366E1E" w:rsidRDefault="00000000">
            <w:pPr>
              <w:pStyle w:val="Compact"/>
            </w:pPr>
            <w:r>
              <w:t>Enosh</w:t>
            </w:r>
          </w:p>
        </w:tc>
        <w:tc>
          <w:tcPr>
            <w:tcW w:w="0" w:type="auto"/>
          </w:tcPr>
          <w:p w14:paraId="0A81EA41" w14:textId="77777777" w:rsidR="00366E1E" w:rsidRDefault="00000000">
            <w:pPr>
              <w:pStyle w:val="Compact"/>
            </w:pPr>
            <w:r>
              <w:t>5:9–11</w:t>
            </w:r>
          </w:p>
        </w:tc>
        <w:tc>
          <w:tcPr>
            <w:tcW w:w="0" w:type="auto"/>
          </w:tcPr>
          <w:p w14:paraId="35047304" w14:textId="77777777" w:rsidR="00366E1E" w:rsidRDefault="00000000">
            <w:pPr>
              <w:pStyle w:val="Compact"/>
            </w:pPr>
            <w:r>
              <w:t>90 / 905</w:t>
            </w:r>
          </w:p>
        </w:tc>
      </w:tr>
      <w:tr w:rsidR="00366E1E" w14:paraId="7F3B2263" w14:textId="77777777">
        <w:tc>
          <w:tcPr>
            <w:tcW w:w="0" w:type="auto"/>
          </w:tcPr>
          <w:p w14:paraId="222D7B0B" w14:textId="77777777" w:rsidR="00366E1E" w:rsidRDefault="00000000">
            <w:pPr>
              <w:pStyle w:val="Compact"/>
            </w:pPr>
            <w:r>
              <w:t>Kenan</w:t>
            </w:r>
          </w:p>
        </w:tc>
        <w:tc>
          <w:tcPr>
            <w:tcW w:w="0" w:type="auto"/>
          </w:tcPr>
          <w:p w14:paraId="45D622D9" w14:textId="77777777" w:rsidR="00366E1E" w:rsidRDefault="00000000">
            <w:pPr>
              <w:pStyle w:val="Compact"/>
            </w:pPr>
            <w:r>
              <w:t>5:12–14</w:t>
            </w:r>
          </w:p>
        </w:tc>
        <w:tc>
          <w:tcPr>
            <w:tcW w:w="0" w:type="auto"/>
          </w:tcPr>
          <w:p w14:paraId="4303AE1B" w14:textId="77777777" w:rsidR="00366E1E" w:rsidRDefault="00000000">
            <w:pPr>
              <w:pStyle w:val="Compact"/>
            </w:pPr>
            <w:r>
              <w:t>70 / 910</w:t>
            </w:r>
          </w:p>
        </w:tc>
      </w:tr>
      <w:tr w:rsidR="00366E1E" w14:paraId="7401626E" w14:textId="77777777">
        <w:tc>
          <w:tcPr>
            <w:tcW w:w="0" w:type="auto"/>
          </w:tcPr>
          <w:p w14:paraId="1AA33557" w14:textId="77777777" w:rsidR="00366E1E" w:rsidRDefault="00000000">
            <w:pPr>
              <w:pStyle w:val="Compact"/>
            </w:pPr>
            <w:r>
              <w:t>Mahalalel</w:t>
            </w:r>
          </w:p>
        </w:tc>
        <w:tc>
          <w:tcPr>
            <w:tcW w:w="0" w:type="auto"/>
          </w:tcPr>
          <w:p w14:paraId="02420A60" w14:textId="77777777" w:rsidR="00366E1E" w:rsidRDefault="00000000">
            <w:pPr>
              <w:pStyle w:val="Compact"/>
            </w:pPr>
            <w:r>
              <w:t>5:15–17</w:t>
            </w:r>
          </w:p>
        </w:tc>
        <w:tc>
          <w:tcPr>
            <w:tcW w:w="0" w:type="auto"/>
          </w:tcPr>
          <w:p w14:paraId="3A94A818" w14:textId="77777777" w:rsidR="00366E1E" w:rsidRDefault="00000000">
            <w:pPr>
              <w:pStyle w:val="Compact"/>
            </w:pPr>
            <w:r>
              <w:t>65 / 895</w:t>
            </w:r>
          </w:p>
        </w:tc>
      </w:tr>
      <w:tr w:rsidR="00366E1E" w14:paraId="7BB779A2" w14:textId="77777777">
        <w:tc>
          <w:tcPr>
            <w:tcW w:w="0" w:type="auto"/>
          </w:tcPr>
          <w:p w14:paraId="742A1244" w14:textId="77777777" w:rsidR="00366E1E" w:rsidRDefault="00000000">
            <w:pPr>
              <w:pStyle w:val="Compact"/>
            </w:pPr>
            <w:r>
              <w:t>Jared</w:t>
            </w:r>
          </w:p>
        </w:tc>
        <w:tc>
          <w:tcPr>
            <w:tcW w:w="0" w:type="auto"/>
          </w:tcPr>
          <w:p w14:paraId="0D0BA1BC" w14:textId="77777777" w:rsidR="00366E1E" w:rsidRDefault="00000000">
            <w:pPr>
              <w:pStyle w:val="Compact"/>
            </w:pPr>
            <w:r>
              <w:t>5:18–20</w:t>
            </w:r>
          </w:p>
        </w:tc>
        <w:tc>
          <w:tcPr>
            <w:tcW w:w="0" w:type="auto"/>
          </w:tcPr>
          <w:p w14:paraId="1248537C" w14:textId="77777777" w:rsidR="00366E1E" w:rsidRDefault="00000000">
            <w:pPr>
              <w:pStyle w:val="Compact"/>
            </w:pPr>
            <w:r>
              <w:t>162 / 962</w:t>
            </w:r>
          </w:p>
        </w:tc>
      </w:tr>
      <w:tr w:rsidR="00366E1E" w14:paraId="1FCD41CE" w14:textId="77777777">
        <w:tc>
          <w:tcPr>
            <w:tcW w:w="0" w:type="auto"/>
          </w:tcPr>
          <w:p w14:paraId="48C247E4" w14:textId="77777777" w:rsidR="00366E1E" w:rsidRDefault="00000000">
            <w:pPr>
              <w:pStyle w:val="Compact"/>
            </w:pPr>
            <w:r>
              <w:t>Enoch</w:t>
            </w:r>
          </w:p>
        </w:tc>
        <w:tc>
          <w:tcPr>
            <w:tcW w:w="0" w:type="auto"/>
          </w:tcPr>
          <w:p w14:paraId="604CE266" w14:textId="77777777" w:rsidR="00366E1E" w:rsidRDefault="00000000">
            <w:pPr>
              <w:pStyle w:val="Compact"/>
            </w:pPr>
            <w:r>
              <w:t>5:21–24</w:t>
            </w:r>
          </w:p>
        </w:tc>
        <w:tc>
          <w:tcPr>
            <w:tcW w:w="0" w:type="auto"/>
          </w:tcPr>
          <w:p w14:paraId="00964477" w14:textId="77777777" w:rsidR="00366E1E" w:rsidRDefault="00000000">
            <w:pPr>
              <w:pStyle w:val="Compact"/>
            </w:pPr>
            <w:r>
              <w:t>65 / 365</w:t>
            </w:r>
          </w:p>
        </w:tc>
      </w:tr>
      <w:tr w:rsidR="00366E1E" w14:paraId="756164CF" w14:textId="77777777">
        <w:tc>
          <w:tcPr>
            <w:tcW w:w="0" w:type="auto"/>
          </w:tcPr>
          <w:p w14:paraId="206234A3" w14:textId="77777777" w:rsidR="00366E1E" w:rsidRDefault="00000000">
            <w:pPr>
              <w:pStyle w:val="Compact"/>
            </w:pPr>
            <w:r>
              <w:t>Methuselah</w:t>
            </w:r>
          </w:p>
        </w:tc>
        <w:tc>
          <w:tcPr>
            <w:tcW w:w="0" w:type="auto"/>
          </w:tcPr>
          <w:p w14:paraId="728A040D" w14:textId="77777777" w:rsidR="00366E1E" w:rsidRDefault="00000000">
            <w:pPr>
              <w:pStyle w:val="Compact"/>
            </w:pPr>
            <w:r>
              <w:t>5:25–27</w:t>
            </w:r>
          </w:p>
        </w:tc>
        <w:tc>
          <w:tcPr>
            <w:tcW w:w="0" w:type="auto"/>
          </w:tcPr>
          <w:p w14:paraId="33CA5D13" w14:textId="77777777" w:rsidR="00366E1E" w:rsidRDefault="00000000">
            <w:pPr>
              <w:pStyle w:val="Compact"/>
            </w:pPr>
            <w:r>
              <w:t>187 / 969</w:t>
            </w:r>
          </w:p>
        </w:tc>
      </w:tr>
      <w:tr w:rsidR="00366E1E" w14:paraId="683257E6" w14:textId="77777777">
        <w:tc>
          <w:tcPr>
            <w:tcW w:w="0" w:type="auto"/>
          </w:tcPr>
          <w:p w14:paraId="34656145" w14:textId="77777777" w:rsidR="00366E1E" w:rsidRDefault="00000000">
            <w:pPr>
              <w:pStyle w:val="Compact"/>
            </w:pPr>
            <w:r>
              <w:t>Lamech</w:t>
            </w:r>
          </w:p>
        </w:tc>
        <w:tc>
          <w:tcPr>
            <w:tcW w:w="0" w:type="auto"/>
          </w:tcPr>
          <w:p w14:paraId="30516883" w14:textId="77777777" w:rsidR="00366E1E" w:rsidRDefault="00000000">
            <w:pPr>
              <w:pStyle w:val="Compact"/>
            </w:pPr>
            <w:r>
              <w:t>5:28–31</w:t>
            </w:r>
          </w:p>
        </w:tc>
        <w:tc>
          <w:tcPr>
            <w:tcW w:w="0" w:type="auto"/>
          </w:tcPr>
          <w:p w14:paraId="3E233844" w14:textId="77777777" w:rsidR="00366E1E" w:rsidRDefault="00000000">
            <w:pPr>
              <w:pStyle w:val="Compact"/>
            </w:pPr>
            <w:r>
              <w:t>182 / 777</w:t>
            </w:r>
          </w:p>
        </w:tc>
      </w:tr>
      <w:tr w:rsidR="00366E1E" w14:paraId="68C818A6" w14:textId="77777777">
        <w:tc>
          <w:tcPr>
            <w:tcW w:w="0" w:type="auto"/>
          </w:tcPr>
          <w:p w14:paraId="6E631288" w14:textId="77777777" w:rsidR="00366E1E" w:rsidRDefault="00000000">
            <w:pPr>
              <w:pStyle w:val="Compact"/>
            </w:pPr>
            <w:r>
              <w:t>Noah</w:t>
            </w:r>
          </w:p>
        </w:tc>
        <w:tc>
          <w:tcPr>
            <w:tcW w:w="0" w:type="auto"/>
          </w:tcPr>
          <w:p w14:paraId="69CACE89" w14:textId="77777777" w:rsidR="00366E1E" w:rsidRDefault="00000000">
            <w:pPr>
              <w:pStyle w:val="Compact"/>
            </w:pPr>
            <w:r>
              <w:t>5:32; 9:29</w:t>
            </w:r>
          </w:p>
        </w:tc>
        <w:tc>
          <w:tcPr>
            <w:tcW w:w="0" w:type="auto"/>
          </w:tcPr>
          <w:p w14:paraId="24624399" w14:textId="77777777" w:rsidR="00366E1E" w:rsidRDefault="00000000">
            <w:pPr>
              <w:pStyle w:val="Compact"/>
            </w:pPr>
            <w:r>
              <w:t>500 / 950</w:t>
            </w:r>
          </w:p>
        </w:tc>
      </w:tr>
      <w:tr w:rsidR="00366E1E" w14:paraId="5511D188" w14:textId="77777777">
        <w:tc>
          <w:tcPr>
            <w:tcW w:w="0" w:type="auto"/>
          </w:tcPr>
          <w:p w14:paraId="5F6690DD" w14:textId="77777777" w:rsidR="00366E1E" w:rsidRDefault="00000000">
            <w:pPr>
              <w:pStyle w:val="Compact"/>
            </w:pPr>
            <w:r>
              <w:t>Shem</w:t>
            </w:r>
          </w:p>
        </w:tc>
        <w:tc>
          <w:tcPr>
            <w:tcW w:w="0" w:type="auto"/>
          </w:tcPr>
          <w:p w14:paraId="7CD05216" w14:textId="77777777" w:rsidR="00366E1E" w:rsidRDefault="00000000">
            <w:pPr>
              <w:pStyle w:val="Compact"/>
            </w:pPr>
            <w:r>
              <w:t>11:10–11</w:t>
            </w:r>
          </w:p>
        </w:tc>
        <w:tc>
          <w:tcPr>
            <w:tcW w:w="0" w:type="auto"/>
          </w:tcPr>
          <w:p w14:paraId="5EEA1418" w14:textId="77777777" w:rsidR="00366E1E" w:rsidRDefault="00000000">
            <w:pPr>
              <w:pStyle w:val="Compact"/>
            </w:pPr>
            <w:r>
              <w:t>100 / 600</w:t>
            </w:r>
          </w:p>
        </w:tc>
      </w:tr>
      <w:tr w:rsidR="00366E1E" w14:paraId="07CCBF49" w14:textId="77777777">
        <w:tc>
          <w:tcPr>
            <w:tcW w:w="0" w:type="auto"/>
          </w:tcPr>
          <w:p w14:paraId="27A02F11" w14:textId="77777777" w:rsidR="00366E1E" w:rsidRDefault="00000000">
            <w:pPr>
              <w:pStyle w:val="Compact"/>
            </w:pPr>
            <w:r>
              <w:t>Arpachshad</w:t>
            </w:r>
          </w:p>
        </w:tc>
        <w:tc>
          <w:tcPr>
            <w:tcW w:w="0" w:type="auto"/>
          </w:tcPr>
          <w:p w14:paraId="473A5ECA" w14:textId="77777777" w:rsidR="00366E1E" w:rsidRDefault="00000000">
            <w:pPr>
              <w:pStyle w:val="Compact"/>
            </w:pPr>
            <w:r>
              <w:t>11:12–13</w:t>
            </w:r>
          </w:p>
        </w:tc>
        <w:tc>
          <w:tcPr>
            <w:tcW w:w="0" w:type="auto"/>
          </w:tcPr>
          <w:p w14:paraId="25534D64" w14:textId="77777777" w:rsidR="00366E1E" w:rsidRDefault="00000000">
            <w:pPr>
              <w:pStyle w:val="Compact"/>
            </w:pPr>
            <w:r>
              <w:t>35 / 438</w:t>
            </w:r>
          </w:p>
        </w:tc>
      </w:tr>
      <w:tr w:rsidR="00366E1E" w14:paraId="6B916393" w14:textId="77777777">
        <w:tc>
          <w:tcPr>
            <w:tcW w:w="0" w:type="auto"/>
          </w:tcPr>
          <w:p w14:paraId="54D311B6" w14:textId="77777777" w:rsidR="00366E1E" w:rsidRDefault="00000000">
            <w:pPr>
              <w:pStyle w:val="Compact"/>
            </w:pPr>
            <w:r>
              <w:t>Shelah</w:t>
            </w:r>
          </w:p>
        </w:tc>
        <w:tc>
          <w:tcPr>
            <w:tcW w:w="0" w:type="auto"/>
          </w:tcPr>
          <w:p w14:paraId="405B43D1" w14:textId="77777777" w:rsidR="00366E1E" w:rsidRDefault="00000000">
            <w:pPr>
              <w:pStyle w:val="Compact"/>
            </w:pPr>
            <w:r>
              <w:t>11:14–15</w:t>
            </w:r>
          </w:p>
        </w:tc>
        <w:tc>
          <w:tcPr>
            <w:tcW w:w="0" w:type="auto"/>
          </w:tcPr>
          <w:p w14:paraId="08457475" w14:textId="77777777" w:rsidR="00366E1E" w:rsidRDefault="00000000">
            <w:pPr>
              <w:pStyle w:val="Compact"/>
            </w:pPr>
            <w:r>
              <w:t>30 / 433</w:t>
            </w:r>
          </w:p>
        </w:tc>
      </w:tr>
      <w:tr w:rsidR="00366E1E" w14:paraId="0F36DD1D" w14:textId="77777777">
        <w:tc>
          <w:tcPr>
            <w:tcW w:w="0" w:type="auto"/>
          </w:tcPr>
          <w:p w14:paraId="43A5EBA6" w14:textId="77777777" w:rsidR="00366E1E" w:rsidRDefault="00000000">
            <w:pPr>
              <w:pStyle w:val="Compact"/>
            </w:pPr>
            <w:r>
              <w:t>Eber</w:t>
            </w:r>
          </w:p>
        </w:tc>
        <w:tc>
          <w:tcPr>
            <w:tcW w:w="0" w:type="auto"/>
          </w:tcPr>
          <w:p w14:paraId="4F4E12D9" w14:textId="77777777" w:rsidR="00366E1E" w:rsidRDefault="00000000">
            <w:pPr>
              <w:pStyle w:val="Compact"/>
            </w:pPr>
            <w:r>
              <w:t>11:16–17</w:t>
            </w:r>
          </w:p>
        </w:tc>
        <w:tc>
          <w:tcPr>
            <w:tcW w:w="0" w:type="auto"/>
          </w:tcPr>
          <w:p w14:paraId="0135FCFB" w14:textId="77777777" w:rsidR="00366E1E" w:rsidRDefault="00000000">
            <w:pPr>
              <w:pStyle w:val="Compact"/>
            </w:pPr>
            <w:r>
              <w:t>34 / 464</w:t>
            </w:r>
          </w:p>
        </w:tc>
      </w:tr>
      <w:tr w:rsidR="00366E1E" w14:paraId="27856E0A" w14:textId="77777777">
        <w:tc>
          <w:tcPr>
            <w:tcW w:w="0" w:type="auto"/>
          </w:tcPr>
          <w:p w14:paraId="46CD504B" w14:textId="77777777" w:rsidR="00366E1E" w:rsidRDefault="00000000">
            <w:pPr>
              <w:pStyle w:val="Compact"/>
            </w:pPr>
            <w:r>
              <w:t>Peleg</w:t>
            </w:r>
          </w:p>
        </w:tc>
        <w:tc>
          <w:tcPr>
            <w:tcW w:w="0" w:type="auto"/>
          </w:tcPr>
          <w:p w14:paraId="4D8E1969" w14:textId="77777777" w:rsidR="00366E1E" w:rsidRDefault="00000000">
            <w:pPr>
              <w:pStyle w:val="Compact"/>
            </w:pPr>
            <w:r>
              <w:t>11:18–19</w:t>
            </w:r>
          </w:p>
        </w:tc>
        <w:tc>
          <w:tcPr>
            <w:tcW w:w="0" w:type="auto"/>
          </w:tcPr>
          <w:p w14:paraId="5F71B04D" w14:textId="77777777" w:rsidR="00366E1E" w:rsidRDefault="00000000">
            <w:pPr>
              <w:pStyle w:val="Compact"/>
            </w:pPr>
            <w:r>
              <w:t>30 / 239</w:t>
            </w:r>
          </w:p>
        </w:tc>
      </w:tr>
      <w:tr w:rsidR="00366E1E" w14:paraId="7ACCDEA8" w14:textId="77777777">
        <w:tc>
          <w:tcPr>
            <w:tcW w:w="0" w:type="auto"/>
          </w:tcPr>
          <w:p w14:paraId="44DB36F8" w14:textId="77777777" w:rsidR="00366E1E" w:rsidRDefault="00000000">
            <w:pPr>
              <w:pStyle w:val="Compact"/>
            </w:pPr>
            <w:r>
              <w:t>Reu</w:t>
            </w:r>
          </w:p>
        </w:tc>
        <w:tc>
          <w:tcPr>
            <w:tcW w:w="0" w:type="auto"/>
          </w:tcPr>
          <w:p w14:paraId="28D8B0EC" w14:textId="77777777" w:rsidR="00366E1E" w:rsidRDefault="00000000">
            <w:pPr>
              <w:pStyle w:val="Compact"/>
            </w:pPr>
            <w:r>
              <w:t>11:20–21</w:t>
            </w:r>
          </w:p>
        </w:tc>
        <w:tc>
          <w:tcPr>
            <w:tcW w:w="0" w:type="auto"/>
          </w:tcPr>
          <w:p w14:paraId="1C0805A2" w14:textId="77777777" w:rsidR="00366E1E" w:rsidRDefault="00000000">
            <w:pPr>
              <w:pStyle w:val="Compact"/>
            </w:pPr>
            <w:r>
              <w:t>32 / 239</w:t>
            </w:r>
          </w:p>
        </w:tc>
      </w:tr>
      <w:tr w:rsidR="00366E1E" w14:paraId="69EE27A0" w14:textId="77777777">
        <w:tc>
          <w:tcPr>
            <w:tcW w:w="0" w:type="auto"/>
          </w:tcPr>
          <w:p w14:paraId="2086C5D3" w14:textId="77777777" w:rsidR="00366E1E" w:rsidRDefault="00000000">
            <w:pPr>
              <w:pStyle w:val="Compact"/>
            </w:pPr>
            <w:r>
              <w:t>Serug</w:t>
            </w:r>
          </w:p>
        </w:tc>
        <w:tc>
          <w:tcPr>
            <w:tcW w:w="0" w:type="auto"/>
          </w:tcPr>
          <w:p w14:paraId="6D5FED9E" w14:textId="77777777" w:rsidR="00366E1E" w:rsidRDefault="00000000">
            <w:pPr>
              <w:pStyle w:val="Compact"/>
            </w:pPr>
            <w:r>
              <w:t>11:22–23</w:t>
            </w:r>
          </w:p>
        </w:tc>
        <w:tc>
          <w:tcPr>
            <w:tcW w:w="0" w:type="auto"/>
          </w:tcPr>
          <w:p w14:paraId="142BA88F" w14:textId="77777777" w:rsidR="00366E1E" w:rsidRDefault="00000000">
            <w:pPr>
              <w:pStyle w:val="Compact"/>
            </w:pPr>
            <w:r>
              <w:t>30 / 230</w:t>
            </w:r>
          </w:p>
        </w:tc>
      </w:tr>
      <w:tr w:rsidR="00366E1E" w14:paraId="6B7DAAB3" w14:textId="77777777">
        <w:tc>
          <w:tcPr>
            <w:tcW w:w="0" w:type="auto"/>
          </w:tcPr>
          <w:p w14:paraId="70730F5F" w14:textId="77777777" w:rsidR="00366E1E" w:rsidRDefault="00000000">
            <w:pPr>
              <w:pStyle w:val="Compact"/>
            </w:pPr>
            <w:r>
              <w:t>Nahor</w:t>
            </w:r>
          </w:p>
        </w:tc>
        <w:tc>
          <w:tcPr>
            <w:tcW w:w="0" w:type="auto"/>
          </w:tcPr>
          <w:p w14:paraId="09219F15" w14:textId="77777777" w:rsidR="00366E1E" w:rsidRDefault="00000000">
            <w:pPr>
              <w:pStyle w:val="Compact"/>
            </w:pPr>
            <w:r>
              <w:t>11:24–25</w:t>
            </w:r>
          </w:p>
        </w:tc>
        <w:tc>
          <w:tcPr>
            <w:tcW w:w="0" w:type="auto"/>
          </w:tcPr>
          <w:p w14:paraId="69E0ADEF" w14:textId="77777777" w:rsidR="00366E1E" w:rsidRDefault="00000000">
            <w:pPr>
              <w:pStyle w:val="Compact"/>
            </w:pPr>
            <w:r>
              <w:t>29 / 148</w:t>
            </w:r>
          </w:p>
        </w:tc>
      </w:tr>
      <w:tr w:rsidR="00366E1E" w14:paraId="07A2EBA1" w14:textId="77777777">
        <w:tc>
          <w:tcPr>
            <w:tcW w:w="0" w:type="auto"/>
          </w:tcPr>
          <w:p w14:paraId="4F0A7F0D" w14:textId="77777777" w:rsidR="00366E1E" w:rsidRDefault="00000000">
            <w:pPr>
              <w:pStyle w:val="Compact"/>
            </w:pPr>
            <w:r>
              <w:t>Terah</w:t>
            </w:r>
          </w:p>
        </w:tc>
        <w:tc>
          <w:tcPr>
            <w:tcW w:w="0" w:type="auto"/>
          </w:tcPr>
          <w:p w14:paraId="60B8F076" w14:textId="77777777" w:rsidR="00366E1E" w:rsidRDefault="00000000">
            <w:pPr>
              <w:pStyle w:val="Compact"/>
            </w:pPr>
            <w:r>
              <w:t>11:26–32</w:t>
            </w:r>
          </w:p>
        </w:tc>
        <w:tc>
          <w:tcPr>
            <w:tcW w:w="0" w:type="auto"/>
          </w:tcPr>
          <w:p w14:paraId="31EDB76F" w14:textId="77777777" w:rsidR="00366E1E" w:rsidRDefault="00000000">
            <w:pPr>
              <w:pStyle w:val="Compact"/>
            </w:pPr>
            <w:r>
              <w:t>70 / 205</w:t>
            </w:r>
          </w:p>
        </w:tc>
      </w:tr>
    </w:tbl>
    <w:p w14:paraId="10362BD9" w14:textId="77777777" w:rsidR="00366E1E" w:rsidRDefault="00000000">
      <w:pPr>
        <w:pStyle w:val="BodyText"/>
      </w:pPr>
      <w:r>
        <w:t>(Chart data from the ESV Study Bible genealogy chart, “Genealogies: Stating Age at Fatherhood and Age at Death.”)</w:t>
      </w:r>
    </w:p>
    <w:p w14:paraId="093CEBB1" w14:textId="77777777" w:rsidR="00366E1E" w:rsidRDefault="00000000">
      <w:pPr>
        <w:pStyle w:val="BodyText"/>
      </w:pPr>
      <w:r>
        <w:t>Two things jump off this chart. First, the collapse of lifespans after the flood is dramatic and steady — from the 900s before the flood, to Shem’s 600, to Terah’s 205, and eventually to the “threescore years and ten” of Psalm 90:10. Something changed at the flood. Second, notice the anomalies in the pre-flood column: Enoch’s 365 (short, because God took him) and Lamech’s 777 (patterned, because Moses wants you to hear the sevens). The chart itself is preaching.</w:t>
      </w:r>
    </w:p>
    <w:p w14:paraId="012AA033" w14:textId="77777777" w:rsidR="00366E1E" w:rsidRDefault="00000000">
      <w:pPr>
        <w:pStyle w:val="Heading3"/>
      </w:pPr>
      <w:bookmarkStart w:id="81" w:name="meanings-of-the-names-in-seths-line"/>
      <w:r>
        <w:lastRenderedPageBreak/>
        <w:t>Meanings of the names in Seth’s line</w:t>
      </w:r>
    </w:p>
    <w:p w14:paraId="5B506F29" w14:textId="77777777" w:rsidR="00366E1E" w:rsidRDefault="00000000">
      <w:pPr>
        <w:pStyle w:val="FirstParagraph"/>
      </w:pPr>
      <w:r>
        <w:t>The names carry theological freight, and they make a striking contrast with the Cainite list:</w:t>
      </w:r>
    </w:p>
    <w:tbl>
      <w:tblPr>
        <w:tblStyle w:val="Table"/>
        <w:tblW w:w="5000" w:type="pct"/>
        <w:tblLayout w:type="fixed"/>
        <w:tblLook w:val="0020" w:firstRow="1" w:lastRow="0" w:firstColumn="0" w:lastColumn="0" w:noHBand="0" w:noVBand="0"/>
      </w:tblPr>
      <w:tblGrid>
        <w:gridCol w:w="3096"/>
        <w:gridCol w:w="3096"/>
        <w:gridCol w:w="3096"/>
      </w:tblGrid>
      <w:tr w:rsidR="00366E1E" w14:paraId="7FE0B23E" w14:textId="77777777" w:rsidTr="00366E1E">
        <w:trPr>
          <w:cnfStyle w:val="100000000000" w:firstRow="1" w:lastRow="0" w:firstColumn="0" w:lastColumn="0" w:oddVBand="0" w:evenVBand="0" w:oddHBand="0" w:evenHBand="0" w:firstRowFirstColumn="0" w:firstRowLastColumn="0" w:lastRowFirstColumn="0" w:lastRowLastColumn="0"/>
          <w:tblHeader/>
        </w:trPr>
        <w:tc>
          <w:tcPr>
            <w:tcW w:w="2640" w:type="dxa"/>
          </w:tcPr>
          <w:p w14:paraId="37C55F4C" w14:textId="77777777" w:rsidR="00366E1E" w:rsidRDefault="00000000">
            <w:pPr>
              <w:pStyle w:val="Compact"/>
            </w:pPr>
            <w:r>
              <w:t>Name</w:t>
            </w:r>
          </w:p>
        </w:tc>
        <w:tc>
          <w:tcPr>
            <w:tcW w:w="2640" w:type="dxa"/>
          </w:tcPr>
          <w:p w14:paraId="29E5BF07" w14:textId="77777777" w:rsidR="00366E1E" w:rsidRDefault="00000000">
            <w:pPr>
              <w:pStyle w:val="Compact"/>
            </w:pPr>
            <w:r>
              <w:t>Probable meaning</w:t>
            </w:r>
          </w:p>
        </w:tc>
        <w:tc>
          <w:tcPr>
            <w:tcW w:w="2640" w:type="dxa"/>
          </w:tcPr>
          <w:p w14:paraId="6DDE2FE7" w14:textId="77777777" w:rsidR="00366E1E" w:rsidRDefault="00000000">
            <w:pPr>
              <w:pStyle w:val="Compact"/>
            </w:pPr>
            <w:r>
              <w:t>Source</w:t>
            </w:r>
          </w:p>
        </w:tc>
      </w:tr>
      <w:tr w:rsidR="00366E1E" w14:paraId="61B40AD6" w14:textId="77777777">
        <w:tc>
          <w:tcPr>
            <w:tcW w:w="2640" w:type="dxa"/>
          </w:tcPr>
          <w:p w14:paraId="6A22E224" w14:textId="77777777" w:rsidR="00366E1E" w:rsidRDefault="00000000">
            <w:pPr>
              <w:pStyle w:val="Compact"/>
            </w:pPr>
            <w:r>
              <w:t>Seth</w:t>
            </w:r>
          </w:p>
        </w:tc>
        <w:tc>
          <w:tcPr>
            <w:tcW w:w="2640" w:type="dxa"/>
          </w:tcPr>
          <w:p w14:paraId="574A7564" w14:textId="77777777" w:rsidR="00366E1E" w:rsidRDefault="00000000">
            <w:pPr>
              <w:pStyle w:val="Compact"/>
            </w:pPr>
            <w:r>
              <w:t>“appointed,” “placed,” “granted”</w:t>
            </w:r>
          </w:p>
        </w:tc>
        <w:tc>
          <w:tcPr>
            <w:tcW w:w="2640" w:type="dxa"/>
          </w:tcPr>
          <w:p w14:paraId="5E864FE6" w14:textId="77777777" w:rsidR="00366E1E" w:rsidRDefault="00000000">
            <w:pPr>
              <w:pStyle w:val="Compact"/>
            </w:pPr>
            <w:r>
              <w:t>NET note on 4:25</w:t>
            </w:r>
          </w:p>
        </w:tc>
      </w:tr>
      <w:tr w:rsidR="00366E1E" w14:paraId="4338E1E3" w14:textId="77777777">
        <w:tc>
          <w:tcPr>
            <w:tcW w:w="2640" w:type="dxa"/>
          </w:tcPr>
          <w:p w14:paraId="53109D3E" w14:textId="77777777" w:rsidR="00366E1E" w:rsidRDefault="00000000">
            <w:pPr>
              <w:pStyle w:val="Compact"/>
            </w:pPr>
            <w:r>
              <w:t>Enosh</w:t>
            </w:r>
          </w:p>
        </w:tc>
        <w:tc>
          <w:tcPr>
            <w:tcW w:w="2640" w:type="dxa"/>
          </w:tcPr>
          <w:p w14:paraId="3F6D23C6" w14:textId="77777777" w:rsidR="00366E1E" w:rsidRDefault="00000000">
            <w:pPr>
              <w:pStyle w:val="Compact"/>
            </w:pPr>
            <w:r>
              <w:t>“man,” “humanity”</w:t>
            </w:r>
          </w:p>
        </w:tc>
        <w:tc>
          <w:tcPr>
            <w:tcW w:w="2640" w:type="dxa"/>
          </w:tcPr>
          <w:p w14:paraId="59022B02" w14:textId="77777777" w:rsidR="00366E1E" w:rsidRDefault="00000000">
            <w:pPr>
              <w:pStyle w:val="Compact"/>
            </w:pPr>
            <w:r>
              <w:t>CSB, note on 4:26</w:t>
            </w:r>
          </w:p>
        </w:tc>
      </w:tr>
      <w:tr w:rsidR="00366E1E" w14:paraId="354BD26E" w14:textId="77777777">
        <w:tc>
          <w:tcPr>
            <w:tcW w:w="2640" w:type="dxa"/>
          </w:tcPr>
          <w:p w14:paraId="783EAC76" w14:textId="77777777" w:rsidR="00366E1E" w:rsidRDefault="00000000">
            <w:pPr>
              <w:pStyle w:val="Compact"/>
            </w:pPr>
            <w:r>
              <w:t>Kenan</w:t>
            </w:r>
          </w:p>
        </w:tc>
        <w:tc>
          <w:tcPr>
            <w:tcW w:w="2640" w:type="dxa"/>
          </w:tcPr>
          <w:p w14:paraId="176B1365" w14:textId="77777777" w:rsidR="00366E1E" w:rsidRDefault="00000000">
            <w:pPr>
              <w:pStyle w:val="Compact"/>
            </w:pPr>
            <w:r>
              <w:t>“little Cain”; possibly “metalworker”</w:t>
            </w:r>
          </w:p>
        </w:tc>
        <w:tc>
          <w:tcPr>
            <w:tcW w:w="2640" w:type="dxa"/>
          </w:tcPr>
          <w:p w14:paraId="01D3CC28" w14:textId="77777777" w:rsidR="00366E1E" w:rsidRDefault="00000000">
            <w:pPr>
              <w:pStyle w:val="Compact"/>
            </w:pPr>
            <w:r>
              <w:t>NIVBT, note on 5:9; CSB, note on 5:6–31</w:t>
            </w:r>
          </w:p>
        </w:tc>
      </w:tr>
      <w:tr w:rsidR="00366E1E" w14:paraId="59DCEB89" w14:textId="77777777">
        <w:tc>
          <w:tcPr>
            <w:tcW w:w="2640" w:type="dxa"/>
          </w:tcPr>
          <w:p w14:paraId="38D48CC5" w14:textId="77777777" w:rsidR="00366E1E" w:rsidRDefault="00000000">
            <w:pPr>
              <w:pStyle w:val="Compact"/>
            </w:pPr>
            <w:r>
              <w:t>Mahalalel</w:t>
            </w:r>
          </w:p>
        </w:tc>
        <w:tc>
          <w:tcPr>
            <w:tcW w:w="2640" w:type="dxa"/>
          </w:tcPr>
          <w:p w14:paraId="4D2944FF" w14:textId="77777777" w:rsidR="00366E1E" w:rsidRDefault="00000000">
            <w:pPr>
              <w:pStyle w:val="Compact"/>
            </w:pPr>
            <w:r>
              <w:t>“one who praises God”</w:t>
            </w:r>
          </w:p>
        </w:tc>
        <w:tc>
          <w:tcPr>
            <w:tcW w:w="2640" w:type="dxa"/>
          </w:tcPr>
          <w:p w14:paraId="4348C5E6" w14:textId="77777777" w:rsidR="00366E1E" w:rsidRDefault="00000000">
            <w:pPr>
              <w:pStyle w:val="Compact"/>
            </w:pPr>
            <w:r>
              <w:t>CSB, note on 5:6–31; NIVBT, note on 5:12</w:t>
            </w:r>
          </w:p>
        </w:tc>
      </w:tr>
      <w:tr w:rsidR="00366E1E" w14:paraId="7C86692B" w14:textId="77777777">
        <w:tc>
          <w:tcPr>
            <w:tcW w:w="2640" w:type="dxa"/>
          </w:tcPr>
          <w:p w14:paraId="0B44BE97" w14:textId="77777777" w:rsidR="00366E1E" w:rsidRDefault="00000000">
            <w:pPr>
              <w:pStyle w:val="Compact"/>
            </w:pPr>
            <w:r>
              <w:t>Jared</w:t>
            </w:r>
          </w:p>
        </w:tc>
        <w:tc>
          <w:tcPr>
            <w:tcW w:w="2640" w:type="dxa"/>
          </w:tcPr>
          <w:p w14:paraId="675055D5" w14:textId="77777777" w:rsidR="00366E1E" w:rsidRDefault="00000000">
            <w:pPr>
              <w:pStyle w:val="Compact"/>
            </w:pPr>
            <w:r>
              <w:t>“(God) has descended” — possibly confessing God’s aid in safe delivery</w:t>
            </w:r>
          </w:p>
        </w:tc>
        <w:tc>
          <w:tcPr>
            <w:tcW w:w="2640" w:type="dxa"/>
          </w:tcPr>
          <w:p w14:paraId="0FF9C850" w14:textId="77777777" w:rsidR="00366E1E" w:rsidRDefault="00000000">
            <w:pPr>
              <w:pStyle w:val="Compact"/>
            </w:pPr>
            <w:r>
              <w:t>NIVBT, note on 5:15</w:t>
            </w:r>
          </w:p>
        </w:tc>
      </w:tr>
      <w:tr w:rsidR="00366E1E" w14:paraId="5D5CE147" w14:textId="77777777">
        <w:tc>
          <w:tcPr>
            <w:tcW w:w="2640" w:type="dxa"/>
          </w:tcPr>
          <w:p w14:paraId="4B7D9B18" w14:textId="77777777" w:rsidR="00366E1E" w:rsidRDefault="00000000">
            <w:pPr>
              <w:pStyle w:val="Compact"/>
            </w:pPr>
            <w:r>
              <w:t>Enoch</w:t>
            </w:r>
          </w:p>
        </w:tc>
        <w:tc>
          <w:tcPr>
            <w:tcW w:w="2640" w:type="dxa"/>
          </w:tcPr>
          <w:p w14:paraId="2CB3C6F4" w14:textId="77777777" w:rsidR="00366E1E" w:rsidRDefault="00000000">
            <w:pPr>
              <w:pStyle w:val="Compact"/>
            </w:pPr>
            <w:r>
              <w:t>“dedication,” “dedicated”</w:t>
            </w:r>
          </w:p>
        </w:tc>
        <w:tc>
          <w:tcPr>
            <w:tcW w:w="2640" w:type="dxa"/>
          </w:tcPr>
          <w:p w14:paraId="07E45350" w14:textId="77777777" w:rsidR="00366E1E" w:rsidRDefault="00000000">
            <w:pPr>
              <w:pStyle w:val="Compact"/>
            </w:pPr>
            <w:r>
              <w:t>CSB and NIVBT, notes on 5:18</w:t>
            </w:r>
          </w:p>
        </w:tc>
      </w:tr>
      <w:tr w:rsidR="00366E1E" w14:paraId="37C62A55" w14:textId="77777777">
        <w:tc>
          <w:tcPr>
            <w:tcW w:w="2640" w:type="dxa"/>
          </w:tcPr>
          <w:p w14:paraId="4F3B49FE" w14:textId="77777777" w:rsidR="00366E1E" w:rsidRDefault="00000000">
            <w:pPr>
              <w:pStyle w:val="Compact"/>
            </w:pPr>
            <w:r>
              <w:t>Methuselah</w:t>
            </w:r>
          </w:p>
        </w:tc>
        <w:tc>
          <w:tcPr>
            <w:tcW w:w="2640" w:type="dxa"/>
          </w:tcPr>
          <w:p w14:paraId="30927003" w14:textId="77777777" w:rsidR="00366E1E" w:rsidRDefault="00000000">
            <w:pPr>
              <w:pStyle w:val="Compact"/>
            </w:pPr>
            <w:r>
              <w:t>“man of the spear” or “man of Shelah”</w:t>
            </w:r>
          </w:p>
        </w:tc>
        <w:tc>
          <w:tcPr>
            <w:tcW w:w="2640" w:type="dxa"/>
          </w:tcPr>
          <w:p w14:paraId="7CDFFBA7" w14:textId="77777777" w:rsidR="00366E1E" w:rsidRDefault="00000000">
            <w:pPr>
              <w:pStyle w:val="Compact"/>
            </w:pPr>
            <w:r>
              <w:t>CSB, note on 5:6–31; NIVBT, note on 5:21</w:t>
            </w:r>
          </w:p>
        </w:tc>
      </w:tr>
      <w:tr w:rsidR="00366E1E" w14:paraId="02BDC423" w14:textId="77777777">
        <w:tc>
          <w:tcPr>
            <w:tcW w:w="2640" w:type="dxa"/>
          </w:tcPr>
          <w:p w14:paraId="4852D1AD" w14:textId="77777777" w:rsidR="00366E1E" w:rsidRDefault="00000000">
            <w:pPr>
              <w:pStyle w:val="Compact"/>
            </w:pPr>
            <w:r>
              <w:t>Lamech</w:t>
            </w:r>
          </w:p>
        </w:tc>
        <w:tc>
          <w:tcPr>
            <w:tcW w:w="2640" w:type="dxa"/>
          </w:tcPr>
          <w:p w14:paraId="2C42A8AC" w14:textId="77777777" w:rsidR="00366E1E" w:rsidRDefault="00000000">
            <w:pPr>
              <w:pStyle w:val="Compact"/>
            </w:pPr>
            <w:r>
              <w:t>meaning unknown</w:t>
            </w:r>
          </w:p>
        </w:tc>
        <w:tc>
          <w:tcPr>
            <w:tcW w:w="2640" w:type="dxa"/>
          </w:tcPr>
          <w:p w14:paraId="144DABA0" w14:textId="77777777" w:rsidR="00366E1E" w:rsidRDefault="00000000">
            <w:pPr>
              <w:pStyle w:val="Compact"/>
            </w:pPr>
            <w:r>
              <w:t>NIVBT, note on 5:25</w:t>
            </w:r>
          </w:p>
        </w:tc>
      </w:tr>
      <w:tr w:rsidR="00366E1E" w14:paraId="214DB607" w14:textId="77777777">
        <w:tc>
          <w:tcPr>
            <w:tcW w:w="2640" w:type="dxa"/>
          </w:tcPr>
          <w:p w14:paraId="451A303B" w14:textId="77777777" w:rsidR="00366E1E" w:rsidRDefault="00000000">
            <w:pPr>
              <w:pStyle w:val="Compact"/>
            </w:pPr>
            <w:r>
              <w:t>Noah</w:t>
            </w:r>
          </w:p>
        </w:tc>
        <w:tc>
          <w:tcPr>
            <w:tcW w:w="2640" w:type="dxa"/>
          </w:tcPr>
          <w:p w14:paraId="18B92626" w14:textId="77777777" w:rsidR="00366E1E" w:rsidRDefault="00000000">
            <w:pPr>
              <w:pStyle w:val="Compact"/>
            </w:pPr>
            <w:r>
              <w:t xml:space="preserve">“rest”/“relief,” linked to </w:t>
            </w:r>
            <w:r>
              <w:rPr>
                <w:i/>
                <w:iCs/>
              </w:rPr>
              <w:t>nakham</w:t>
            </w:r>
            <w:r>
              <w:t>, “comfort”</w:t>
            </w:r>
          </w:p>
        </w:tc>
        <w:tc>
          <w:tcPr>
            <w:tcW w:w="2640" w:type="dxa"/>
          </w:tcPr>
          <w:p w14:paraId="11F93AB4" w14:textId="77777777" w:rsidR="00366E1E" w:rsidRDefault="00000000">
            <w:pPr>
              <w:pStyle w:val="Compact"/>
            </w:pPr>
            <w:r>
              <w:t>ESV, note on 5:28–31</w:t>
            </w:r>
          </w:p>
        </w:tc>
      </w:tr>
    </w:tbl>
    <w:p w14:paraId="3D4CEB95" w14:textId="77777777" w:rsidR="00366E1E" w:rsidRDefault="00000000">
      <w:pPr>
        <w:pStyle w:val="BodyText"/>
      </w:pPr>
      <w:r>
        <w:t>“Mahalalel” means one who praises God; “Jared” may confess that God came down to help; “Enoch” means dedication. Now recall what the Cainite names emphasize: a city named for a man, wives named for ornament and cymbal, and a son whose name means metalsmith. Even the naming practices of the two families reveal their loves. One family names its children after God’s help. The other names its city after itself.</w:t>
      </w:r>
    </w:p>
    <w:p w14:paraId="4AF68014" w14:textId="77777777" w:rsidR="00366E1E" w:rsidRDefault="00000000">
      <w:r>
        <w:pict w14:anchorId="67380E7B">
          <v:rect id="_x0000_i1044" style="width:0;height:1.5pt" o:hralign="center" o:hrstd="t" o:hr="t"/>
        </w:pict>
      </w:r>
    </w:p>
    <w:p w14:paraId="6D9C6E02" w14:textId="77777777" w:rsidR="00366E1E" w:rsidRDefault="00000000">
      <w:pPr>
        <w:pStyle w:val="Heading2"/>
      </w:pPr>
      <w:bookmarkStart w:id="82" w:name="X9770291bd705a676084b39915dd993d4717e57e"/>
      <w:bookmarkEnd w:id="80"/>
      <w:bookmarkEnd w:id="81"/>
      <w:r>
        <w:t>Part Nineteen: Teaching, Discussion, and Application</w:t>
      </w:r>
    </w:p>
    <w:p w14:paraId="25352E67" w14:textId="77777777" w:rsidR="00366E1E" w:rsidRDefault="00000000">
      <w:pPr>
        <w:pStyle w:val="FirstParagraph"/>
      </w:pPr>
      <w:r>
        <w:t>A few threads to pull for a class or congregation.</w:t>
      </w:r>
    </w:p>
    <w:p w14:paraId="0441D9A6" w14:textId="77777777" w:rsidR="00366E1E" w:rsidRDefault="00000000">
      <w:pPr>
        <w:pStyle w:val="BodyText"/>
      </w:pPr>
      <w:r>
        <w:rPr>
          <w:b/>
          <w:bCs/>
        </w:rPr>
        <w:t>Culture is not neutral, but it is not evil either.</w:t>
      </w:r>
      <w:r>
        <w:t xml:space="preserve"> Christians who flee all cultural engagement have not read Genesis 4 carefully; neither have Christians who assume cultural achievement is the </w:t>
      </w:r>
      <w:r>
        <w:lastRenderedPageBreak/>
        <w:t>same thing as blessing. The right posture is neither retreat nor idolatry, but the reclaiming of dominion for the Creator (Genesis 9:7; Matthew 28:18–20).</w:t>
      </w:r>
    </w:p>
    <w:p w14:paraId="6D475991" w14:textId="77777777" w:rsidR="00366E1E" w:rsidRDefault="00000000">
      <w:pPr>
        <w:pStyle w:val="BodyText"/>
      </w:pPr>
      <w:r>
        <w:rPr>
          <w:b/>
          <w:bCs/>
        </w:rPr>
        <w:t>Sin compounds if it is not confronted.</w:t>
      </w:r>
      <w:r>
        <w:t xml:space="preserve"> Cain’s family did not intend to arrive at a man who murdered a boy and wrote a song about it. Seven generations of unrepented sin got them there. Tell your students: the direction matters more than the position.</w:t>
      </w:r>
    </w:p>
    <w:p w14:paraId="65440C94" w14:textId="77777777" w:rsidR="00366E1E" w:rsidRDefault="00000000">
      <w:pPr>
        <w:pStyle w:val="BodyText"/>
      </w:pPr>
      <w:r>
        <w:rPr>
          <w:b/>
          <w:bCs/>
        </w:rPr>
        <w:t>Technology magnifies the heart.</w:t>
      </w:r>
      <w:r>
        <w:t xml:space="preserve"> Tubal-Cain’s bronze served both plowshares and swords. Every new capability in human hands amplifies what is already there. This is a truth easily brought forward into any century, including one with algorithms and artificial intelligence.</w:t>
      </w:r>
    </w:p>
    <w:p w14:paraId="7EA3822C" w14:textId="77777777" w:rsidR="00366E1E" w:rsidRDefault="00000000">
      <w:pPr>
        <w:pStyle w:val="BodyText"/>
      </w:pPr>
      <w:r>
        <w:rPr>
          <w:b/>
          <w:bCs/>
        </w:rPr>
        <w:t>Worship is the great divider.</w:t>
      </w:r>
      <w:r>
        <w:t xml:space="preserve"> The difference between the two families is not intelligence, artistry, or industry. It is the difference between “Hear my voice, you wives of Lamech” and “people began to call upon the name of the LORD.”</w:t>
      </w:r>
    </w:p>
    <w:p w14:paraId="61C5CE37" w14:textId="77777777" w:rsidR="00366E1E" w:rsidRDefault="00000000">
      <w:pPr>
        <w:pStyle w:val="BodyText"/>
      </w:pPr>
      <w:r>
        <w:rPr>
          <w:b/>
          <w:bCs/>
        </w:rPr>
        <w:t>Death is real, and it is not the end.</w:t>
      </w:r>
      <w:r>
        <w:t xml:space="preserve"> Eight times chapter 5 says “and he died,” and then once it does not. That single exception, resting on the imputed righteousness of the coming Seed, is the whole gospel in embryo.</w:t>
      </w:r>
    </w:p>
    <w:p w14:paraId="7C84F41C" w14:textId="77777777" w:rsidR="00366E1E" w:rsidRDefault="00000000">
      <w:pPr>
        <w:pStyle w:val="BodyText"/>
      </w:pPr>
      <w:r>
        <w:rPr>
          <w:b/>
          <w:bCs/>
        </w:rPr>
        <w:t>God keeps His promise through ordinary families.</w:t>
      </w:r>
      <w:r>
        <w:t xml:space="preserve"> No angel appears in Genesis 5. No miracle occurs except one. What God mostly does is give children to believers who teach them to call on His name, and by that unspectacular means He preserves the seed of the church across a thousand years and a flood. Youth ministry, family worship, and catechesis stand in this exact tradition.</w:t>
      </w:r>
    </w:p>
    <w:p w14:paraId="1395D81A" w14:textId="77777777" w:rsidR="00366E1E" w:rsidRDefault="00000000">
      <w:pPr>
        <w:pStyle w:val="Heading3"/>
      </w:pPr>
      <w:bookmarkStart w:id="83" w:name="a-seven-lesson-teaching-plan"/>
      <w:r>
        <w:t>A seven-lesson teaching plan</w:t>
      </w:r>
    </w:p>
    <w:p w14:paraId="76900FB8" w14:textId="77777777" w:rsidR="00366E1E" w:rsidRDefault="00000000">
      <w:pPr>
        <w:pStyle w:val="FirstParagraph"/>
      </w:pPr>
      <w:r>
        <w:t>The material divides naturally into seven sessions of roughly forty-five minutes each. Each lesson below lists the text, the single controlling idea, and the place where the passage lands on the student.</w:t>
      </w:r>
    </w:p>
    <w:p w14:paraId="0FB8017B" w14:textId="77777777" w:rsidR="00366E1E" w:rsidRDefault="00000000">
      <w:pPr>
        <w:pStyle w:val="BodyText"/>
      </w:pPr>
      <w:r>
        <w:rPr>
          <w:b/>
          <w:bCs/>
        </w:rPr>
        <w:t>Lesson 1 — Two Answers to Judgment (Genesis 4:16–17).</w:t>
      </w:r>
      <w:r>
        <w:t xml:space="preserve"> Controlling idea: Cain is sentenced to wander and responds by building. The lesson opens the entire study by asking what a person does with God’s verdict against him. Land it on the difference between managing consequences and repenting of sin.</w:t>
      </w:r>
    </w:p>
    <w:p w14:paraId="211D7412" w14:textId="77777777" w:rsidR="00366E1E" w:rsidRDefault="00000000">
      <w:pPr>
        <w:pStyle w:val="BodyText"/>
      </w:pPr>
      <w:r>
        <w:rPr>
          <w:b/>
          <w:bCs/>
        </w:rPr>
        <w:t>Lesson 2 — The City of Man (Genesis 4:17–22).</w:t>
      </w:r>
      <w:r>
        <w:t xml:space="preserve"> Controlling idea: the first civilization — cities, herding, music, metallurgy — comes from the line under judgment, and Genesis credits it honestly. Teach common grace here with Calvin’s language about the arts and sciences of </w:t>
      </w:r>
      <w:r>
        <w:lastRenderedPageBreak/>
        <w:t>unbelievers. Land it on how a Christian receives good things from people who reject God: with gratitude, without confusion.</w:t>
      </w:r>
    </w:p>
    <w:p w14:paraId="01FAACB6" w14:textId="77777777" w:rsidR="00366E1E" w:rsidRDefault="00000000">
      <w:pPr>
        <w:pStyle w:val="BodyText"/>
      </w:pPr>
      <w:r>
        <w:rPr>
          <w:b/>
          <w:bCs/>
        </w:rPr>
        <w:t>Lesson 3 — Lamech’s Song (Genesis 4:23–24).</w:t>
      </w:r>
      <w:r>
        <w:t xml:space="preserve"> Controlling idea: sin has a trajectory, and seven generations of it produce a man who murders a boy and writes music about it. Use the escalation table from Part Seven. Land it on direction over position — where a life is pointed matters more than where it currently stands.</w:t>
      </w:r>
    </w:p>
    <w:p w14:paraId="08C07140" w14:textId="77777777" w:rsidR="00366E1E" w:rsidRDefault="00000000">
      <w:pPr>
        <w:pStyle w:val="BodyText"/>
      </w:pPr>
      <w:r>
        <w:rPr>
          <w:b/>
          <w:bCs/>
        </w:rPr>
        <w:t>Lesson 4 — The Turn (Genesis 4:25–26).</w:t>
      </w:r>
      <w:r>
        <w:t xml:space="preserve"> Controlling idea: against Lamech’s boast, a mother names her son “appointed” and a generation begins to call on the name of the LORD. Trace the phrase forward to Romans 10:13. Land it on public, unembarrassed worship as the real dividing line between the two families.</w:t>
      </w:r>
    </w:p>
    <w:p w14:paraId="59C56165" w14:textId="77777777" w:rsidR="00366E1E" w:rsidRDefault="00000000">
      <w:pPr>
        <w:pStyle w:val="BodyText"/>
      </w:pPr>
      <w:r>
        <w:rPr>
          <w:b/>
          <w:bCs/>
        </w:rPr>
        <w:t>Lesson 5 — Eight Times “And He Died” (Genesis 5:1–20).</w:t>
      </w:r>
      <w:r>
        <w:t xml:space="preserve"> Controlling idea: the image of God is transmitted, and so is death; the repeated formula is a funeral bell that establishes the wages of sin. Land it on mortality — an uncomfortable but necessary subject for teenagers, who are usually the group most insulated from it.</w:t>
      </w:r>
    </w:p>
    <w:p w14:paraId="0436328F" w14:textId="77777777" w:rsidR="00366E1E" w:rsidRDefault="00000000">
      <w:pPr>
        <w:pStyle w:val="BodyText"/>
      </w:pPr>
      <w:r>
        <w:rPr>
          <w:b/>
          <w:bCs/>
        </w:rPr>
        <w:t>Lesson 6 — The Man Who Did Not Die (Genesis 5:21–32).</w:t>
      </w:r>
      <w:r>
        <w:t xml:space="preserve"> Controlling idea: Enoch walked with God and was taken, and Hebrews 11:5–6 tells us the mechanism was faith. Land it on the gospel: the one exception to the death sentence rests on grace, and it points to the resurrection.</w:t>
      </w:r>
    </w:p>
    <w:p w14:paraId="2E3E3818" w14:textId="77777777" w:rsidR="00366E1E" w:rsidRDefault="00000000">
      <w:pPr>
        <w:pStyle w:val="BodyText"/>
      </w:pPr>
      <w:r>
        <w:rPr>
          <w:b/>
          <w:bCs/>
        </w:rPr>
        <w:t>Lesson 7 — When the Line Blurs (Genesis 6:1–8).</w:t>
      </w:r>
      <w:r>
        <w:t xml:space="preserve"> Controlling idea: the flood comes when the distinction between the two families collapses, and grace still has the last word in verse 8. Present all three readings of “the sons of God” fairly, including Heiser’s, with the cautions from Part Fourteen. Land it on internal compromise as the church’s greatest danger.</w:t>
      </w:r>
    </w:p>
    <w:p w14:paraId="23FAC7A3" w14:textId="77777777" w:rsidR="00366E1E" w:rsidRDefault="00000000">
      <w:pPr>
        <w:pStyle w:val="BodyText"/>
      </w:pPr>
      <w:r>
        <w:t>An optional eighth session works well for advanced students: run the interpretive cruxes of Part Sixteen as an open question-and-answer hour. Announcing in advance that hard questions are welcome tends to produce better questions.</w:t>
      </w:r>
    </w:p>
    <w:p w14:paraId="66C986AA" w14:textId="77777777" w:rsidR="00366E1E" w:rsidRDefault="00000000">
      <w:pPr>
        <w:pStyle w:val="Heading3"/>
      </w:pPr>
      <w:bookmarkStart w:id="84" w:name="discussion-questions"/>
      <w:bookmarkEnd w:id="83"/>
      <w:r>
        <w:t>Discussion questions</w:t>
      </w:r>
    </w:p>
    <w:p w14:paraId="5C40086A" w14:textId="77777777" w:rsidR="00366E1E" w:rsidRDefault="00000000">
      <w:pPr>
        <w:pStyle w:val="FirstParagraph"/>
      </w:pPr>
      <w:r>
        <w:t>Grouped by lesson, and written to be asked rather than answered by the teacher.</w:t>
      </w:r>
    </w:p>
    <w:p w14:paraId="1F8FB07D" w14:textId="77777777" w:rsidR="00366E1E" w:rsidRDefault="00000000">
      <w:pPr>
        <w:pStyle w:val="BodyText"/>
      </w:pPr>
      <w:r>
        <w:t>On Cain and the city (Lessons 1–2):</w:t>
      </w:r>
    </w:p>
    <w:p w14:paraId="6672670D" w14:textId="77777777" w:rsidR="00366E1E" w:rsidRDefault="00000000">
      <w:pPr>
        <w:pStyle w:val="Compact"/>
        <w:numPr>
          <w:ilvl w:val="0"/>
          <w:numId w:val="9"/>
        </w:numPr>
      </w:pPr>
      <w:r>
        <w:t>Cain is told he will be a wanderer, and the first thing he does is build a permanent settlement. What are the ways people try to build security instead of receiving it?</w:t>
      </w:r>
    </w:p>
    <w:p w14:paraId="4DE84E0A" w14:textId="77777777" w:rsidR="00366E1E" w:rsidRDefault="00000000">
      <w:pPr>
        <w:pStyle w:val="Compact"/>
        <w:numPr>
          <w:ilvl w:val="0"/>
          <w:numId w:val="9"/>
        </w:numPr>
      </w:pPr>
      <w:r>
        <w:lastRenderedPageBreak/>
        <w:t>Genesis gives Cain’s family the credit for music, ranching, and metalworking. Why do you think Moses reports this without criticizing it?</w:t>
      </w:r>
    </w:p>
    <w:p w14:paraId="6406BA2F" w14:textId="77777777" w:rsidR="00366E1E" w:rsidRDefault="00000000">
      <w:pPr>
        <w:pStyle w:val="Compact"/>
        <w:numPr>
          <w:ilvl w:val="0"/>
          <w:numId w:val="9"/>
        </w:numPr>
      </w:pPr>
      <w:r>
        <w:t>Name three good things in your life that were produced by people who do not follow Christ. How should you think about using them?</w:t>
      </w:r>
    </w:p>
    <w:p w14:paraId="71219422" w14:textId="77777777" w:rsidR="00366E1E" w:rsidRDefault="00000000">
      <w:pPr>
        <w:pStyle w:val="Compact"/>
        <w:numPr>
          <w:ilvl w:val="0"/>
          <w:numId w:val="9"/>
        </w:numPr>
      </w:pPr>
      <w:r>
        <w:t>Cain named his city after his son. Why does naming something after yourself or your family feel so satisfying?</w:t>
      </w:r>
    </w:p>
    <w:p w14:paraId="303CCE3E" w14:textId="77777777" w:rsidR="00366E1E" w:rsidRDefault="00000000">
      <w:pPr>
        <w:pStyle w:val="FirstParagraph"/>
      </w:pPr>
      <w:r>
        <w:t>On Lamech and escalation (Lesson 3):</w:t>
      </w:r>
    </w:p>
    <w:p w14:paraId="27C0FDF6" w14:textId="77777777" w:rsidR="00366E1E" w:rsidRDefault="00000000">
      <w:pPr>
        <w:pStyle w:val="Compact"/>
        <w:numPr>
          <w:ilvl w:val="0"/>
          <w:numId w:val="10"/>
        </w:numPr>
      </w:pPr>
      <w:r>
        <w:t>Lamech’s ancestor Cain tried to hide his murder. Lamech set his to music. What happens in a family, or a culture, over seven generations to make that change possible?</w:t>
      </w:r>
    </w:p>
    <w:p w14:paraId="31DB8D40" w14:textId="77777777" w:rsidR="00366E1E" w:rsidRDefault="00000000">
      <w:pPr>
        <w:pStyle w:val="Compact"/>
        <w:numPr>
          <w:ilvl w:val="0"/>
          <w:numId w:val="10"/>
        </w:numPr>
      </w:pPr>
      <w:r>
        <w:t>Tubal-cain made tools of bronze and iron. In the very next verses, his father boasts about killing. What is the connection, and where do you see the same pattern with technology today?</w:t>
      </w:r>
    </w:p>
    <w:p w14:paraId="4EC6A3A5" w14:textId="77777777" w:rsidR="00366E1E" w:rsidRDefault="00000000">
      <w:pPr>
        <w:pStyle w:val="Compact"/>
        <w:numPr>
          <w:ilvl w:val="0"/>
          <w:numId w:val="10"/>
        </w:numPr>
      </w:pPr>
      <w:r>
        <w:t>Is there any sin in your life whose direction you have not honestly examined?</w:t>
      </w:r>
    </w:p>
    <w:p w14:paraId="3580D126" w14:textId="77777777" w:rsidR="00366E1E" w:rsidRDefault="00000000">
      <w:pPr>
        <w:pStyle w:val="FirstParagraph"/>
      </w:pPr>
      <w:r>
        <w:t>On worship and the turn (Lesson 4):</w:t>
      </w:r>
    </w:p>
    <w:p w14:paraId="29E48156" w14:textId="77777777" w:rsidR="00366E1E" w:rsidRDefault="00000000">
      <w:pPr>
        <w:pStyle w:val="Compact"/>
        <w:numPr>
          <w:ilvl w:val="0"/>
          <w:numId w:val="11"/>
        </w:numPr>
      </w:pPr>
      <w:r>
        <w:t>Eve says God “appointed” Seth in place of Abel. What does it mean to see a specific gift as a direct answer from God rather than as good luck?</w:t>
      </w:r>
    </w:p>
    <w:p w14:paraId="3E42949D" w14:textId="77777777" w:rsidR="00366E1E" w:rsidRDefault="00000000">
      <w:pPr>
        <w:pStyle w:val="Compact"/>
        <w:numPr>
          <w:ilvl w:val="0"/>
          <w:numId w:val="11"/>
        </w:numPr>
      </w:pPr>
      <w:r>
        <w:t>Genesis 4:26 says people “began to call upon the name of the LORD.” What does public worship cost, and what does it accomplish, in a culture that finds it strange?</w:t>
      </w:r>
    </w:p>
    <w:p w14:paraId="1B4C12BE" w14:textId="77777777" w:rsidR="00366E1E" w:rsidRDefault="00000000">
      <w:pPr>
        <w:pStyle w:val="Compact"/>
        <w:numPr>
          <w:ilvl w:val="0"/>
          <w:numId w:val="11"/>
        </w:numPr>
      </w:pPr>
      <w:r>
        <w:t>If someone watched your week without hearing you explain it, which family’s pattern would they say you belong to?</w:t>
      </w:r>
    </w:p>
    <w:p w14:paraId="5077D658" w14:textId="77777777" w:rsidR="00366E1E" w:rsidRDefault="00000000">
      <w:pPr>
        <w:pStyle w:val="FirstParagraph"/>
      </w:pPr>
      <w:r>
        <w:t>On Genesis 5 and death (Lessons 5–6):</w:t>
      </w:r>
    </w:p>
    <w:p w14:paraId="2066C736" w14:textId="77777777" w:rsidR="00366E1E" w:rsidRDefault="00000000">
      <w:pPr>
        <w:pStyle w:val="Compact"/>
        <w:numPr>
          <w:ilvl w:val="0"/>
          <w:numId w:val="12"/>
        </w:numPr>
      </w:pPr>
      <w:r>
        <w:t>The chapter says “and he died” eight times. Why would God inspire such a repetitive text, and what does the repetition do to you as you read it?</w:t>
      </w:r>
    </w:p>
    <w:p w14:paraId="21F522E8" w14:textId="77777777" w:rsidR="00366E1E" w:rsidRDefault="00000000">
      <w:pPr>
        <w:pStyle w:val="Compact"/>
        <w:numPr>
          <w:ilvl w:val="0"/>
          <w:numId w:val="12"/>
        </w:numPr>
      </w:pPr>
      <w:r>
        <w:t>Genesis 5:3 says Adam fathered a son “in his own likeness, after his image.” What is being passed down — and what does that mean for how we understand ourselves?</w:t>
      </w:r>
    </w:p>
    <w:p w14:paraId="5448F246" w14:textId="77777777" w:rsidR="00366E1E" w:rsidRDefault="00000000">
      <w:pPr>
        <w:pStyle w:val="Compact"/>
        <w:numPr>
          <w:ilvl w:val="0"/>
          <w:numId w:val="12"/>
        </w:numPr>
      </w:pPr>
      <w:r>
        <w:t>Enoch “walked with God.” Describe what that would look like across an ordinary Tuesday, not a mountaintop moment.</w:t>
      </w:r>
    </w:p>
    <w:p w14:paraId="0D835906" w14:textId="77777777" w:rsidR="00366E1E" w:rsidRDefault="00000000">
      <w:pPr>
        <w:pStyle w:val="Compact"/>
        <w:numPr>
          <w:ilvl w:val="0"/>
          <w:numId w:val="12"/>
        </w:numPr>
      </w:pPr>
      <w:r>
        <w:t>Lamech named his son Noah, hoping for relief from the curse. Was he right? In what sense was his hope answered, and in what sense did it have to wait?</w:t>
      </w:r>
    </w:p>
    <w:p w14:paraId="02FAFCBF" w14:textId="77777777" w:rsidR="00366E1E" w:rsidRDefault="00000000">
      <w:pPr>
        <w:pStyle w:val="FirstParagraph"/>
      </w:pPr>
      <w:r>
        <w:t>On the collapse and the whole (Lesson 7 and review):</w:t>
      </w:r>
    </w:p>
    <w:p w14:paraId="71BEDC63" w14:textId="77777777" w:rsidR="00366E1E" w:rsidRDefault="00000000">
      <w:pPr>
        <w:pStyle w:val="Compact"/>
        <w:numPr>
          <w:ilvl w:val="0"/>
          <w:numId w:val="13"/>
        </w:numPr>
      </w:pPr>
      <w:r>
        <w:lastRenderedPageBreak/>
        <w:t>Genesis 6 describes the two lines merging. Why is compromise inside the church more dangerous than opposition outside it?</w:t>
      </w:r>
    </w:p>
    <w:p w14:paraId="4219BA3A" w14:textId="77777777" w:rsidR="00366E1E" w:rsidRDefault="00000000">
      <w:pPr>
        <w:pStyle w:val="Compact"/>
        <w:numPr>
          <w:ilvl w:val="0"/>
          <w:numId w:val="13"/>
        </w:numPr>
      </w:pPr>
      <w:r>
        <w:t>Three respectable interpretations of “the sons of God” exist among Bible-believing scholars. What does that teach you about how to disagree with other Christians?</w:t>
      </w:r>
    </w:p>
    <w:p w14:paraId="700A2200" w14:textId="77777777" w:rsidR="00366E1E" w:rsidRDefault="00000000">
      <w:pPr>
        <w:pStyle w:val="Compact"/>
        <w:numPr>
          <w:ilvl w:val="0"/>
          <w:numId w:val="13"/>
        </w:numPr>
      </w:pPr>
      <w:r>
        <w:t>Hebrews says Abel’s blood still speaks, and that Christ’s blood speaks a better word. What is the difference between the two words?</w:t>
      </w:r>
    </w:p>
    <w:p w14:paraId="4FC75F86" w14:textId="77777777" w:rsidR="00366E1E" w:rsidRDefault="00000000">
      <w:pPr>
        <w:pStyle w:val="Compact"/>
        <w:numPr>
          <w:ilvl w:val="0"/>
          <w:numId w:val="13"/>
        </w:numPr>
      </w:pPr>
      <w:r>
        <w:t>The Bible opens with a man building a city and closes with God giving one. What does that tell you about what human beings actually want?</w:t>
      </w:r>
    </w:p>
    <w:p w14:paraId="2EA86588" w14:textId="77777777" w:rsidR="00366E1E" w:rsidRDefault="00000000">
      <w:pPr>
        <w:pStyle w:val="Heading3"/>
      </w:pPr>
      <w:bookmarkStart w:id="85" w:name="note-for-parents-and-youth-leaders"/>
      <w:bookmarkEnd w:id="84"/>
      <w:r>
        <w:t>Note for parents and youth leaders</w:t>
      </w:r>
    </w:p>
    <w:p w14:paraId="0D4BE1AF" w14:textId="77777777" w:rsidR="00366E1E" w:rsidRDefault="00000000">
      <w:pPr>
        <w:pStyle w:val="FirstParagraph"/>
      </w:pPr>
      <w:r>
        <w:t>Two cautions from experience with this material. First, do not soften the funeral bell of Genesis 5. Young people are more able to handle the reality of death than adults expect, and the gospel does not land with any weight until the sentence has been felt. Second, be careful with the strange material in 6:1–4. Curiosity about Nephilim and giants can become a hobby that swallows the point of the passage, which is the wickedness of the human heart and the favor God shows to Noah. Answer the questions honestly, present the options, and then bring the class back to Genesis 6:5–8, where Moses himself puts the emphasis.</w:t>
      </w:r>
    </w:p>
    <w:p w14:paraId="331DB0CB" w14:textId="77777777" w:rsidR="00366E1E" w:rsidRDefault="00000000">
      <w:r>
        <w:pict w14:anchorId="6C907DC4">
          <v:rect id="_x0000_i1045" style="width:0;height:1.5pt" o:hralign="center" o:hrstd="t" o:hr="t"/>
        </w:pict>
      </w:r>
    </w:p>
    <w:p w14:paraId="15143AC2" w14:textId="77777777" w:rsidR="00366E1E" w:rsidRDefault="00000000">
      <w:pPr>
        <w:pStyle w:val="Heading2"/>
      </w:pPr>
      <w:bookmarkStart w:id="86" w:name="sources"/>
      <w:bookmarkEnd w:id="82"/>
      <w:bookmarkEnd w:id="85"/>
      <w:r>
        <w:t>Sources</w:t>
      </w:r>
    </w:p>
    <w:p w14:paraId="441EE43E" w14:textId="77777777" w:rsidR="00366E1E" w:rsidRDefault="00000000">
      <w:pPr>
        <w:pStyle w:val="FirstParagraph"/>
      </w:pPr>
      <w:r>
        <w:t>Primary sources provided by the user:</w:t>
      </w:r>
    </w:p>
    <w:p w14:paraId="7026E81A" w14:textId="77777777" w:rsidR="00366E1E" w:rsidRDefault="00000000">
      <w:pPr>
        <w:pStyle w:val="Compact"/>
        <w:numPr>
          <w:ilvl w:val="0"/>
          <w:numId w:val="14"/>
        </w:numPr>
      </w:pPr>
      <w:r>
        <w:t xml:space="preserve">Crossway Bibles, </w:t>
      </w:r>
      <w:r>
        <w:rPr>
          <w:i/>
          <w:iCs/>
        </w:rPr>
        <w:t>The ESV Study Bible</w:t>
      </w:r>
      <w:r>
        <w:t xml:space="preserve"> (Wheaton, IL: Crossway, 2008), 58–61.</w:t>
      </w:r>
    </w:p>
    <w:p w14:paraId="1FA31586" w14:textId="77777777" w:rsidR="00366E1E" w:rsidRDefault="00000000">
      <w:pPr>
        <w:pStyle w:val="Compact"/>
        <w:numPr>
          <w:ilvl w:val="0"/>
          <w:numId w:val="14"/>
        </w:numPr>
      </w:pPr>
      <w:r>
        <w:t xml:space="preserve">Robert D. Bergen, “Genesis,” in </w:t>
      </w:r>
      <w:r>
        <w:rPr>
          <w:i/>
          <w:iCs/>
        </w:rPr>
        <w:t>CSB Study Bible: Notes</w:t>
      </w:r>
      <w:r>
        <w:t>, ed. Edwin A. Blum and Trevin Wax (Nashville, TN: Holman Bible Publishers, 2017), 12–14.</w:t>
      </w:r>
    </w:p>
    <w:p w14:paraId="4E7D74B2" w14:textId="77777777" w:rsidR="00366E1E" w:rsidRDefault="00000000">
      <w:pPr>
        <w:pStyle w:val="Compact"/>
        <w:numPr>
          <w:ilvl w:val="0"/>
          <w:numId w:val="14"/>
        </w:numPr>
      </w:pPr>
      <w:r>
        <w:t xml:space="preserve">D. A. Carson, ed., </w:t>
      </w:r>
      <w:r>
        <w:rPr>
          <w:i/>
          <w:iCs/>
        </w:rPr>
        <w:t>NIV Biblical Theology Study Bible</w:t>
      </w:r>
      <w:r>
        <w:t xml:space="preserve"> (Grand Rapids, MI: Zondervan, 2018), 32–34.</w:t>
      </w:r>
    </w:p>
    <w:p w14:paraId="3DF2A14A" w14:textId="77777777" w:rsidR="00366E1E" w:rsidRDefault="00000000">
      <w:pPr>
        <w:pStyle w:val="Compact"/>
        <w:numPr>
          <w:ilvl w:val="0"/>
          <w:numId w:val="14"/>
        </w:numPr>
      </w:pPr>
      <w:r>
        <w:t xml:space="preserve">R. C. Sproul, ed., </w:t>
      </w:r>
      <w:r>
        <w:rPr>
          <w:i/>
          <w:iCs/>
        </w:rPr>
        <w:t>The Reformation Study Bible: English Standard Version</w:t>
      </w:r>
      <w:r>
        <w:t>, 2015 ed. (Orlando, FL: Reformation Trust, 2015), 21–23.</w:t>
      </w:r>
    </w:p>
    <w:p w14:paraId="20225872" w14:textId="77777777" w:rsidR="00366E1E" w:rsidRDefault="00000000">
      <w:pPr>
        <w:pStyle w:val="Compact"/>
        <w:numPr>
          <w:ilvl w:val="0"/>
          <w:numId w:val="14"/>
        </w:numPr>
      </w:pPr>
      <w:r>
        <w:t xml:space="preserve">John D. Barry et al., </w:t>
      </w:r>
      <w:r>
        <w:rPr>
          <w:i/>
          <w:iCs/>
        </w:rPr>
        <w:t>Faithlife Study Bible</w:t>
      </w:r>
      <w:r>
        <w:t xml:space="preserve"> (Bellingham, WA: Lexham Press, 2012, 2016), on Genesis 4:17–6:8.</w:t>
      </w:r>
    </w:p>
    <w:p w14:paraId="60A7C89B" w14:textId="77777777" w:rsidR="00366E1E" w:rsidRDefault="00000000">
      <w:pPr>
        <w:pStyle w:val="Compact"/>
        <w:numPr>
          <w:ilvl w:val="0"/>
          <w:numId w:val="14"/>
        </w:numPr>
      </w:pPr>
      <w:r>
        <w:t xml:space="preserve">NET Bible translators’ and study notes on Genesis 4:17–26 (including reference to G. J. Wenham, </w:t>
      </w:r>
      <w:r>
        <w:rPr>
          <w:i/>
          <w:iCs/>
        </w:rPr>
        <w:t>Genesis 1–15</w:t>
      </w:r>
      <w:r>
        <w:t>, Word Biblical Commentary, 1:116).</w:t>
      </w:r>
    </w:p>
    <w:p w14:paraId="1FC7CF2F" w14:textId="77777777" w:rsidR="00366E1E" w:rsidRDefault="00000000">
      <w:pPr>
        <w:pStyle w:val="FirstParagraph"/>
      </w:pPr>
      <w:r>
        <w:lastRenderedPageBreak/>
        <w:t>Additional conservative and Reformed sources consulted:</w:t>
      </w:r>
    </w:p>
    <w:p w14:paraId="4F63EEA1" w14:textId="77777777" w:rsidR="00366E1E" w:rsidRDefault="00000000">
      <w:pPr>
        <w:pStyle w:val="Compact"/>
        <w:numPr>
          <w:ilvl w:val="0"/>
          <w:numId w:val="15"/>
        </w:numPr>
      </w:pPr>
      <w:r>
        <w:t xml:space="preserve">John Calvin, </w:t>
      </w:r>
      <w:r>
        <w:rPr>
          <w:i/>
          <w:iCs/>
        </w:rPr>
        <w:t>Commentary on Genesis</w:t>
      </w:r>
      <w:r>
        <w:t>, ch. 4 — https://www.studylight.org/commentaries/eng/cal/genesis-4.html</w:t>
      </w:r>
    </w:p>
    <w:p w14:paraId="47C664F0" w14:textId="77777777" w:rsidR="00366E1E" w:rsidRDefault="00000000">
      <w:pPr>
        <w:pStyle w:val="Compact"/>
        <w:numPr>
          <w:ilvl w:val="0"/>
          <w:numId w:val="15"/>
        </w:numPr>
      </w:pPr>
      <w:r>
        <w:t xml:space="preserve">John Calvin, </w:t>
      </w:r>
      <w:r>
        <w:rPr>
          <w:i/>
          <w:iCs/>
        </w:rPr>
        <w:t>Commentary on Genesis</w:t>
      </w:r>
      <w:r>
        <w:t>, ch. 5 — https://www.studylight.org/commentaries/eng/cal/genesis-5.html</w:t>
      </w:r>
    </w:p>
    <w:p w14:paraId="211B2BD9" w14:textId="77777777" w:rsidR="00366E1E" w:rsidRDefault="00000000">
      <w:pPr>
        <w:pStyle w:val="Compact"/>
        <w:numPr>
          <w:ilvl w:val="0"/>
          <w:numId w:val="15"/>
        </w:numPr>
      </w:pPr>
      <w:r>
        <w:t xml:space="preserve">Matthew Henry, </w:t>
      </w:r>
      <w:r>
        <w:rPr>
          <w:i/>
          <w:iCs/>
        </w:rPr>
        <w:t>Commentary on the Whole Bible</w:t>
      </w:r>
      <w:r>
        <w:t>, Genesis 4 — https://www.christianity.com/bible/commentary/matthew-henry-complete/genesis/4</w:t>
      </w:r>
    </w:p>
    <w:p w14:paraId="2A6DE373" w14:textId="77777777" w:rsidR="00366E1E" w:rsidRDefault="00000000">
      <w:pPr>
        <w:pStyle w:val="Compact"/>
        <w:numPr>
          <w:ilvl w:val="0"/>
          <w:numId w:val="15"/>
        </w:numPr>
      </w:pPr>
      <w:r>
        <w:t xml:space="preserve">Matthew Henry, </w:t>
      </w:r>
      <w:r>
        <w:rPr>
          <w:i/>
          <w:iCs/>
        </w:rPr>
        <w:t>Commentary on the Whole Bible</w:t>
      </w:r>
      <w:r>
        <w:t>, Genesis 5 — https://www.christianity.com/bible/commentary/matthew-henry-complete/genesis/5</w:t>
      </w:r>
    </w:p>
    <w:p w14:paraId="54BB6E6B" w14:textId="77777777" w:rsidR="00366E1E" w:rsidRDefault="00000000">
      <w:pPr>
        <w:pStyle w:val="Compact"/>
        <w:numPr>
          <w:ilvl w:val="0"/>
          <w:numId w:val="15"/>
        </w:numPr>
      </w:pPr>
      <w:r>
        <w:t>Aaron Denlinger, “The Gospel According to Enoch: Calvin on Gen. 5:21–24,” Reformation21 — https://www.reformation21.org/blogs/the-gospel-according-to-enoch.php</w:t>
      </w:r>
    </w:p>
    <w:p w14:paraId="3587EF31" w14:textId="77777777" w:rsidR="00366E1E" w:rsidRDefault="00000000">
      <w:pPr>
        <w:pStyle w:val="Compact"/>
        <w:numPr>
          <w:ilvl w:val="0"/>
          <w:numId w:val="15"/>
        </w:numPr>
      </w:pPr>
      <w:r>
        <w:t>J. Ligon Duncan, “The Godly Line,” Reformed Theological Seminary — https://rts.edu/resources/the-godly-line/</w:t>
      </w:r>
    </w:p>
    <w:p w14:paraId="3AEFE8FE" w14:textId="77777777" w:rsidR="00366E1E" w:rsidRDefault="00000000">
      <w:pPr>
        <w:pStyle w:val="Compact"/>
        <w:numPr>
          <w:ilvl w:val="0"/>
          <w:numId w:val="15"/>
        </w:numPr>
      </w:pPr>
      <w:r>
        <w:t>“The Seed of the Woman,” Tabletalk Magazine (Ligonier Ministries, December 2018) — https://tabletalkmagazine.com/article/2018/12/the-seed-of-the-woman/</w:t>
      </w:r>
    </w:p>
    <w:p w14:paraId="20CA28F9" w14:textId="77777777" w:rsidR="00366E1E" w:rsidRDefault="00000000">
      <w:pPr>
        <w:pStyle w:val="Compact"/>
        <w:numPr>
          <w:ilvl w:val="0"/>
          <w:numId w:val="15"/>
        </w:numPr>
      </w:pPr>
      <w:r>
        <w:t>“The First City,” Ligonier Ministries — https://learn.ligonier.org/devotionals/first-city</w:t>
      </w:r>
    </w:p>
    <w:p w14:paraId="0692A3FD" w14:textId="77777777" w:rsidR="00366E1E" w:rsidRDefault="00000000">
      <w:pPr>
        <w:pStyle w:val="Compact"/>
        <w:numPr>
          <w:ilvl w:val="0"/>
          <w:numId w:val="15"/>
        </w:numPr>
      </w:pPr>
      <w:r>
        <w:t>“The Birth of Seth,” Ligonier Ministries — https://learn.ligonier.org/devotionals/birth-seth</w:t>
      </w:r>
    </w:p>
    <w:p w14:paraId="42A9D7FC" w14:textId="77777777" w:rsidR="00366E1E" w:rsidRDefault="00000000">
      <w:pPr>
        <w:pStyle w:val="Compact"/>
        <w:numPr>
          <w:ilvl w:val="0"/>
          <w:numId w:val="15"/>
        </w:numPr>
      </w:pPr>
      <w:r>
        <w:t xml:space="preserve">Augustine, </w:t>
      </w:r>
      <w:r>
        <w:rPr>
          <w:i/>
          <w:iCs/>
        </w:rPr>
        <w:t>The City of God</w:t>
      </w:r>
      <w:r>
        <w:t>, Book XV — https://www.newadvent.org/fathers/120115.htm</w:t>
      </w:r>
    </w:p>
    <w:p w14:paraId="08CFA56F" w14:textId="77777777" w:rsidR="00366E1E" w:rsidRDefault="00000000">
      <w:pPr>
        <w:pStyle w:val="Compact"/>
        <w:numPr>
          <w:ilvl w:val="0"/>
          <w:numId w:val="15"/>
        </w:numPr>
      </w:pPr>
      <w:r>
        <w:t>“Angels or Men? A Defense of the Sethite View of Genesis 6” — https://reformedarsenal.com/angels-or-men-a-defense-of-the-sethite-view-of-genesis-6/</w:t>
      </w:r>
    </w:p>
    <w:p w14:paraId="210A405C" w14:textId="77777777" w:rsidR="00366E1E" w:rsidRDefault="00000000">
      <w:pPr>
        <w:pStyle w:val="Compact"/>
        <w:numPr>
          <w:ilvl w:val="0"/>
          <w:numId w:val="15"/>
        </w:numPr>
      </w:pPr>
      <w:r>
        <w:t xml:space="preserve">Derek Kidner, </w:t>
      </w:r>
      <w:r>
        <w:rPr>
          <w:i/>
          <w:iCs/>
        </w:rPr>
        <w:t>Genesis: An Introduction and Commentary</w:t>
      </w:r>
      <w:r>
        <w:t xml:space="preserve"> (Tyndale Old Testament Commentaries), quoted in Duncan, “The Godly Line.”</w:t>
      </w:r>
    </w:p>
    <w:p w14:paraId="2153C345" w14:textId="77777777" w:rsidR="00366E1E" w:rsidRDefault="00000000">
      <w:pPr>
        <w:pStyle w:val="Compact"/>
        <w:numPr>
          <w:ilvl w:val="0"/>
          <w:numId w:val="15"/>
        </w:numPr>
      </w:pPr>
      <w:r>
        <w:t xml:space="preserve">“John Calvin on Common Grace,” RPM Ministries (quoting </w:t>
      </w:r>
      <w:r>
        <w:rPr>
          <w:i/>
          <w:iCs/>
        </w:rPr>
        <w:t>Institutes</w:t>
      </w:r>
      <w:r>
        <w:t xml:space="preserve"> 2.2.14–15) — https://rpmministries.org/2022/08/john-calvin-on-common-grace/</w:t>
      </w:r>
    </w:p>
    <w:p w14:paraId="2576EA3C" w14:textId="77777777" w:rsidR="00366E1E" w:rsidRDefault="00000000">
      <w:pPr>
        <w:pStyle w:val="Compact"/>
        <w:numPr>
          <w:ilvl w:val="0"/>
          <w:numId w:val="15"/>
        </w:numPr>
      </w:pPr>
      <w:r>
        <w:t>“Can I Trust the Numbers in Genesis 5?” Apologetics Press — https://apologeticspress.org/can-i-trust-the-numbers-in-genesis-5-5849/</w:t>
      </w:r>
    </w:p>
    <w:p w14:paraId="5E04D42A" w14:textId="77777777" w:rsidR="00366E1E" w:rsidRDefault="00000000">
      <w:pPr>
        <w:pStyle w:val="Compact"/>
        <w:numPr>
          <w:ilvl w:val="0"/>
          <w:numId w:val="15"/>
        </w:numPr>
      </w:pPr>
      <w:r>
        <w:t>“Textual traditions and biblical chronology” (on the Masoretic, Septuagint, and Samaritan figures, quoting G. J. Wenham) — https://creation.com/images/pdfs/tj/j29_2/j29_2_99-105.pdf</w:t>
      </w:r>
    </w:p>
    <w:p w14:paraId="7A4C3D53" w14:textId="77777777" w:rsidR="00366E1E" w:rsidRDefault="00000000">
      <w:pPr>
        <w:pStyle w:val="Compact"/>
        <w:numPr>
          <w:ilvl w:val="0"/>
          <w:numId w:val="15"/>
        </w:numPr>
      </w:pPr>
      <w:r>
        <w:lastRenderedPageBreak/>
        <w:t xml:space="preserve">Third Millennium Ministries, on Genesis 4:26 and the verb </w:t>
      </w:r>
      <w:r>
        <w:rPr>
          <w:i/>
          <w:iCs/>
        </w:rPr>
        <w:t>chalal</w:t>
      </w:r>
      <w:r>
        <w:t xml:space="preserve"> (“began” or “profaned”) — https://thirdmill.org/answers/answer.asp/file/40425</w:t>
      </w:r>
    </w:p>
    <w:p w14:paraId="59D992D6" w14:textId="77777777" w:rsidR="00366E1E" w:rsidRDefault="00000000">
      <w:pPr>
        <w:pStyle w:val="Compact"/>
        <w:numPr>
          <w:ilvl w:val="0"/>
          <w:numId w:val="15"/>
        </w:numPr>
      </w:pPr>
      <w:r>
        <w:t>Andrei Orlov, Marquette University, on Enmeduranki and the seventh antediluvian king in the Sumerian King List — https://www.marquette.edu/maqom/Chapter%201.pdf</w:t>
      </w:r>
    </w:p>
    <w:p w14:paraId="0AE2F4FC" w14:textId="77777777" w:rsidR="00366E1E" w:rsidRDefault="00000000">
      <w:pPr>
        <w:pStyle w:val="FirstParagraph"/>
      </w:pPr>
      <w:r>
        <w:t>On Michael S. Heiser — biography and evaluations:</w:t>
      </w:r>
    </w:p>
    <w:p w14:paraId="3FDD27D6" w14:textId="77777777" w:rsidR="00366E1E" w:rsidRDefault="00000000">
      <w:pPr>
        <w:pStyle w:val="Compact"/>
        <w:numPr>
          <w:ilvl w:val="0"/>
          <w:numId w:val="16"/>
        </w:numPr>
      </w:pPr>
      <w:r>
        <w:t>“Michael S. Heiser,” Wikipedia (training and academic background) — https://en.wikipedia.org/wiki/Michael_S._Heiser</w:t>
      </w:r>
    </w:p>
    <w:p w14:paraId="224E10BD" w14:textId="77777777" w:rsidR="00366E1E" w:rsidRDefault="00000000">
      <w:pPr>
        <w:pStyle w:val="Compact"/>
        <w:numPr>
          <w:ilvl w:val="0"/>
          <w:numId w:val="16"/>
        </w:numPr>
      </w:pPr>
      <w:r>
        <w:t>“Michael Heiser (February 14, 1963–February 20, 2023),” Logos — https://www.logos.com/grow/michael-heiser-passing/</w:t>
      </w:r>
    </w:p>
    <w:p w14:paraId="27E4EDE4" w14:textId="77777777" w:rsidR="00366E1E" w:rsidRDefault="00000000">
      <w:pPr>
        <w:pStyle w:val="Compact"/>
        <w:numPr>
          <w:ilvl w:val="0"/>
          <w:numId w:val="16"/>
        </w:numPr>
      </w:pPr>
      <w:r>
        <w:rPr>
          <w:i/>
          <w:iCs/>
        </w:rPr>
        <w:t>Faithlife Study Bible</w:t>
      </w:r>
      <w:r>
        <w:t xml:space="preserve"> product page, listing academic editors — https://faithlife.com/store/product/36338/faithlife-study-bible</w:t>
      </w:r>
    </w:p>
    <w:p w14:paraId="14870565" w14:textId="77777777" w:rsidR="00366E1E" w:rsidRDefault="00000000">
      <w:pPr>
        <w:pStyle w:val="Compact"/>
        <w:numPr>
          <w:ilvl w:val="0"/>
          <w:numId w:val="16"/>
        </w:numPr>
      </w:pPr>
      <w:r>
        <w:t xml:space="preserve">Benjamin J. Noonan, review of </w:t>
      </w:r>
      <w:r>
        <w:rPr>
          <w:i/>
          <w:iCs/>
        </w:rPr>
        <w:t>The Unseen Realm</w:t>
      </w:r>
      <w:r>
        <w:t xml:space="preserve">, </w:t>
      </w:r>
      <w:r>
        <w:rPr>
          <w:i/>
          <w:iCs/>
        </w:rPr>
        <w:t>Themelios</w:t>
      </w:r>
      <w:r>
        <w:t xml:space="preserve"> (The Gospel Coalition) — https://www.thegospelcoalition.org/themelios/review/the-unseen-realm-recovering-the-supernatural-worldview-of-the-bible/</w:t>
      </w:r>
    </w:p>
    <w:p w14:paraId="1AE6A4B2" w14:textId="77777777" w:rsidR="00366E1E" w:rsidRDefault="00000000">
      <w:pPr>
        <w:pStyle w:val="Compact"/>
        <w:numPr>
          <w:ilvl w:val="0"/>
          <w:numId w:val="16"/>
        </w:numPr>
      </w:pPr>
      <w:r>
        <w:t xml:space="preserve">Review of </w:t>
      </w:r>
      <w:r>
        <w:rPr>
          <w:i/>
          <w:iCs/>
        </w:rPr>
        <w:t>Supernatural</w:t>
      </w:r>
      <w:r>
        <w:t xml:space="preserve"> and </w:t>
      </w:r>
      <w:r>
        <w:rPr>
          <w:i/>
          <w:iCs/>
        </w:rPr>
        <w:t>The Unseen Realm</w:t>
      </w:r>
      <w:r>
        <w:t xml:space="preserve">, </w:t>
      </w:r>
      <w:r>
        <w:rPr>
          <w:i/>
          <w:iCs/>
        </w:rPr>
        <w:t>Modern Reformation</w:t>
      </w:r>
      <w:r>
        <w:t xml:space="preserve"> — https://www.modernreformation.org/resources/book-reviews/a-lord-of-the-rings-biblical-theology-supernatural-and-the-unseen-realm-by-michael-s-heiser</w:t>
      </w:r>
    </w:p>
    <w:p w14:paraId="1D491290" w14:textId="77777777" w:rsidR="00366E1E" w:rsidRDefault="00000000">
      <w:pPr>
        <w:pStyle w:val="Compact"/>
        <w:numPr>
          <w:ilvl w:val="0"/>
          <w:numId w:val="16"/>
        </w:numPr>
      </w:pPr>
      <w:r>
        <w:t xml:space="preserve">Book review of </w:t>
      </w:r>
      <w:r>
        <w:rPr>
          <w:i/>
          <w:iCs/>
        </w:rPr>
        <w:t>The Unseen Realm</w:t>
      </w:r>
      <w:r>
        <w:t>, Knowing Scripture — https://knowingscripture.com/articles/book-review-the-unseen-realm-heiser</w:t>
      </w:r>
    </w:p>
    <w:p w14:paraId="1759E63F" w14:textId="77777777" w:rsidR="00366E1E" w:rsidRDefault="00000000">
      <w:pPr>
        <w:pStyle w:val="Compact"/>
        <w:numPr>
          <w:ilvl w:val="0"/>
          <w:numId w:val="16"/>
        </w:numPr>
      </w:pPr>
      <w:r>
        <w:t>Christopher Henning, “Evaluating the Divine Council Theology of Michael Heiser,” Theopolis Institute — https://theopolisinstitute.com/conversations/evaluating-the-divine-council-theology-of-michael-heiser-and-christopher-kous-adaptations/</w:t>
      </w:r>
      <w:bookmarkEnd w:id="0"/>
      <w:bookmarkEnd w:id="86"/>
    </w:p>
    <w:sectPr w:rsidR="00366E1E">
      <w:footnotePr>
        <w:numRestart w:val="eachSect"/>
      </w:footnotePr>
      <w:pgSz w:w="12240" w:h="15840"/>
      <w:pgMar w:top="1440" w:right="1584" w:bottom="1440" w:left="15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notTrueType/>
    <w:pitch w:val="default"/>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5DA39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06C080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C82CF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5"/>
    <w:multiLevelType w:val="multilevel"/>
    <w:tmpl w:val="9D80D2C2"/>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4" w15:restartNumberingAfterBreak="0">
    <w:nsid w:val="00A99418"/>
    <w:multiLevelType w:val="multilevel"/>
    <w:tmpl w:val="05F4A788"/>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5" w15:restartNumberingAfterBreak="0">
    <w:nsid w:val="0A994111"/>
    <w:multiLevelType w:val="multilevel"/>
    <w:tmpl w:val="F83E2100"/>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6" w15:restartNumberingAfterBreak="0">
    <w:nsid w:val="0A994115"/>
    <w:multiLevelType w:val="multilevel"/>
    <w:tmpl w:val="1096C172"/>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 w16cid:durableId="1829442272">
    <w:abstractNumId w:val="0"/>
  </w:num>
  <w:num w:numId="2" w16cid:durableId="355233588">
    <w:abstractNumId w:val="1"/>
  </w:num>
  <w:num w:numId="3" w16cid:durableId="211118275">
    <w:abstractNumId w:val="1"/>
  </w:num>
  <w:num w:numId="4" w16cid:durableId="1163468920">
    <w:abstractNumId w:val="1"/>
  </w:num>
  <w:num w:numId="5" w16cid:durableId="766072153">
    <w:abstractNumId w:val="1"/>
  </w:num>
  <w:num w:numId="6" w16cid:durableId="48503730">
    <w:abstractNumId w:val="1"/>
  </w:num>
  <w:num w:numId="7" w16cid:durableId="1551573967">
    <w:abstractNumId w:val="1"/>
  </w:num>
  <w:num w:numId="8" w16cid:durableId="2085103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94039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6681821">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 w16cid:durableId="1650598008">
    <w:abstractNumId w:val="4"/>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 w16cid:durableId="1689134378">
    <w:abstractNumId w:val="5"/>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 w16cid:durableId="1108623898">
    <w:abstractNumId w:val="6"/>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4" w16cid:durableId="541790387">
    <w:abstractNumId w:val="1"/>
  </w:num>
  <w:num w:numId="15" w16cid:durableId="813719647">
    <w:abstractNumId w:val="1"/>
  </w:num>
  <w:num w:numId="16" w16cid:durableId="757095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366E1E"/>
    <w:rsid w:val="001E01CB"/>
    <w:rsid w:val="00366E1E"/>
    <w:rsid w:val="00930D8A"/>
    <w:rsid w:val="00D9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7ECE"/>
  <w15:docId w15:val="{1ADC29AB-039D-4FF7-B25F-E3CBED28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312" w:lineRule="auto"/>
    </w:pPr>
    <w:rPr>
      <w:rFonts w:ascii="Calibri" w:hAnsi="Calibri"/>
      <w:color w:val="28251D"/>
      <w:sz w:val="23"/>
    </w:rPr>
  </w:style>
  <w:style w:type="paragraph" w:styleId="Heading1">
    <w:name w:val="heading 1"/>
    <w:basedOn w:val="Normal"/>
    <w:next w:val="BodyText"/>
    <w:link w:val="Heading1Char"/>
    <w:uiPriority w:val="9"/>
    <w:qFormat/>
    <w:rsid w:val="00A10FD9"/>
    <w:pPr>
      <w:keepNext/>
      <w:keepLines/>
      <w:spacing w:before="440"/>
      <w:outlineLvl w:val="0"/>
    </w:pPr>
    <w:rPr>
      <w:rFonts w:asciiTheme="majorHAnsi" w:eastAsiaTheme="majorEastAsia" w:hAnsiTheme="majorHAnsi" w:cstheme="majorBidi"/>
      <w:b/>
      <w:color w:val="1B474D"/>
      <w:sz w:val="38"/>
      <w:szCs w:val="40"/>
    </w:rPr>
  </w:style>
  <w:style w:type="paragraph" w:styleId="Heading2">
    <w:name w:val="heading 2"/>
    <w:basedOn w:val="Normal"/>
    <w:next w:val="BodyText"/>
    <w:link w:val="Heading2Char"/>
    <w:uiPriority w:val="9"/>
    <w:semiHidden/>
    <w:unhideWhenUsed/>
    <w:qFormat/>
    <w:rsid w:val="00A10FD9"/>
    <w:pPr>
      <w:keepNext/>
      <w:keepLines/>
      <w:spacing w:before="320" w:after="120"/>
      <w:outlineLvl w:val="1"/>
    </w:pPr>
    <w:rPr>
      <w:rFonts w:asciiTheme="majorHAnsi" w:eastAsiaTheme="majorEastAsia" w:hAnsiTheme="majorHAnsi" w:cstheme="majorBidi"/>
      <w:b/>
      <w:color w:val="01696F"/>
      <w:sz w:val="30"/>
      <w:szCs w:val="32"/>
    </w:rPr>
  </w:style>
  <w:style w:type="paragraph" w:styleId="Heading3">
    <w:name w:val="heading 3"/>
    <w:basedOn w:val="Normal"/>
    <w:next w:val="BodyText"/>
    <w:link w:val="Heading3Char"/>
    <w:uiPriority w:val="9"/>
    <w:semiHidden/>
    <w:unhideWhenUsed/>
    <w:qFormat/>
    <w:rsid w:val="00A10FD9"/>
    <w:pPr>
      <w:keepNext/>
      <w:keepLines/>
      <w:spacing w:before="240" w:after="80"/>
      <w:outlineLvl w:val="2"/>
    </w:pPr>
    <w:rPr>
      <w:rFonts w:eastAsiaTheme="majorEastAsia" w:cstheme="majorBidi"/>
      <w:b/>
      <w:sz w:val="25"/>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120" w:line="240" w:lineRule="auto"/>
      <w:contextualSpacing/>
      <w:jc w:val="center"/>
    </w:pPr>
    <w:rPr>
      <w:rFonts w:asciiTheme="majorHAnsi" w:eastAsiaTheme="majorEastAsia" w:hAnsiTheme="majorHAnsi" w:cstheme="majorBidi"/>
      <w:b/>
      <w:color w:val="1B474D"/>
      <w:sz w:val="60"/>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spacing w:after="360"/>
    </w:pPr>
    <w:rPr>
      <w:rFonts w:ascii="Georgia" w:hAnsi="Georgia"/>
      <w:color w:val="01696F"/>
      <w:spacing w:val="15"/>
      <w:sz w:val="30"/>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rPr>
      <w:color w:val="0C4E54"/>
    </w:r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rPr>
      <w:b w:val="0"/>
      <w:color w:val="0F476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rn.ligonier.org/devotionals/birth-seth" TargetMode="External"/><Relationship Id="rId21" Type="http://schemas.openxmlformats.org/officeDocument/2006/relationships/hyperlink" Target="https://rpmministries.org/2022/08/john-calvin-on-common-grace/" TargetMode="External"/><Relationship Id="rId42" Type="http://schemas.openxmlformats.org/officeDocument/2006/relationships/hyperlink" Target="https://apologeticspress.org/can-i-trust-the-numbers-in-genesis-5-5849/" TargetMode="External"/><Relationship Id="rId47" Type="http://schemas.openxmlformats.org/officeDocument/2006/relationships/hyperlink" Target="https://www.reformation21.org/blogs/the-gospel-according-to-enoch.php" TargetMode="External"/><Relationship Id="rId63" Type="http://schemas.openxmlformats.org/officeDocument/2006/relationships/hyperlink" Target="https://www.thegospelcoalition.org/themelios/review/the-unseen-realm-recovering-the-supernatural-worldview-of-the-bible/" TargetMode="External"/><Relationship Id="rId68" Type="http://schemas.openxmlformats.org/officeDocument/2006/relationships/hyperlink" Target="https://knowingscripture.com/articles/book-review-the-unseen-realm-heiser" TargetMode="External"/><Relationship Id="rId84" Type="http://schemas.openxmlformats.org/officeDocument/2006/relationships/hyperlink" Target="https://learn.ligonier.org/devotionals/first-city" TargetMode="External"/><Relationship Id="rId89" Type="http://schemas.openxmlformats.org/officeDocument/2006/relationships/hyperlink" Target="https://rts.edu/resources/the-godly-line/" TargetMode="External"/><Relationship Id="rId16" Type="http://schemas.openxmlformats.org/officeDocument/2006/relationships/hyperlink" Target="https://learn.ligonier.org/devotionals/first-city" TargetMode="External"/><Relationship Id="rId11" Type="http://schemas.openxmlformats.org/officeDocument/2006/relationships/hyperlink" Target="https://learn.ligonier.org/devotionals/first-city" TargetMode="External"/><Relationship Id="rId32" Type="http://schemas.openxmlformats.org/officeDocument/2006/relationships/hyperlink" Target="https://learn.ligonier.org/devotionals/birth-seth" TargetMode="External"/><Relationship Id="rId37" Type="http://schemas.openxmlformats.org/officeDocument/2006/relationships/hyperlink" Target="https://www.studylight.org/commentaries/eng/cal/genesis-5.html" TargetMode="External"/><Relationship Id="rId53" Type="http://schemas.openxmlformats.org/officeDocument/2006/relationships/hyperlink" Target="https://reformedarsenal.com/angels-or-men-a-defense-of-the-sethite-view-of-genesis-6/" TargetMode="External"/><Relationship Id="rId58" Type="http://schemas.openxmlformats.org/officeDocument/2006/relationships/hyperlink" Target="https://www.thegospelcoalition.org/themelios/review/the-unseen-realm-recovering-the-supernatural-worldview-of-the-bible/" TargetMode="External"/><Relationship Id="rId74" Type="http://schemas.openxmlformats.org/officeDocument/2006/relationships/hyperlink" Target="https://knowingscripture.com/articles/book-review-the-unseen-realm-heiser" TargetMode="External"/><Relationship Id="rId79" Type="http://schemas.openxmlformats.org/officeDocument/2006/relationships/hyperlink" Target="https://tabletalkmagazine.com/article/2018/12/the-seed-of-the-woman/" TargetMode="External"/><Relationship Id="rId102" Type="http://schemas.openxmlformats.org/officeDocument/2006/relationships/hyperlink" Target="https://www.christianity.com/bible/commentary/matthew-henry-complete/genesis/5" TargetMode="External"/><Relationship Id="rId5" Type="http://schemas.openxmlformats.org/officeDocument/2006/relationships/hyperlink" Target="https://tabletalkmagazine.com/article/2018/12/the-seed-of-the-woman/" TargetMode="External"/><Relationship Id="rId90" Type="http://schemas.openxmlformats.org/officeDocument/2006/relationships/hyperlink" Target="https://rts.edu/resources/the-godly-line/" TargetMode="External"/><Relationship Id="rId95" Type="http://schemas.openxmlformats.org/officeDocument/2006/relationships/hyperlink" Target="https://creation.com/images/pdfs/tj/j29_2/j29_2_99-105.pdf" TargetMode="External"/><Relationship Id="rId22" Type="http://schemas.openxmlformats.org/officeDocument/2006/relationships/hyperlink" Target="https://www.marquette.edu/maqom/Chapter%201.pdf" TargetMode="External"/><Relationship Id="rId27" Type="http://schemas.openxmlformats.org/officeDocument/2006/relationships/hyperlink" Target="https://learn.ligonier.org/devotionals/birth-seth" TargetMode="External"/><Relationship Id="rId43" Type="http://schemas.openxmlformats.org/officeDocument/2006/relationships/hyperlink" Target="https://creation.com/images/pdfs/tj/j29_2/j29_2_99-105.pdf" TargetMode="External"/><Relationship Id="rId48" Type="http://schemas.openxmlformats.org/officeDocument/2006/relationships/hyperlink" Target="https://www.reformation21.org/blogs/the-gospel-according-to-enoch.php" TargetMode="External"/><Relationship Id="rId64" Type="http://schemas.openxmlformats.org/officeDocument/2006/relationships/hyperlink" Target="https://knowingscripture.com/articles/book-review-the-unseen-realm-heiser" TargetMode="External"/><Relationship Id="rId69" Type="http://schemas.openxmlformats.org/officeDocument/2006/relationships/hyperlink" Target="https://theopolisinstitute.com/conversations/evaluating-the-divine-council-theology-of-michael-heiser-and-christopher-kous-adaptations/" TargetMode="External"/><Relationship Id="rId80" Type="http://schemas.openxmlformats.org/officeDocument/2006/relationships/hyperlink" Target="https://www.christianity.com/bible/commentary/matthew-henry-complete/genesis/5" TargetMode="External"/><Relationship Id="rId85" Type="http://schemas.openxmlformats.org/officeDocument/2006/relationships/hyperlink" Target="https://learn.ligonier.org/devotionals/first-city" TargetMode="External"/><Relationship Id="rId12" Type="http://schemas.openxmlformats.org/officeDocument/2006/relationships/hyperlink" Target="https://www.newadvent.org/fathers/120115.htm" TargetMode="External"/><Relationship Id="rId17" Type="http://schemas.openxmlformats.org/officeDocument/2006/relationships/hyperlink" Target="https://learn.ligonier.org/devotionals/first-city" TargetMode="External"/><Relationship Id="rId25" Type="http://schemas.openxmlformats.org/officeDocument/2006/relationships/hyperlink" Target="https://www.christianity.com/bible/commentary/matthew-henry-complete/genesis/4" TargetMode="External"/><Relationship Id="rId33" Type="http://schemas.openxmlformats.org/officeDocument/2006/relationships/hyperlink" Target="https://learn.ligonier.org/devotionals/birth-seth" TargetMode="External"/><Relationship Id="rId38" Type="http://schemas.openxmlformats.org/officeDocument/2006/relationships/hyperlink" Target="https://www.christianity.com/bible/commentary/matthew-henry-complete/genesis/5" TargetMode="External"/><Relationship Id="rId46" Type="http://schemas.openxmlformats.org/officeDocument/2006/relationships/hyperlink" Target="https://www.reformation21.org/blogs/the-gospel-according-to-enoch.php" TargetMode="External"/><Relationship Id="rId59" Type="http://schemas.openxmlformats.org/officeDocument/2006/relationships/hyperlink" Target="https://theopolisinstitute.com/conversations/evaluating-the-divine-council-theology-of-michael-heiser-and-christopher-kous-adaptations/" TargetMode="External"/><Relationship Id="rId67" Type="http://schemas.openxmlformats.org/officeDocument/2006/relationships/hyperlink" Target="https://knowingscripture.com/articles/book-review-the-unseen-realm-heiser" TargetMode="External"/><Relationship Id="rId103" Type="http://schemas.openxmlformats.org/officeDocument/2006/relationships/fontTable" Target="fontTable.xml"/><Relationship Id="rId20" Type="http://schemas.openxmlformats.org/officeDocument/2006/relationships/hyperlink" Target="https://rpmministries.org/2022/08/john-calvin-on-common-grace/" TargetMode="External"/><Relationship Id="rId41" Type="http://schemas.openxmlformats.org/officeDocument/2006/relationships/hyperlink" Target="https://creation.com/images/pdfs/tj/j29_2/j29_2_99-105.pdf" TargetMode="External"/><Relationship Id="rId54" Type="http://schemas.openxmlformats.org/officeDocument/2006/relationships/hyperlink" Target="https://en.wikipedia.org/wiki/Michael_S._Heiser" TargetMode="External"/><Relationship Id="rId62" Type="http://schemas.openxmlformats.org/officeDocument/2006/relationships/hyperlink" Target="https://knowingscripture.com/articles/book-review-the-unseen-realm-heiser" TargetMode="External"/><Relationship Id="rId70" Type="http://schemas.openxmlformats.org/officeDocument/2006/relationships/hyperlink" Target="https://theopolisinstitute.com/conversations/evaluating-the-divine-council-theology-of-michael-heiser-and-christopher-kous-adaptations/" TargetMode="External"/><Relationship Id="rId75" Type="http://schemas.openxmlformats.org/officeDocument/2006/relationships/hyperlink" Target="https://knowingscripture.com/articles/book-review-the-unseen-realm-heiser" TargetMode="External"/><Relationship Id="rId83" Type="http://schemas.openxmlformats.org/officeDocument/2006/relationships/hyperlink" Target="https://www.christianity.com/bible/commentary/matthew-henry-complete/genesis/4" TargetMode="External"/><Relationship Id="rId88" Type="http://schemas.openxmlformats.org/officeDocument/2006/relationships/hyperlink" Target="https://www.studylight.org/commentaries/eng/cal/genesis-5.html" TargetMode="External"/><Relationship Id="rId91" Type="http://schemas.openxmlformats.org/officeDocument/2006/relationships/hyperlink" Target="https://www.newadvent.org/fathers/120115.htm" TargetMode="External"/><Relationship Id="rId96" Type="http://schemas.openxmlformats.org/officeDocument/2006/relationships/hyperlink" Target="https://apologeticspress.org/can-i-trust-the-numbers-in-genesis-5-5849/" TargetMode="External"/><Relationship Id="rId1" Type="http://schemas.openxmlformats.org/officeDocument/2006/relationships/numbering" Target="numbering.xml"/><Relationship Id="rId6" Type="http://schemas.openxmlformats.org/officeDocument/2006/relationships/hyperlink" Target="https://www.christianity.com/bible/commentary/matthew-henry-complete/genesis/4" TargetMode="External"/><Relationship Id="rId15" Type="http://schemas.openxmlformats.org/officeDocument/2006/relationships/hyperlink" Target="https://www.christianity.com/bible/commentary/matthew-henry-complete/genesis/4" TargetMode="External"/><Relationship Id="rId23" Type="http://schemas.openxmlformats.org/officeDocument/2006/relationships/hyperlink" Target="https://www.christianity.com/bible/commentary/matthew-henry-complete/genesis/4" TargetMode="External"/><Relationship Id="rId28" Type="http://schemas.openxmlformats.org/officeDocument/2006/relationships/hyperlink" Target="https://thirdmill.org/answers/answer.asp/file/40425" TargetMode="External"/><Relationship Id="rId36" Type="http://schemas.openxmlformats.org/officeDocument/2006/relationships/hyperlink" Target="https://www.studylight.org/commentaries/eng/cal/genesis-5.html" TargetMode="External"/><Relationship Id="rId49" Type="http://schemas.openxmlformats.org/officeDocument/2006/relationships/hyperlink" Target="https://www.reformation21.org/blogs/the-gospel-according-to-enoch.php" TargetMode="External"/><Relationship Id="rId57" Type="http://schemas.openxmlformats.org/officeDocument/2006/relationships/hyperlink" Target="https://www.thegospelcoalition.org/themelios/review/the-unseen-realm-recovering-the-supernatural-worldview-of-the-bible/" TargetMode="External"/><Relationship Id="rId10" Type="http://schemas.openxmlformats.org/officeDocument/2006/relationships/hyperlink" Target="https://www.christianity.com/bible/commentary/matthew-henry-complete/genesis/4" TargetMode="External"/><Relationship Id="rId31" Type="http://schemas.openxmlformats.org/officeDocument/2006/relationships/hyperlink" Target="https://rts.edu/resources/the-godly-line/" TargetMode="External"/><Relationship Id="rId44" Type="http://schemas.openxmlformats.org/officeDocument/2006/relationships/hyperlink" Target="https://creation.com/images/pdfs/tj/j29_2/j29_2_99-105.pdf" TargetMode="External"/><Relationship Id="rId52" Type="http://schemas.openxmlformats.org/officeDocument/2006/relationships/hyperlink" Target="https://reformedarsenal.com/angels-or-men-a-defense-of-the-sethite-view-of-genesis-6/" TargetMode="External"/><Relationship Id="rId60" Type="http://schemas.openxmlformats.org/officeDocument/2006/relationships/hyperlink" Target="https://www.thegospelcoalition.org/themelios/review/the-unseen-realm-recovering-the-supernatural-worldview-of-the-bible/" TargetMode="External"/><Relationship Id="rId65" Type="http://schemas.openxmlformats.org/officeDocument/2006/relationships/hyperlink" Target="https://www.thegospelcoalition.org/themelios/review/the-unseen-realm-recovering-the-supernatural-worldview-of-the-bible/" TargetMode="External"/><Relationship Id="rId73" Type="http://schemas.openxmlformats.org/officeDocument/2006/relationships/hyperlink" Target="https://www.thegospelcoalition.org/themelios/review/the-unseen-realm-recovering-the-supernatural-worldview-of-the-bible/" TargetMode="External"/><Relationship Id="rId78" Type="http://schemas.openxmlformats.org/officeDocument/2006/relationships/hyperlink" Target="https://tabletalkmagazine.com/article/2018/12/the-seed-of-the-woman/" TargetMode="External"/><Relationship Id="rId81" Type="http://schemas.openxmlformats.org/officeDocument/2006/relationships/hyperlink" Target="https://www.christianity.com/bible/commentary/matthew-henry-complete/genesis/5" TargetMode="External"/><Relationship Id="rId86" Type="http://schemas.openxmlformats.org/officeDocument/2006/relationships/hyperlink" Target="https://rts.edu/resources/the-godly-line/" TargetMode="External"/><Relationship Id="rId94" Type="http://schemas.openxmlformats.org/officeDocument/2006/relationships/hyperlink" Target="https://learn.ligonier.org/devotionals/birth-seth" TargetMode="External"/><Relationship Id="rId99" Type="http://schemas.openxmlformats.org/officeDocument/2006/relationships/hyperlink" Target="https://learn.ligonier.org/devotionals/birth-seth" TargetMode="External"/><Relationship Id="rId101" Type="http://schemas.openxmlformats.org/officeDocument/2006/relationships/hyperlink" Target="https://www.newadvent.org/fathers/120115.htm" TargetMode="External"/><Relationship Id="rId4" Type="http://schemas.openxmlformats.org/officeDocument/2006/relationships/webSettings" Target="webSettings.xml"/><Relationship Id="rId9" Type="http://schemas.openxmlformats.org/officeDocument/2006/relationships/hyperlink" Target="https://www.studylight.org/commentaries/eng/cal/genesis-4.html" TargetMode="External"/><Relationship Id="rId13" Type="http://schemas.openxmlformats.org/officeDocument/2006/relationships/hyperlink" Target="https://www.christianity.com/bible/commentary/matthew-henry-complete/genesis/4" TargetMode="External"/><Relationship Id="rId18" Type="http://schemas.openxmlformats.org/officeDocument/2006/relationships/hyperlink" Target="https://rts.edu/resources/the-godly-line/" TargetMode="External"/><Relationship Id="rId39" Type="http://schemas.openxmlformats.org/officeDocument/2006/relationships/hyperlink" Target="https://www.christianity.com/bible/commentary/matthew-henry-complete/genesis/5" TargetMode="External"/><Relationship Id="rId34" Type="http://schemas.openxmlformats.org/officeDocument/2006/relationships/hyperlink" Target="https://www.christianity.com/bible/commentary/matthew-henry-complete/genesis/5" TargetMode="External"/><Relationship Id="rId50" Type="http://schemas.openxmlformats.org/officeDocument/2006/relationships/hyperlink" Target="https://tabletalkmagazine.com/article/2018/12/the-seed-of-the-woman/" TargetMode="External"/><Relationship Id="rId55" Type="http://schemas.openxmlformats.org/officeDocument/2006/relationships/hyperlink" Target="https://www.logos.com/grow/michael-heiser-passing/" TargetMode="External"/><Relationship Id="rId76" Type="http://schemas.openxmlformats.org/officeDocument/2006/relationships/hyperlink" Target="https://knowingscripture.com/articles/book-review-the-unseen-realm-heiser" TargetMode="External"/><Relationship Id="rId97" Type="http://schemas.openxmlformats.org/officeDocument/2006/relationships/hyperlink" Target="https://thirdmill.org/answers/answer.asp/file/40425" TargetMode="External"/><Relationship Id="rId104" Type="http://schemas.openxmlformats.org/officeDocument/2006/relationships/theme" Target="theme/theme1.xml"/><Relationship Id="rId7" Type="http://schemas.openxmlformats.org/officeDocument/2006/relationships/hyperlink" Target="https://www.studylight.org/commentaries/eng/cal/genesis-4.html" TargetMode="External"/><Relationship Id="rId71" Type="http://schemas.openxmlformats.org/officeDocument/2006/relationships/hyperlink" Target="https://theopolisinstitute.com/conversations/evaluating-the-divine-council-theology-of-michael-heiser-and-christopher-kous-adaptations/" TargetMode="External"/><Relationship Id="rId92" Type="http://schemas.openxmlformats.org/officeDocument/2006/relationships/hyperlink" Target="https://www.christianity.com/bible/commentary/matthew-henry-complete/genesis/4" TargetMode="External"/><Relationship Id="rId2" Type="http://schemas.openxmlformats.org/officeDocument/2006/relationships/styles" Target="styles.xml"/><Relationship Id="rId29" Type="http://schemas.openxmlformats.org/officeDocument/2006/relationships/hyperlink" Target="https://thirdmill.org/answers/answer.asp/file/40425" TargetMode="External"/><Relationship Id="rId24" Type="http://schemas.openxmlformats.org/officeDocument/2006/relationships/hyperlink" Target="https://tabletalkmagazine.com/article/2018/12/the-seed-of-the-woman/" TargetMode="External"/><Relationship Id="rId40" Type="http://schemas.openxmlformats.org/officeDocument/2006/relationships/hyperlink" Target="https://apologeticspress.org/can-i-trust-the-numbers-in-genesis-5-5849/" TargetMode="External"/><Relationship Id="rId45" Type="http://schemas.openxmlformats.org/officeDocument/2006/relationships/hyperlink" Target="https://www.studylight.org/commentaries/eng/cal/genesis-5.html" TargetMode="External"/><Relationship Id="rId66" Type="http://schemas.openxmlformats.org/officeDocument/2006/relationships/hyperlink" Target="https://www.modernreformation.org/resources/book-reviews/a-lord-of-the-rings-biblical-theology-supernatural-and-the-unseen-realm-by-michael-s-heiser" TargetMode="External"/><Relationship Id="rId87" Type="http://schemas.openxmlformats.org/officeDocument/2006/relationships/hyperlink" Target="https://learn.ligonier.org/devotionals/first-city" TargetMode="External"/><Relationship Id="rId61" Type="http://schemas.openxmlformats.org/officeDocument/2006/relationships/hyperlink" Target="https://www.thegospelcoalition.org/themelios/review/the-unseen-realm-recovering-the-supernatural-worldview-of-the-bible/" TargetMode="External"/><Relationship Id="rId82" Type="http://schemas.openxmlformats.org/officeDocument/2006/relationships/hyperlink" Target="https://learn.ligonier.org/devotionals/first-city" TargetMode="External"/><Relationship Id="rId19" Type="http://schemas.openxmlformats.org/officeDocument/2006/relationships/hyperlink" Target="https://rpmministries.org/2022/08/john-calvin-on-common-grace/" TargetMode="External"/><Relationship Id="rId14" Type="http://schemas.openxmlformats.org/officeDocument/2006/relationships/hyperlink" Target="https://www.studylight.org/commentaries/eng/cal/genesis-4.html" TargetMode="External"/><Relationship Id="rId30" Type="http://schemas.openxmlformats.org/officeDocument/2006/relationships/hyperlink" Target="https://thirdmill.org/answers/answer.asp/file/40425" TargetMode="External"/><Relationship Id="rId35" Type="http://schemas.openxmlformats.org/officeDocument/2006/relationships/hyperlink" Target="https://www.studylight.org/commentaries/eng/cal/genesis-5.html" TargetMode="External"/><Relationship Id="rId56" Type="http://schemas.openxmlformats.org/officeDocument/2006/relationships/hyperlink" Target="https://faithlife.com/store/product/36338/faithlife-study-bible" TargetMode="External"/><Relationship Id="rId77" Type="http://schemas.openxmlformats.org/officeDocument/2006/relationships/hyperlink" Target="https://www.modernreformation.org/resources/book-reviews/a-lord-of-the-rings-biblical-theology-supernatural-and-the-unseen-realm-by-michael-s-heiser" TargetMode="External"/><Relationship Id="rId100" Type="http://schemas.openxmlformats.org/officeDocument/2006/relationships/hyperlink" Target="https://www.reformation21.org/blogs/the-gospel-according-to-enoch.php" TargetMode="External"/><Relationship Id="rId8" Type="http://schemas.openxmlformats.org/officeDocument/2006/relationships/hyperlink" Target="https://www.studylight.org/commentaries/eng/cal/genesis-4.html" TargetMode="External"/><Relationship Id="rId51" Type="http://schemas.openxmlformats.org/officeDocument/2006/relationships/hyperlink" Target="https://rts.edu/resources/the-godly-line/" TargetMode="External"/><Relationship Id="rId72" Type="http://schemas.openxmlformats.org/officeDocument/2006/relationships/hyperlink" Target="https://www.thegospelcoalition.org/themelios/review/the-unseen-realm-recovering-the-supernatural-worldview-of-the-bible/" TargetMode="External"/><Relationship Id="rId93" Type="http://schemas.openxmlformats.org/officeDocument/2006/relationships/hyperlink" Target="https://www.christianity.com/bible/commentary/matthew-henry-complete/genesis/5" TargetMode="External"/><Relationship Id="rId98" Type="http://schemas.openxmlformats.org/officeDocument/2006/relationships/hyperlink" Target="https://www.christianity.com/bible/commentary/matthew-henry-complete/genesis/5"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61</Pages>
  <Words>22742</Words>
  <Characters>129631</Characters>
  <Application>Microsoft Office Word</Application>
  <DocSecurity>0</DocSecurity>
  <Lines>1080</Lines>
  <Paragraphs>304</Paragraphs>
  <ScaleCrop>false</ScaleCrop>
  <Company/>
  <LinksUpToDate>false</LinksUpToDate>
  <CharactersWithSpaces>152069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jeffrey delee</dc:creator>
  <cp:keywords/>
  <cp:lastModifiedBy>jeffrey delee</cp:lastModifiedBy>
  <cp:revision>3</cp:revision>
  <dcterms:created xsi:type="dcterms:W3CDTF">2026-08-18T13:21:00Z</dcterms:created>
  <dcterms:modified xsi:type="dcterms:W3CDTF">2026-08-18T13:22:00Z</dcterms:modified>
</cp:coreProperties>
</file>