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the-wilderness"/>
    <w:p>
      <w:pPr>
        <w:spacing w:after="120"/>
        <w:jc w:val="center"/>
      </w:pPr>
      <w:r>
        <w:rPr>
          <w:b/>
          <w:color w:val="1B3A5C"/>
          <w:sz w:val="72"/>
        </w:rPr>
        <w:t xml:space="preserve">THE WILDERNESS</w:t>
      </w:r>
    </w:p>
    <w:bookmarkStart w:id="22" w:name="an-exhaustive-biblical-theological-study"/>
    <w:p>
      <w:pPr>
        <w:spacing w:after="120"/>
        <w:jc w:val="center"/>
      </w:pPr>
      <w:r>
        <w:rPr>
          <w:b w:val="0"/>
          <w:color w:val="B8860B"/>
          <w:sz w:val="36"/>
        </w:rPr>
        <w:t xml:space="preserve">An Exhaustive Biblical-Theological Study</w:t>
      </w:r>
    </w:p>
    <w:p>
      <w:pPr>
        <w:spacing w:after="120"/>
        <w:jc w:val="center"/>
      </w:pPr>
      <w:r>
        <w:rPr>
          <w:b w:val="0"/>
          <w:color w:val="C8BFA0"/>
          <w:sz w:val="24"/>
        </w:rPr>
        <w:t>─────────────────────────────────────────</w:t>
      </w:r>
    </w:p>
    <w:bookmarkStart w:id="20" w:name="X824606c6023932f813e968bc8f2bfab6e5ef318"/>
    <w:p>
      <w:pPr>
        <w:spacing w:after="80"/>
        <w:jc w:val="center"/>
      </w:pPr>
      <w:r>
        <w:rPr>
          <w:b w:val="0"/>
          <w:color w:val="5A5A5A"/>
          <w:sz w:val="28"/>
        </w:rPr>
        <w:t xml:space="preserve">Testing · Dependence · Judgment · Divine Provision</w:t>
      </w:r>
    </w:p>
    <w:bookmarkEnd w:id="20"/>
    <w:bookmarkStart w:id="21" w:name="Xb7cd258e0a7f257871aa0b51c742e176214dfa8"/>
    <w:p>
      <w:pPr>
        <w:spacing w:after="1200"/>
        <w:jc w:val="center"/>
      </w:pPr>
      <w:r>
        <w:rPr>
          <w:b w:val="0"/>
          <w:color w:val="5A5A5A"/>
          <w:sz w:val="22"/>
        </w:rPr>
        <w:t xml:space="preserve">Israel · Elijah · John the Baptist · Christ · The Church</w:t>
      </w:r>
    </w:p>
    <w:p>
      <w:pPr>
        <w:spacing w:after="80"/>
        <w:jc w:val="center"/>
      </w:pPr>
      <w:r>
        <w:rPr>
          <w:b w:val="0"/>
          <w:color w:val="5A5A5A"/>
          <w:sz w:val="22"/>
        </w:rPr>
        <w:t xml:space="preserve">Prepared for Personal Bible Study</w:t>
      </w:r>
    </w:p>
    <w:p>
      <w:pPr>
        <w:jc w:val="center"/>
      </w:pPr>
      <w:r>
        <w:rPr>
          <w:b w:val="0"/>
          <w:color w:val="5A5A5A"/>
          <w:sz w:val="22"/>
        </w:rPr>
        <w:t xml:space="preserve">September 2026</w:t>
      </w:r>
    </w:p>
    <w:bookmarkEnd w:id="21"/>
    <w:bookmarkEnd w:id="22"/>
    <w:bookmarkEnd w:id="23"/>
    <w:bookmarkStart w:id="24" w:name="table-of-contents"/>
    <w:p>
      <w:pPr>
        <w:pStyle w:val="Heading1"/>
        <w:pageBreakBefore/>
        <w:spacing w:after="240"/>
        <w:jc w:val="center"/>
      </w:pPr>
      <w:r>
        <w:t xml:space="preserve">TABLE OF CONTENTS</w:t>
      </w:r>
    </w:p>
    <w:p>
      <w:pPr>
        <w:numPr>
          <w:ilvl w:val="0"/>
          <w:numId w:val="1001"/>
        </w:numPr>
        <w:pStyle w:val="Compact"/>
      </w:pPr>
      <w:r>
        <w:t xml:space="preserve">Introduction</w:t>
      </w:r>
      <w:r>
        <w:br/>
      </w:r>
    </w:p>
    <w:p>
      <w:pPr>
        <w:numPr>
          <w:ilvl w:val="0"/>
          <w:numId w:val="1001"/>
        </w:numPr>
        <w:pStyle w:val="Compact"/>
      </w:pPr>
      <w:r>
        <w:t xml:space="preserve">Hebrew and Greek Vocabulary</w:t>
      </w:r>
      <w:r>
        <w:br/>
      </w:r>
    </w:p>
    <w:p>
      <w:pPr>
        <w:numPr>
          <w:ilvl w:val="0"/>
          <w:numId w:val="1001"/>
        </w:numPr>
        <w:pStyle w:val="Compact"/>
      </w:pPr>
      <w:r>
        <w:t xml:space="preserve">Before Israel: Eden, Exile, and the Wilderness Pattern</w:t>
      </w:r>
      <w:r>
        <w:br/>
      </w:r>
    </w:p>
    <w:p>
      <w:pPr>
        <w:numPr>
          <w:ilvl w:val="0"/>
          <w:numId w:val="1001"/>
        </w:numPr>
        <w:pStyle w:val="Compact"/>
      </w:pPr>
      <w:r>
        <w:t xml:space="preserve">Exodus 15–18: The Wilderness School of Dependence</w:t>
      </w:r>
      <w:r>
        <w:br/>
      </w:r>
    </w:p>
    <w:p>
      <w:pPr>
        <w:numPr>
          <w:ilvl w:val="0"/>
          <w:numId w:val="1001"/>
        </w:numPr>
        <w:pStyle w:val="Compact"/>
      </w:pPr>
      <w:r>
        <w:t xml:space="preserve">Sinai and the Tabernacle: God Dwelling in the Wilderness</w:t>
      </w:r>
      <w:r>
        <w:br/>
      </w:r>
    </w:p>
    <w:p>
      <w:pPr>
        <w:numPr>
          <w:ilvl w:val="0"/>
          <w:numId w:val="1001"/>
        </w:numPr>
        <w:pStyle w:val="Compact"/>
      </w:pPr>
      <w:r>
        <w:t xml:space="preserve">Numbers: Rebellion, Judgment, and Preserving Grace</w:t>
      </w:r>
      <w:r>
        <w:br/>
      </w:r>
    </w:p>
    <w:p>
      <w:pPr>
        <w:numPr>
          <w:ilvl w:val="0"/>
          <w:numId w:val="1001"/>
        </w:numPr>
        <w:pStyle w:val="Compact"/>
      </w:pPr>
      <w:r>
        <w:t xml:space="preserve">Deuteronomy 8: The Inspired Theology of the Wilderness</w:t>
      </w:r>
      <w:r>
        <w:br/>
      </w:r>
    </w:p>
    <w:p>
      <w:pPr>
        <w:numPr>
          <w:ilvl w:val="0"/>
          <w:numId w:val="1001"/>
        </w:numPr>
        <w:pStyle w:val="Compact"/>
      </w:pPr>
      <w:r>
        <w:t xml:space="preserve">Elijah: Collapse, Provision, and Return to Horeb</w:t>
      </w:r>
      <w:r>
        <w:br/>
      </w:r>
    </w:p>
    <w:p>
      <w:pPr>
        <w:numPr>
          <w:ilvl w:val="0"/>
          <w:numId w:val="1001"/>
        </w:numPr>
        <w:pStyle w:val="Compact"/>
      </w:pPr>
      <w:r>
        <w:t xml:space="preserve">The Prophets: Judgment Reversed into New Exodus</w:t>
      </w:r>
      <w:r>
        <w:br/>
      </w:r>
    </w:p>
    <w:p>
      <w:pPr>
        <w:numPr>
          <w:ilvl w:val="0"/>
          <w:numId w:val="1001"/>
        </w:numPr>
        <w:pStyle w:val="Compact"/>
      </w:pPr>
      <w:r>
        <w:t xml:space="preserve">John the Baptist: The Voice in the Wilderness</w:t>
      </w:r>
      <w:r>
        <w:br/>
      </w:r>
    </w:p>
    <w:p>
      <w:pPr>
        <w:numPr>
          <w:ilvl w:val="0"/>
          <w:numId w:val="1001"/>
        </w:numPr>
        <w:pStyle w:val="Compact"/>
      </w:pPr>
      <w:r>
        <w:t xml:space="preserve">Christ’s Temptation: The Faithful Son in Israel’s Place</w:t>
      </w:r>
      <w:r>
        <w:br/>
      </w:r>
    </w:p>
    <w:p>
      <w:pPr>
        <w:numPr>
          <w:ilvl w:val="0"/>
          <w:numId w:val="1001"/>
        </w:numPr>
        <w:pStyle w:val="Compact"/>
      </w:pPr>
      <w:r>
        <w:t xml:space="preserve">Christ’s Wilderness Ministry and the New Exodus</w:t>
      </w:r>
      <w:r>
        <w:br/>
      </w:r>
    </w:p>
    <w:p>
      <w:pPr>
        <w:numPr>
          <w:ilvl w:val="0"/>
          <w:numId w:val="1001"/>
        </w:numPr>
        <w:pStyle w:val="Compact"/>
      </w:pPr>
      <w:r>
        <w:t xml:space="preserve">The Church in the Wilderness: Paul and Hebrews</w:t>
      </w:r>
      <w:r>
        <w:br/>
      </w:r>
    </w:p>
    <w:p>
      <w:pPr>
        <w:numPr>
          <w:ilvl w:val="0"/>
          <w:numId w:val="1001"/>
        </w:numPr>
        <w:pStyle w:val="Compact"/>
      </w:pPr>
      <w:r>
        <w:t xml:space="preserve">Revelation: The Protected Woman and the Final Homecoming</w:t>
      </w:r>
      <w:r>
        <w:br/>
      </w:r>
    </w:p>
    <w:p>
      <w:pPr>
        <w:numPr>
          <w:ilvl w:val="0"/>
          <w:numId w:val="1001"/>
        </w:numPr>
        <w:pStyle w:val="Compact"/>
      </w:pPr>
      <w:r>
        <w:t xml:space="preserve">Synthesis and Study Conclusions</w:t>
      </w:r>
      <w:r>
        <w:br/>
      </w:r>
    </w:p>
    <w:p>
      <w:pPr>
        <w:numPr>
          <w:ilvl w:val="0"/>
          <w:numId w:val="1001"/>
        </w:numPr>
        <w:pStyle w:val="Compact"/>
      </w:pPr>
      <w:r>
        <w:t xml:space="preserve">Key Sources and Further Reading</w:t>
      </w:r>
    </w:p>
    <w:bookmarkEnd w:id="24"/>
    <w:bookmarkStart w:id="25" w:name="introduction"/>
    <w:p>
      <w:pPr>
        <w:pStyle w:val="Heading1"/>
        <w:pageBreakBefore/>
      </w:pPr>
      <w:r>
        <w:t xml:space="preserve">INTRODUCTION</w:t>
      </w:r>
    </w:p>
    <w:p>
      <w:pPr>
        <w:pStyle w:val="FirstParagraph"/>
      </w:pPr>
      <w:r>
        <w:t xml:space="preserve">The wilderness is one of Scripture’s most important theological settings. It is never merely empty scenery between Egypt and Canaan. God repeatedly chooses the wilderness as the place where false securities are stripped away, hearts are exposed, covenant rebellion is judged, daily bread is received, and a people learns whether it will live by sight or by the word of God. Israel is born as a covenant nation in the wilderness. Moses is prepared there. Elijah is sustained and recommissioned there. John the Baptist appears there to announce a new exodus. Jesus enters it as the faithful Son, relives Israel’s testing, and succeeds where Israel failed. The apostolic church is then taught to read Israel’s wilderness history as warning, instruction, and promise for its own pilgrimage.</w:t>
      </w:r>
    </w:p>
    <w:p>
      <w:pPr>
        <w:pStyle w:val="BodyText"/>
      </w:pPr>
      <w:r>
        <w:t xml:space="preserve">This theme must be handled carefully. Not every hardship is divine punishment. Not every wilderness season is evidence that a believer has wandered outside God’s will. The Spirit himself leads Jesus into the wilderness (Matthew 4:1), and God tells Israel that he carried them through it as a father carries a son (Deuteronomy 1:31). Yet the wilderness is also genuinely dangerous. Graves fill its landscape because unbelief refuses the God who provides. Scripture therefore will not permit a sentimental wilderness theology in which suffering automatically produces maturity. The same environment produces dependence in some and hardening in others. The decisive question is not whether a person is in the wilderness, but whether the person hears God’s voice there in faith.</w:t>
      </w:r>
    </w:p>
    <w:p>
      <w:pPr>
        <w:pStyle w:val="BodyText"/>
      </w:pPr>
      <w:r>
        <w:t xml:space="preserve">The canonical movement is equally important. Israel’s wilderness is historical: a particular people was redeemed from Egypt, covenanted at Sinai, and led toward a particular land. It is also typological: Israel is called God’s son, tested for forty years, and sustained by bread from heaven. Jesus, the true Son, passes through the waters, enters the wilderness for forty days, answers the tempter from Deuteronomy, and embodies the obedience Israel owed. The church participates in this pattern only through union with Christ. Christians are not a replacement Israel reenacting every national detail, but a redeemed pilgrim people warned by Israel’s failures and sustained by the better Moses, the true bread, the living water, and the heavenly country.</w:t>
      </w:r>
    </w:p>
    <w:p>
      <w:pPr>
        <w:pStyle w:val="BodyText"/>
      </w:pPr>
      <w:r>
        <w:t xml:space="preserve">This study follows the theme in canonical order. It begins with the biblical vocabulary, traces the wilderness pattern from Genesis through the Torah, examines Elijah and the prophets, studies John and Christ in the Gospels, and concludes with the church’s pilgrimage in Paul, Hebrews, and Revelation. Its governing claim is that the wilderness is the place where God reveals what is in the human heart while revealing, even more fundamentally, what is in his own: holiness against rebellion, patience toward the weak, judgment against unbelief, and covenant faithfulness that brings his people home.</w:t>
      </w:r>
    </w:p>
    <w:bookmarkEnd w:id="25"/>
    <w:bookmarkStart w:id="30" w:name="section-1-hebrew-and-greek-vocabulary"/>
    <w:p>
      <w:pPr>
        <w:pStyle w:val="Heading1"/>
      </w:pPr>
      <w:r>
        <w:t xml:space="preserve">SECTION 1: HEBREW AND GREEK VOCABULARY</w:t>
      </w:r>
    </w:p>
    <w:bookmarkStart w:id="26" w:name="X5f9f9fca5d7be5b13334ff185be411169835e54"/>
    <w:p>
      <w:pPr>
        <w:pStyle w:val="Heading2"/>
      </w:pPr>
      <w:r>
        <w:t xml:space="preserve">Midbar (מִדְבָּר) — Wilderness, Steppe, Pastureland</w:t>
      </w:r>
    </w:p>
    <w:p>
      <w:pPr>
        <w:pStyle w:val="FirstParagraph"/>
      </w:pPr>
      <w:r>
        <w:t xml:space="preserve">The principal Hebrew noun is</w:t>
      </w:r>
      <w:r>
        <w:t xml:space="preserve"> </w:t>
      </w:r>
      <w:r>
        <w:rPr>
          <w:iCs/>
          <w:i/>
        </w:rPr>
        <w:t xml:space="preserve">midbar</w:t>
      </w:r>
      <w:r>
        <w:t xml:space="preserve"> </w:t>
      </w:r>
      <w:r>
        <w:t xml:space="preserve">(Strong’s H4057). English translations variously render it</w:t>
      </w:r>
      <w:r>
        <w:t xml:space="preserve"> </w:t>
      </w:r>
      <w:r>
        <w:t xml:space="preserve">“</w:t>
      </w:r>
      <w:r>
        <w:t xml:space="preserve">wilderness,</w:t>
      </w:r>
      <w:r>
        <w:t xml:space="preserve">”</w:t>
      </w:r>
      <w:r>
        <w:t xml:space="preserve"> </w:t>
      </w:r>
      <w:r>
        <w:t xml:space="preserve">“</w:t>
      </w:r>
      <w:r>
        <w:t xml:space="preserve">desert,</w:t>
      </w:r>
      <w:r>
        <w:t xml:space="preserve">”</w:t>
      </w:r>
      <w:r>
        <w:t xml:space="preserve"> </w:t>
      </w:r>
      <w:r>
        <w:t xml:space="preserve">or</w:t>
      </w:r>
      <w:r>
        <w:t xml:space="preserve"> </w:t>
      </w:r>
      <w:r>
        <w:t xml:space="preserve">“</w:t>
      </w:r>
      <w:r>
        <w:t xml:space="preserve">pasture.</w:t>
      </w:r>
      <w:r>
        <w:t xml:space="preserve">”</w:t>
      </w:r>
      <w:r>
        <w:t xml:space="preserve"> </w:t>
      </w:r>
      <w:r>
        <w:t xml:space="preserve">The word does not always describe an absolute sand desert. It often denotes uncultivated steppe, grazing country, or sparsely inhabited land beyond settled agricultural life. Sheep can be kept there, routes can cross it, and seasonal water may be found, but ordinary structures of food production, political security, and settled society are absent.</w:t>
      </w:r>
    </w:p>
    <w:p>
      <w:pPr>
        <w:pStyle w:val="BodyText"/>
      </w:pPr>
      <w:r>
        <w:t xml:space="preserve">That physical meaning generates theological force. In cultivated land a household can imagine that seed, field, storehouse, wall, and king secure its future. In the</w:t>
      </w:r>
      <w:r>
        <w:t xml:space="preserve"> </w:t>
      </w:r>
      <w:r>
        <w:rPr>
          <w:iCs/>
          <w:i/>
        </w:rPr>
        <w:t xml:space="preserve">midbar</w:t>
      </w:r>
      <w:r>
        <w:t xml:space="preserve">, life depends upon guidance, water, and provision that cannot be manufactured on demand. The wilderness is therefore an environment of creaturely exposure. It does not create finitude; it makes finitude impossible to ignore.</w:t>
      </w:r>
    </w:p>
    <w:p>
      <w:pPr>
        <w:pStyle w:val="BodyText"/>
      </w:pPr>
      <w:r>
        <w:t xml:space="preserve">Exodus 3:1 places Moses</w:t>
      </w:r>
      <w:r>
        <w:t xml:space="preserve"> </w:t>
      </w:r>
      <w:r>
        <w:t xml:space="preserve">“</w:t>
      </w:r>
      <w:r>
        <w:t xml:space="preserve">to the west side of the wilderness</w:t>
      </w:r>
      <w:r>
        <w:t xml:space="preserve">”</w:t>
      </w:r>
      <w:r>
        <w:t xml:space="preserve"> </w:t>
      </w:r>
      <w:r>
        <w:t xml:space="preserve">when God speaks from the burning bush. The location is fitting: Moses must first be separated from Egyptian courtly power and from his own premature violence before he can become the servant through whom God delivers Israel. The wilderness becomes both the place of divine encounter and the school in which human self-sufficiency dies.</w:t>
      </w:r>
    </w:p>
    <w:bookmarkEnd w:id="26"/>
    <w:bookmarkStart w:id="27" w:name="Xef85df00837e94a9c15df85f38cf2d28ac3ac4f"/>
    <w:p>
      <w:pPr>
        <w:pStyle w:val="Heading2"/>
      </w:pPr>
      <w:r>
        <w:t xml:space="preserve">Arabah, Yeshimon, and Tohu — Different Shades of Desolation</w:t>
      </w:r>
    </w:p>
    <w:p>
      <w:pPr>
        <w:pStyle w:val="FirstParagraph"/>
      </w:pPr>
      <w:r>
        <w:t xml:space="preserve">Several other Hebrew words sharpen the picture.</w:t>
      </w:r>
      <w:r>
        <w:t xml:space="preserve"> </w:t>
      </w:r>
      <w:r>
        <w:rPr>
          <w:iCs/>
          <w:i/>
        </w:rPr>
        <w:t xml:space="preserve">Arabah</w:t>
      </w:r>
      <w:r>
        <w:t xml:space="preserve"> </w:t>
      </w:r>
      <w:r>
        <w:t xml:space="preserve">(עֲרָבָה) can describe the arid rift valley or a desert plain.</w:t>
      </w:r>
      <w:r>
        <w:t xml:space="preserve"> </w:t>
      </w:r>
      <w:r>
        <w:rPr>
          <w:iCs/>
          <w:i/>
        </w:rPr>
        <w:t xml:space="preserve">Yeshimon</w:t>
      </w:r>
      <w:r>
        <w:t xml:space="preserve"> </w:t>
      </w:r>
      <w:r>
        <w:t xml:space="preserve">(יְשִׁימוֹן) emphasizes waste or desolation and appears in Deuteronomy 32:10, where God finds Israel in</w:t>
      </w:r>
      <w:r>
        <w:t xml:space="preserve"> </w:t>
      </w:r>
      <w:r>
        <w:t xml:space="preserve">“</w:t>
      </w:r>
      <w:r>
        <w:t xml:space="preserve">a desert land</w:t>
      </w:r>
      <w:r>
        <w:t xml:space="preserve">”</w:t>
      </w:r>
      <w:r>
        <w:t xml:space="preserve"> </w:t>
      </w:r>
      <w:r>
        <w:t xml:space="preserve">and</w:t>
      </w:r>
      <w:r>
        <w:t xml:space="preserve"> </w:t>
      </w:r>
      <w:r>
        <w:t xml:space="preserve">“</w:t>
      </w:r>
      <w:r>
        <w:t xml:space="preserve">the howling waste of a wilderness.</w:t>
      </w:r>
      <w:r>
        <w:t xml:space="preserve">”</w:t>
      </w:r>
      <w:r>
        <w:t xml:space="preserve"> </w:t>
      </w:r>
      <w:r>
        <w:rPr>
          <w:iCs/>
          <w:i/>
        </w:rPr>
        <w:t xml:space="preserve">Tohu</w:t>
      </w:r>
      <w:r>
        <w:t xml:space="preserve"> </w:t>
      </w:r>
      <w:r>
        <w:t xml:space="preserve">(תֹּהוּ), familiar from Genesis 1:2 as</w:t>
      </w:r>
      <w:r>
        <w:t xml:space="preserve"> </w:t>
      </w:r>
      <w:r>
        <w:t xml:space="preserve">“</w:t>
      </w:r>
      <w:r>
        <w:t xml:space="preserve">formless,</w:t>
      </w:r>
      <w:r>
        <w:t xml:space="preserve">”</w:t>
      </w:r>
      <w:r>
        <w:t xml:space="preserve"> </w:t>
      </w:r>
      <w:r>
        <w:t xml:space="preserve">appears in the same verse for the wasteland. Deuteronomy deliberately uses creation-like language: God surrounds, cares for, and guards Israel in a place of disorder. The exodus is thus narrated as a new creation in which God forms a people amid the waste.</w:t>
      </w:r>
    </w:p>
    <w:p>
      <w:pPr>
        <w:pStyle w:val="BodyText"/>
      </w:pPr>
      <w:r>
        <w:t xml:space="preserve">The vocabulary prevents a flat reading. Biblical wilderness can be grazing land, trackless waste, geographical desert, or symbolic desolation. Context determines the emphasis. Its unified theological feature is not uniform climate but life beyond ordinary human control.</w:t>
      </w:r>
    </w:p>
    <w:bookmarkEnd w:id="27"/>
    <w:bookmarkStart w:id="28" w:name="Xd8664c9d99a4c4b72562ef540162d493d9b63c9"/>
    <w:p>
      <w:pPr>
        <w:pStyle w:val="Heading2"/>
      </w:pPr>
      <w:r>
        <w:t xml:space="preserve">Erēmos (ἔρημος) — Deserted, Solitary, Wilderness</w:t>
      </w:r>
    </w:p>
    <w:p>
      <w:pPr>
        <w:pStyle w:val="FirstParagraph"/>
      </w:pPr>
      <w:r>
        <w:t xml:space="preserve">The principal Greek term is</w:t>
      </w:r>
      <w:r>
        <w:t xml:space="preserve"> </w:t>
      </w:r>
      <w:r>
        <w:rPr>
          <w:iCs/>
          <w:i/>
        </w:rPr>
        <w:t xml:space="preserve">erēmos</w:t>
      </w:r>
      <w:r>
        <w:t xml:space="preserve"> </w:t>
      </w:r>
      <w:r>
        <w:t xml:space="preserve">(ἔρημος; Strong’s G2048), functioning as an adjective (</w:t>
      </w:r>
      <w:r>
        <w:t xml:space="preserve">“</w:t>
      </w:r>
      <w:r>
        <w:t xml:space="preserve">deserted,</w:t>
      </w:r>
      <w:r>
        <w:t xml:space="preserve">”</w:t>
      </w:r>
      <w:r>
        <w:t xml:space="preserve"> </w:t>
      </w:r>
      <w:r>
        <w:t xml:space="preserve">“</w:t>
      </w:r>
      <w:r>
        <w:t xml:space="preserve">solitary</w:t>
      </w:r>
      <w:r>
        <w:t xml:space="preserve">”</w:t>
      </w:r>
      <w:r>
        <w:t xml:space="preserve">) or substantivally (</w:t>
      </w:r>
      <w:r>
        <w:t xml:space="preserve">“</w:t>
      </w:r>
      <w:r>
        <w:t xml:space="preserve">the wilderness</w:t>
      </w:r>
      <w:r>
        <w:t xml:space="preserve">”</w:t>
      </w:r>
      <w:r>
        <w:t xml:space="preserve">). The Septuagint regularly uses it for</w:t>
      </w:r>
      <w:r>
        <w:t xml:space="preserve"> </w:t>
      </w:r>
      <w:r>
        <w:rPr>
          <w:iCs/>
          <w:i/>
        </w:rPr>
        <w:t xml:space="preserve">midbar</w:t>
      </w:r>
      <w:r>
        <w:t xml:space="preserve">, carrying Israel’s wilderness memory into the New Testament. When John preaches</w:t>
      </w:r>
      <w:r>
        <w:t xml:space="preserve"> </w:t>
      </w:r>
      <w:r>
        <w:t xml:space="preserve">“</w:t>
      </w:r>
      <w:r>
        <w:t xml:space="preserve">in the wilderness,</w:t>
      </w:r>
      <w:r>
        <w:t xml:space="preserve">”</w:t>
      </w:r>
      <w:r>
        <w:t xml:space="preserve"> </w:t>
      </w:r>
      <w:r>
        <w:t xml:space="preserve">and when Jesus is driven</w:t>
      </w:r>
      <w:r>
        <w:t xml:space="preserve"> </w:t>
      </w:r>
      <w:r>
        <w:t xml:space="preserve">“</w:t>
      </w:r>
      <w:r>
        <w:t xml:space="preserve">into the wilderness,</w:t>
      </w:r>
      <w:r>
        <w:t xml:space="preserve">”</w:t>
      </w:r>
      <w:r>
        <w:t xml:space="preserve"> </w:t>
      </w:r>
      <w:r>
        <w:t xml:space="preserve">the word is already filled with Exodus, Numbers, Deuteronomy, Isaiah, and Elijah.</w:t>
      </w:r>
    </w:p>
    <w:p>
      <w:pPr>
        <w:pStyle w:val="BodyText"/>
      </w:pPr>
      <w:r>
        <w:t xml:space="preserve">The related noun</w:t>
      </w:r>
      <w:r>
        <w:t xml:space="preserve"> </w:t>
      </w:r>
      <w:r>
        <w:rPr>
          <w:iCs/>
          <w:i/>
        </w:rPr>
        <w:t xml:space="preserve">erēmia</w:t>
      </w:r>
      <w:r>
        <w:t xml:space="preserve"> </w:t>
      </w:r>
      <w:r>
        <w:t xml:space="preserve">(ἐρημία) denotes a desert or desolate region. The verb</w:t>
      </w:r>
      <w:r>
        <w:t xml:space="preserve"> </w:t>
      </w:r>
      <w:r>
        <w:rPr>
          <w:iCs/>
          <w:i/>
        </w:rPr>
        <w:t xml:space="preserve">erēmoō</w:t>
      </w:r>
      <w:r>
        <w:t xml:space="preserve"> </w:t>
      </w:r>
      <w:r>
        <w:t xml:space="preserve">can mean to make desolate. This family of words joins geography and theology: a place without settlement may become the location of encounter with God, while a once-flourishing city under judgment may become</w:t>
      </w:r>
      <w:r>
        <w:t xml:space="preserve"> </w:t>
      </w:r>
      <w:r>
        <w:t xml:space="preserve">“</w:t>
      </w:r>
      <w:r>
        <w:t xml:space="preserve">desolate.</w:t>
      </w:r>
      <w:r>
        <w:t xml:space="preserve">”</w:t>
      </w:r>
      <w:r>
        <w:t xml:space="preserve"> </w:t>
      </w:r>
      <w:r>
        <w:t xml:space="preserve">Wilderness may therefore be either the starting point of restoration or the result of covenant curse.</w:t>
      </w:r>
    </w:p>
    <w:bookmarkEnd w:id="28"/>
    <w:bookmarkStart w:id="29" w:name="X9f18794ebdf6ed3a29df908b0f623a1f1f50aa3"/>
    <w:p>
      <w:pPr>
        <w:pStyle w:val="Heading2"/>
      </w:pPr>
      <w:r>
        <w:t xml:space="preserve">Nasah (נָסָה) and Peirazō (πειράζω) — Test and Tempt</w:t>
      </w:r>
    </w:p>
    <w:p>
      <w:pPr>
        <w:pStyle w:val="FirstParagraph"/>
      </w:pPr>
      <w:r>
        <w:t xml:space="preserve">The Hebrew verb</w:t>
      </w:r>
      <w:r>
        <w:t xml:space="preserve"> </w:t>
      </w:r>
      <w:r>
        <w:rPr>
          <w:iCs/>
          <w:i/>
        </w:rPr>
        <w:t xml:space="preserve">nasah</w:t>
      </w:r>
      <w:r>
        <w:t xml:space="preserve"> </w:t>
      </w:r>
      <w:r>
        <w:t xml:space="preserve">means to test, try, or prove. God tests Abraham in Genesis 22:1 and Israel in Exodus 15:25; 16:4; and Deuteronomy 8:2. The purpose is not that the omniscient God might acquire information. Testing brings the heart’s allegiance into historical expression. What is hidden becomes enacted.</w:t>
      </w:r>
    </w:p>
    <w:p>
      <w:pPr>
        <w:pStyle w:val="BodyText"/>
      </w:pPr>
      <w:r>
        <w:t xml:space="preserve">The Greek</w:t>
      </w:r>
      <w:r>
        <w:t xml:space="preserve"> </w:t>
      </w:r>
      <w:r>
        <w:rPr>
          <w:iCs/>
          <w:i/>
        </w:rPr>
        <w:t xml:space="preserve">peirazō</w:t>
      </w:r>
      <w:r>
        <w:t xml:space="preserve"> </w:t>
      </w:r>
      <w:r>
        <w:t xml:space="preserve">can mean either</w:t>
      </w:r>
      <w:r>
        <w:t xml:space="preserve"> </w:t>
      </w:r>
      <w:r>
        <w:t xml:space="preserve">“</w:t>
      </w:r>
      <w:r>
        <w:t xml:space="preserve">test</w:t>
      </w:r>
      <w:r>
        <w:t xml:space="preserve">”</w:t>
      </w:r>
      <w:r>
        <w:t xml:space="preserve"> </w:t>
      </w:r>
      <w:r>
        <w:t xml:space="preserve">or</w:t>
      </w:r>
      <w:r>
        <w:t xml:space="preserve"> </w:t>
      </w:r>
      <w:r>
        <w:t xml:space="preserve">“</w:t>
      </w:r>
      <w:r>
        <w:t xml:space="preserve">tempt,</w:t>
      </w:r>
      <w:r>
        <w:t xml:space="preserve">”</w:t>
      </w:r>
      <w:r>
        <w:t xml:space="preserve"> </w:t>
      </w:r>
      <w:r>
        <w:t xml:space="preserve">with context supplying the moral direction. Matthew 4:1 says Jesus is led by the Spirit to be tempted by the devil. The Spirit sovereignly orders the occasion of testing; the devil maliciously seeks disobedience. James 1:13 excludes the conclusion that God entices anyone to evil. One event may be a holy test in God’s providence and an evil temptation in Satan’s intention, without confusing their agencies or purposes.</w:t>
      </w:r>
    </w:p>
    <w:tbl>
      <w:tblPr>
        <w:tblStyle w:val="Table"/>
        <w:tblW w:type="dxa" w:w="9360"/>
        <w:tblLayout w:type="fixed"/>
        <w:tblLook w:firstRow="1" w:lastRow="0" w:firstColumn="0" w:lastColumn="0" w:noHBand="0" w:noVBand="0" w:val="0020"/>
        <w:jc w:val="start"/>
      </w:tblPr>
      <w:tblGrid>
        <w:gridCol w:w="1512"/>
        <w:gridCol w:w="1944"/>
        <w:gridCol w:w="2232"/>
        <w:gridCol w:w="3672"/>
      </w:tblGrid>
      <w:tr>
        <w:trPr>
          <w:tblHeader w:val="true"/>
          <w:tblHeader w:val="true"/>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Term</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Basic Sense</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Representative Texts</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Theological Emphasis</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iCs/>
                <w:i/>
                <w:color w:val="222222"/>
                <w:sz w:val="18"/>
              </w:rPr>
              <w:t xml:space="preserve">Midbar</w:t>
            </w:r>
            <w:r>
              <w:rPr>
                <w:color w:val="222222"/>
                <w:sz w:val="18"/>
              </w:rPr>
              <w:t xml:space="preserve"> </w:t>
            </w:r>
            <w:r>
              <w:rPr>
                <w:color w:val="222222"/>
                <w:sz w:val="18"/>
              </w:rPr>
              <w:t xml:space="preserve">(מִדְבָּר)</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Wilderness, uncultivated steppe</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Exodus 3:1; Deuteronomy 8:2</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Dependence outside settled security</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iCs/>
                <w:i/>
                <w:color w:val="222222"/>
                <w:sz w:val="18"/>
              </w:rPr>
              <w:t xml:space="preserve">Yeshimon</w:t>
            </w:r>
            <w:r>
              <w:rPr>
                <w:color w:val="222222"/>
                <w:sz w:val="18"/>
              </w:rPr>
              <w:t xml:space="preserve"> </w:t>
            </w:r>
            <w:r>
              <w:rPr>
                <w:color w:val="222222"/>
                <w:sz w:val="18"/>
              </w:rPr>
              <w:t xml:space="preserve">(יְשִׁימוֹן)</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Waste, desolation</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Deuteronomy 32:10; Psalm 78:40</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Danger and preserving grace</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iCs/>
                <w:i/>
                <w:color w:val="222222"/>
                <w:sz w:val="18"/>
              </w:rPr>
              <w:t xml:space="preserve">Erēmos</w:t>
            </w:r>
            <w:r>
              <w:rPr>
                <w:color w:val="222222"/>
                <w:sz w:val="18"/>
              </w:rPr>
              <w:t xml:space="preserve"> </w:t>
            </w:r>
            <w:r>
              <w:rPr>
                <w:color w:val="222222"/>
                <w:sz w:val="18"/>
              </w:rPr>
              <w:t xml:space="preserve">(ἔρημος)</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Solitary or wilderness place</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Matthew 3:1; 4:1; Mark 1:35</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New exodus, testing, prayer</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iCs/>
                <w:i/>
                <w:color w:val="222222"/>
                <w:sz w:val="18"/>
              </w:rPr>
              <w:t xml:space="preserve">Nasah</w:t>
            </w:r>
            <w:r>
              <w:rPr>
                <w:color w:val="222222"/>
                <w:sz w:val="18"/>
              </w:rPr>
              <w:t xml:space="preserve"> </w:t>
            </w:r>
            <w:r>
              <w:rPr>
                <w:color w:val="222222"/>
                <w:sz w:val="18"/>
              </w:rPr>
              <w:t xml:space="preserve">(נָסָה)</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Test, prove</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Exodus 16:4; Deuteronomy 8:2</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The heart disclosed in history</w:t>
            </w:r>
          </w:p>
        </w:tc>
      </w:tr>
      <w:tr>
        <w:trPr>
          <w:cantSplit/>
        </w:trPr>
        <w:tc>
          <w:tcPr>
            <w:tcW w:type="dxa" w:w="151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iCs/>
                <w:i/>
                <w:color w:val="222222"/>
                <w:sz w:val="18"/>
              </w:rPr>
              <w:t xml:space="preserve">Peirazō</w:t>
            </w:r>
            <w:r>
              <w:rPr>
                <w:color w:val="222222"/>
                <w:sz w:val="18"/>
              </w:rPr>
              <w:t xml:space="preserve"> </w:t>
            </w:r>
            <w:r>
              <w:rPr>
                <w:color w:val="222222"/>
                <w:sz w:val="18"/>
              </w:rPr>
              <w:t xml:space="preserve">(πειράζω)</w:t>
            </w:r>
          </w:p>
        </w:tc>
        <w:tc>
          <w:tcPr>
            <w:tcW w:type="dxa" w:w="194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Test or tempt</w:t>
            </w:r>
          </w:p>
        </w:tc>
        <w:tc>
          <w:tcPr>
            <w:tcW w:type="dxa" w:w="223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Matthew 4:1; Hebrews 3:9</w:t>
            </w:r>
          </w:p>
        </w:tc>
        <w:tc>
          <w:tcPr>
            <w:tcW w:type="dxa" w:w="367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Context distinguishes holy testing from evil enticement</w:t>
            </w:r>
          </w:p>
        </w:tc>
      </w:tr>
    </w:tbl>
    <w:bookmarkEnd w:id="29"/>
    <w:bookmarkEnd w:id="30"/>
    <w:bookmarkStart w:id="34" w:name="Xb7818935e40286f8f60e140d125f8a467993448"/>
    <w:p>
      <w:pPr>
        <w:pStyle w:val="Heading1"/>
      </w:pPr>
      <w:r>
        <w:t xml:space="preserve">SECTION 2: BEFORE ISRAEL — EDEN, EXILE, AND THE WILDERNESS PATTERN</w:t>
      </w:r>
    </w:p>
    <w:bookmarkStart w:id="31" w:name="eden-and-the-movement-eastward"/>
    <w:p>
      <w:pPr>
        <w:pStyle w:val="Heading2"/>
      </w:pPr>
      <w:r>
        <w:t xml:space="preserve">Eden and the Movement Eastward</w:t>
      </w:r>
    </w:p>
    <w:p>
      <w:pPr>
        <w:pStyle w:val="FirstParagraph"/>
      </w:pPr>
      <w:r>
        <w:t xml:space="preserve">Genesis does not call the land outside Eden a wilderness, but it establishes the theological grammar later wilderness narratives develop. Eden is a divinely planted sanctuary with abundant food, a river, ordered boundaries, priestly vocation, and the presence of God. After rebellion, Adam and Eve are driven eastward into ground that yields thorns and requires painful labor (Genesis 3:17–24). Cain moves farther east after shedding innocent blood (Genesis 4:12–16). Sin produces exile from sacred presence into restless wandering.</w:t>
      </w:r>
    </w:p>
    <w:p>
      <w:pPr>
        <w:pStyle w:val="BodyText"/>
      </w:pPr>
      <w:r>
        <w:t xml:space="preserve">The Bible’s wilderness pattern is therefore related to exile without being identical to it. Outside the garden, humanity experiences scarcity, danger, and distance. Yet God does not cease to speak or provide. He clothes the first pair, marks Cain for protection, preserves Noah through the de-creation of the flood, and begins a movement of promised return. Later sanctuary imagery—cherubim, lampstand, precious materials, and eastward entrance—will connect Eden to the tabernacle erected in the wilderness. God meets exiles and constructs a portable Eden in their midst.</w:t>
      </w:r>
    </w:p>
    <w:bookmarkEnd w:id="31"/>
    <w:bookmarkStart w:id="32" w:name="hagar-seen-by-god-in-the-wilderness"/>
    <w:p>
      <w:pPr>
        <w:pStyle w:val="Heading2"/>
      </w:pPr>
      <w:r>
        <w:t xml:space="preserve">Hagar: Seen by God in the Wilderness</w:t>
      </w:r>
    </w:p>
    <w:p>
      <w:pPr>
        <w:pStyle w:val="FirstParagraph"/>
      </w:pPr>
      <w:r>
        <w:t xml:space="preserve">Hagar’s two wilderness accounts prevent the theme from belonging only to male leaders or to national Israel. In Genesis 16 she flees Sarai’s harsh treatment and encounters the angel of the LORD by a spring on the way to Shur. In Genesis 21 she and Ishmael face death in the wilderness of Beersheba after their water is exhausted. God hears the boy, opens Hagar’s eyes to a well, and preserves him.</w:t>
      </w:r>
    </w:p>
    <w:p>
      <w:pPr>
        <w:pStyle w:val="BodyText"/>
      </w:pPr>
      <w:r>
        <w:t xml:space="preserve">These texts do not erase the covenantal distinction between Isaac and Ishmael. The promised line continues through Isaac. Nevertheless, the God of the covenant sees an afflicted Egyptian servant and hears a child outside the tents of Abraham. Divine election is never divine blindness. Wilderness provision rests upon God’s compassion, not upon the social power of the recipient. Hagar names God as the One who sees her; the unseen sufferer discovers that the wilderness is not outside divine attention.</w:t>
      </w:r>
    </w:p>
    <w:bookmarkEnd w:id="32"/>
    <w:bookmarkStart w:id="33" w:name="abraham-isaac-and-jacob-as-sojourners"/>
    <w:p>
      <w:pPr>
        <w:pStyle w:val="Heading2"/>
      </w:pPr>
      <w:r>
        <w:t xml:space="preserve">Abraham, Isaac, and Jacob as Sojourners</w:t>
      </w:r>
    </w:p>
    <w:p>
      <w:pPr>
        <w:pStyle w:val="FirstParagraph"/>
      </w:pPr>
      <w:r>
        <w:t xml:space="preserve">The patriarchs inhabit the promised land without possessing it in fullness. Hebrews 11:9 describes Abraham as living there</w:t>
      </w:r>
      <w:r>
        <w:t xml:space="preserve"> </w:t>
      </w:r>
      <w:r>
        <w:t xml:space="preserve">“</w:t>
      </w:r>
      <w:r>
        <w:t xml:space="preserve">as in a foreign land.</w:t>
      </w:r>
      <w:r>
        <w:t xml:space="preserve">”</w:t>
      </w:r>
      <w:r>
        <w:t xml:space="preserve"> </w:t>
      </w:r>
      <w:r>
        <w:t xml:space="preserve">Their tents embody provisional life. Wells must be dug, famine threatens, hostile rulers loom, and burial property must be purchased. Pilgrimage begins before the exodus: promise is possessed by faith before it is possessed by sight.</w:t>
      </w:r>
    </w:p>
    <w:p>
      <w:pPr>
        <w:pStyle w:val="BodyText"/>
      </w:pPr>
      <w:r>
        <w:t xml:space="preserve">This distinction matters for later church application. Biblical pilgrimage is not contempt for creation or refusal of ordinary responsibilities. Abraham raises a household, acquires property, makes covenants, and buries Sarah with hope. Pilgrimage means that no present arrangement is mistaken for the final city whose architect and builder is God.</w:t>
      </w:r>
    </w:p>
    <w:bookmarkEnd w:id="33"/>
    <w:bookmarkEnd w:id="34"/>
    <w:bookmarkStart w:id="40" w:name="X13d1a65ee7f4d35ac11c3fc4198b97c570d4e5a"/>
    <w:p>
      <w:pPr>
        <w:pStyle w:val="Heading1"/>
      </w:pPr>
      <w:r>
        <w:t xml:space="preserve">SECTION 3: EXODUS 15–18 — THE WILDERNESS SCHOOL OF DEPENDENCE</w:t>
      </w:r>
    </w:p>
    <w:bookmarkStart w:id="35" w:name="god-leads-israel-into-the-wilderness"/>
    <w:p>
      <w:pPr>
        <w:pStyle w:val="Heading2"/>
      </w:pPr>
      <w:r>
        <w:t xml:space="preserve">God Leads Israel into the Wilderness</w:t>
      </w:r>
    </w:p>
    <w:p>
      <w:pPr>
        <w:pStyle w:val="FirstParagraph"/>
      </w:pPr>
      <w:r>
        <w:t xml:space="preserve">Israel does not enter the wilderness because Pharaoh defeats the escape. God deliberately leads them by a route that avoids the land of the Philistines (Exodus 13:17–18). The pillar of cloud and fire makes divine guidance visible. This immediately corrects a common mistake: difficult geography is not proof of absent guidance. Israel can be exactly where God has led and still stand before bitter water, empty food stores, hostile armies, and its own fear.</w:t>
      </w:r>
    </w:p>
    <w:p>
      <w:pPr>
        <w:pStyle w:val="BodyText"/>
      </w:pPr>
      <w:r>
        <w:t xml:space="preserve">The order of grace is decisive. God redeems Israel from slavery before giving the covenant law at Sinai. The wilderness does not become a probation by which slaves earn exodus. Redeemed people are tested concerning whether they will trust the Redeemer. Obedience is the response to deliverance, never its purchasing price.</w:t>
      </w:r>
    </w:p>
    <w:bookmarkEnd w:id="35"/>
    <w:bookmarkStart w:id="36" w:name="marah-bitter-water-and-a-testing-statute"/>
    <w:p>
      <w:pPr>
        <w:pStyle w:val="Heading2"/>
      </w:pPr>
      <w:r>
        <w:t xml:space="preserve">Marah — Bitter Water and a Testing Statute</w:t>
      </w:r>
    </w:p>
    <w:p>
      <w:pPr>
        <w:pStyle w:val="FirstParagraph"/>
      </w:pPr>
      <w:r>
        <w:t xml:space="preserve">After the song at the sea, Israel travels three days without water and finds the water at Marah undrinkable (Exodus 15:22–25). The sudden movement from doxology to grumbling is intentional. Liturgical celebration has not yet matured into durable trust. Moses cries to God; God shows him a tree or piece of wood; the waters become sweet. There God makes a statute and</w:t>
      </w:r>
      <w:r>
        <w:t xml:space="preserve"> </w:t>
      </w:r>
      <w:r>
        <w:t xml:space="preserve">“</w:t>
      </w:r>
      <w:r>
        <w:t xml:space="preserve">tested them.</w:t>
      </w:r>
      <w:r>
        <w:t xml:space="preserve">”</w:t>
      </w:r>
    </w:p>
    <w:p>
      <w:pPr>
        <w:pStyle w:val="BodyText"/>
      </w:pPr>
      <w:r>
        <w:t xml:space="preserve">The test concerns hearing:</w:t>
      </w:r>
      <w:r>
        <w:t xml:space="preserve"> </w:t>
      </w:r>
      <w:r>
        <w:t xml:space="preserve">“</w:t>
      </w:r>
      <w:r>
        <w:t xml:space="preserve">If you will earnestly listen to the voice of the LORD your God</w:t>
      </w:r>
      <w:r>
        <w:t xml:space="preserve">”</w:t>
      </w:r>
      <w:r>
        <w:t xml:space="preserve"> </w:t>
      </w:r>
      <w:r>
        <w:t xml:space="preserve">(15:26). Wilderness faith is auditory before it is visual. Israel must order itself by God’s word while circumstances still taste bitter. The episode closes with the divine name and promise,</w:t>
      </w:r>
      <w:r>
        <w:t xml:space="preserve"> </w:t>
      </w:r>
      <w:r>
        <w:t xml:space="preserve">“</w:t>
      </w:r>
      <w:r>
        <w:t xml:space="preserve">I, the LORD, am your healer,</w:t>
      </w:r>
      <w:r>
        <w:t xml:space="preserve">”</w:t>
      </w:r>
      <w:r>
        <w:t xml:space="preserve"> </w:t>
      </w:r>
      <w:r>
        <w:t xml:space="preserve">and then with Elim’s twelve springs and seventy palms. Marah is real, but it is not the whole journey.</w:t>
      </w:r>
    </w:p>
    <w:bookmarkEnd w:id="36"/>
    <w:bookmarkStart w:id="37" w:name="manna-bread-that-cannot-be-hoarded"/>
    <w:p>
      <w:pPr>
        <w:pStyle w:val="Heading2"/>
      </w:pPr>
      <w:r>
        <w:t xml:space="preserve">Manna — Bread That Cannot Be Hoarded</w:t>
      </w:r>
    </w:p>
    <w:p>
      <w:pPr>
        <w:pStyle w:val="FirstParagraph"/>
      </w:pPr>
      <w:r>
        <w:t xml:space="preserve">Exodus 16 is the central provision narrative. God announces that he will rain bread from heaven</w:t>
      </w:r>
      <w:r>
        <w:t xml:space="preserve"> </w:t>
      </w:r>
      <w:r>
        <w:t xml:space="preserve">“</w:t>
      </w:r>
      <w:r>
        <w:t xml:space="preserve">in order that I may test them, whether or not they will walk in My instruction</w:t>
      </w:r>
      <w:r>
        <w:t xml:space="preserve">”</w:t>
      </w:r>
      <w:r>
        <w:t xml:space="preserve"> </w:t>
      </w:r>
      <w:r>
        <w:t xml:space="preserve">(16:4). The test is embedded in the gift. Each household gathers enough for the day. Hoarded manna breeds worms; on the sixth day a double portion is gathered; on the seventh none falls. Provision teaches daily dependence and Sabbath trust.</w:t>
      </w:r>
    </w:p>
    <w:p>
      <w:pPr>
        <w:pStyle w:val="BodyText"/>
      </w:pPr>
      <w:r>
        <w:t xml:space="preserve">The Hebrew question</w:t>
      </w:r>
      <w:r>
        <w:t xml:space="preserve"> </w:t>
      </w:r>
      <w:r>
        <w:rPr>
          <w:iCs/>
          <w:i/>
        </w:rPr>
        <w:t xml:space="preserve">man hu?</w:t>
      </w:r>
      <w:r>
        <w:t xml:space="preserve">—</w:t>
      </w:r>
      <w:r>
        <w:t xml:space="preserve">“</w:t>
      </w:r>
      <w:r>
        <w:t xml:space="preserve">What is it?</w:t>
      </w:r>
      <w:r>
        <w:t xml:space="preserve">”</w:t>
      </w:r>
      <w:r>
        <w:t xml:space="preserve">—lies behind the name manna. Israel lives for forty years on a gift it cannot finally explain or produce. The bread arrives with the dew, cannot be commercialized at its source, and equalizes the community:</w:t>
      </w:r>
      <w:r>
        <w:t xml:space="preserve"> </w:t>
      </w:r>
      <w:r>
        <w:t xml:space="preserve">“</w:t>
      </w:r>
      <w:r>
        <w:t xml:space="preserve">he who gathered much had no excess, and he who gathered little had no lack</w:t>
      </w:r>
      <w:r>
        <w:t xml:space="preserve">”</w:t>
      </w:r>
      <w:r>
        <w:t xml:space="preserve"> </w:t>
      </w:r>
      <w:r>
        <w:t xml:space="preserve">(16:18; cited in 2 Corinthians 8:15). Divine provision creates an ethic of sufficiency and generosity, not a theology of limitless accumulation.</w:t>
      </w:r>
    </w:p>
    <w:p>
      <w:pPr>
        <w:pStyle w:val="BodyText"/>
      </w:pPr>
      <w:r>
        <w:t xml:space="preserve">The preserved omer placed before the testimony turns daily bread into covenant memory. Future generations must know that Israel did not feed itself in the wilderness. Memory is essential because abundance can later rewrite the past and persuade a settled people that its own power created its wealth (Deuteronomy 8:17).</w:t>
      </w:r>
    </w:p>
    <w:bookmarkEnd w:id="37"/>
    <w:bookmarkStart w:id="38" w:name="massah-and-meribah-testing-god"/>
    <w:p>
      <w:pPr>
        <w:pStyle w:val="Heading2"/>
      </w:pPr>
      <w:r>
        <w:t xml:space="preserve">Massah and Meribah — Testing God</w:t>
      </w:r>
    </w:p>
    <w:p>
      <w:pPr>
        <w:pStyle w:val="FirstParagraph"/>
      </w:pPr>
      <w:r>
        <w:t xml:space="preserve">At Rephidim the people again lack water (Exodus 17:1–7). Their quarrel escalates beyond request:</w:t>
      </w:r>
      <w:r>
        <w:t xml:space="preserve"> </w:t>
      </w:r>
      <w:r>
        <w:t xml:space="preserve">“</w:t>
      </w:r>
      <w:r>
        <w:t xml:space="preserve">Is the LORD among us, or not?</w:t>
      </w:r>
      <w:r>
        <w:t xml:space="preserve">”</w:t>
      </w:r>
      <w:r>
        <w:t xml:space="preserve"> </w:t>
      </w:r>
      <w:r>
        <w:t xml:space="preserve">Moses names the place Massah (</w:t>
      </w:r>
      <w:r>
        <w:t xml:space="preserve">“</w:t>
      </w:r>
      <w:r>
        <w:t xml:space="preserve">testing</w:t>
      </w:r>
      <w:r>
        <w:t xml:space="preserve">”</w:t>
      </w:r>
      <w:r>
        <w:t xml:space="preserve">) and Meribah (</w:t>
      </w:r>
      <w:r>
        <w:t xml:space="preserve">“</w:t>
      </w:r>
      <w:r>
        <w:t xml:space="preserve">quarreling</w:t>
      </w:r>
      <w:r>
        <w:t xml:space="preserve">”</w:t>
      </w:r>
      <w:r>
        <w:t xml:space="preserve">). In Exodus 15–16, God tests Israel; in Exodus 17, Israel tests God. The reversal is morally significant. Faith receives God’s test as the summons of a faithful Lord. Unbelief places God in the dock and demands that he prove his presence on terms dictated by the creature.</w:t>
      </w:r>
    </w:p>
    <w:p>
      <w:pPr>
        <w:pStyle w:val="BodyText"/>
      </w:pPr>
      <w:r>
        <w:t xml:space="preserve">God nevertheless commands Moses to strike the rock at Horeb, and water comes out. The elders witness the act, and the staff associated with Nile judgment is used in the provision. Judgment falls symbolically upon the rock so that the grumbling people may drink. Paul will later identify the typological source of their provision with Christ (1 Corinthians 10:4). The point is not that a literal stone followed the camp, but that the preexistent Christ was the divine giver signified in their sustaining rock.</w:t>
      </w:r>
    </w:p>
    <w:bookmarkEnd w:id="38"/>
    <w:bookmarkStart w:id="39" w:name="amalek-dependence-in-conflict"/>
    <w:p>
      <w:pPr>
        <w:pStyle w:val="Heading2"/>
      </w:pPr>
      <w:r>
        <w:t xml:space="preserve">Amalek — Dependence in Conflict</w:t>
      </w:r>
    </w:p>
    <w:p>
      <w:pPr>
        <w:pStyle w:val="FirstParagraph"/>
      </w:pPr>
      <w:r>
        <w:t xml:space="preserve">Exodus 17:8–16 adds military threat. Joshua fights below while Moses, Aaron, and Hur remain above. Israel’s success corresponds to Moses’ raised hands, yet those hands grow heavy and require support. The narrative refuses both magical and self-sufficient readings. Joshua must fight, but fighting alone does not secure victory. Moses intercedes, but even the intercessor is weak. God grants victory through responsible action sustained by dependent prayer and communal support.</w:t>
      </w:r>
    </w:p>
    <w:bookmarkEnd w:id="39"/>
    <w:bookmarkEnd w:id="40"/>
    <w:bookmarkStart w:id="44" w:name="Xc35797ce7d381fb87bdb38b4f960ef15bfd74dd"/>
    <w:p>
      <w:pPr>
        <w:pStyle w:val="Heading1"/>
      </w:pPr>
      <w:r>
        <w:t xml:space="preserve">SECTION 4: SINAI AND THE TABERNACLE — GOD DWELLING IN THE WILDERNESS</w:t>
      </w:r>
    </w:p>
    <w:bookmarkStart w:id="41" w:name="i-bore-you-on-eagles-wings"/>
    <w:p>
      <w:pPr>
        <w:pStyle w:val="Heading2"/>
      </w:pPr>
      <w:r>
        <w:t xml:space="preserve">“</w:t>
      </w:r>
      <w:r>
        <w:t xml:space="preserve">I Bore You on Eagles’ Wings</w:t>
      </w:r>
      <w:r>
        <w:t xml:space="preserve">”</w:t>
      </w:r>
    </w:p>
    <w:p>
      <w:pPr>
        <w:pStyle w:val="FirstParagraph"/>
      </w:pPr>
      <w:r>
        <w:t xml:space="preserve">At Sinai, God interprets the journey before declaring Israel’s covenant vocation:</w:t>
      </w:r>
      <w:r>
        <w:t xml:space="preserve"> </w:t>
      </w:r>
      <w:r>
        <w:t xml:space="preserve">“</w:t>
      </w:r>
      <w:r>
        <w:t xml:space="preserve">You yourselves have seen what I did to the Egyptians, and how I carried you on eagles’ wings, and brought you to Myself</w:t>
      </w:r>
      <w:r>
        <w:t xml:space="preserve">”</w:t>
      </w:r>
      <w:r>
        <w:t xml:space="preserve"> </w:t>
      </w:r>
      <w:r>
        <w:t xml:space="preserve">(Exodus 19:4). The destination is first personal—</w:t>
      </w:r>
      <w:r>
        <w:t xml:space="preserve">“</w:t>
      </w:r>
      <w:r>
        <w:t xml:space="preserve">to Myself</w:t>
      </w:r>
      <w:r>
        <w:t xml:space="preserve">”</w:t>
      </w:r>
      <w:r>
        <w:t xml:space="preserve">—before it is geographical. The land matters, but covenant communion with God is the heart of redemption.</w:t>
      </w:r>
    </w:p>
    <w:p>
      <w:pPr>
        <w:pStyle w:val="BodyText"/>
      </w:pPr>
      <w:r>
        <w:t xml:space="preserve">Israel is called a kingdom of priests and a holy nation. The wilderness is therefore formative, not merely transitional. God is constituting a people who will mediate his holy rule among the nations. Yet the golden calf reveals how quickly the redeemed imagination returns to visible gods. Geographical departure from Egypt occurs in one night; Egypt’s liturgies must be removed from Israel over a generation.</w:t>
      </w:r>
    </w:p>
    <w:bookmarkEnd w:id="41"/>
    <w:bookmarkStart w:id="42" w:name="the-tabernacle-as-portable-eden"/>
    <w:p>
      <w:pPr>
        <w:pStyle w:val="Heading2"/>
      </w:pPr>
      <w:r>
        <w:t xml:space="preserve">The Tabernacle as Portable Eden</w:t>
      </w:r>
    </w:p>
    <w:p>
      <w:pPr>
        <w:pStyle w:val="FirstParagraph"/>
      </w:pPr>
      <w:r>
        <w:t xml:space="preserve">Exodus devotes far more space to the tabernacle than to the plagues because redemption aims at divine dwelling. The sanctuary stands at the center of the camp; tribes arrange themselves around it; the cloud covers it; the glory fills it (Exodus 40:34–38). In the wilderness, Israel possesses no walled capital, permanent palace, or agricultural abundance, but it has the presence of God.</w:t>
      </w:r>
    </w:p>
    <w:p>
      <w:pPr>
        <w:pStyle w:val="BodyText"/>
      </w:pPr>
      <w:r>
        <w:t xml:space="preserve">The tabernacle’s garden imagery—cherubim, lampstand shaped like a flowering tree, precious metals, priestly guardianship—recalls Eden. God establishes a guarded holy place among exiles. Yet veils, sacrifices, and restricted access declare that return is not yet complete. Presence is gracious and dangerous because the Holy One dwells among an unclean people.</w:t>
      </w:r>
    </w:p>
    <w:bookmarkEnd w:id="42"/>
    <w:bookmarkStart w:id="43" w:name="camp-order-and-the-theology-of-presence"/>
    <w:p>
      <w:pPr>
        <w:pStyle w:val="Heading2"/>
      </w:pPr>
      <w:r>
        <w:t xml:space="preserve">Camp Order and the Theology of Presence</w:t>
      </w:r>
    </w:p>
    <w:p>
      <w:pPr>
        <w:pStyle w:val="FirstParagraph"/>
      </w:pPr>
      <w:r>
        <w:t xml:space="preserve">Numbers 2–4 organizes the camp around the sanctuary. Spatial arrangement becomes doctrine. God is not an accessory placed at the edge of Israel’s social life; his presence determines the community’s center, boundaries, movement, and holiness. When the cloud lifts, Israel moves. When it remains, Israel stays, whether for two days, a month, or longer (Numbers 9:15–23).</w:t>
      </w:r>
    </w:p>
    <w:p>
      <w:pPr>
        <w:pStyle w:val="BodyText"/>
      </w:pPr>
      <w:r>
        <w:t xml:space="preserve">Waiting is therefore one form of obedience. Israel cannot manipulate the cloud into matching its preferred schedule. Pilgrimage involves both movement and restraint under the same Lord. Modern application must preserve this point without pretending to possess Israel’s visible pillar. The church is guided normatively by Scripture and wisely through providence, prayer, and Spirit-given discernment; subjective restlessness must not be baptized as a new cloud signal.</w:t>
      </w:r>
    </w:p>
    <w:bookmarkEnd w:id="43"/>
    <w:bookmarkEnd w:id="44"/>
    <w:bookmarkStart w:id="50" w:name="Xc5242b709c4a93fc3b3aaa510f0e33c08571be0"/>
    <w:p>
      <w:pPr>
        <w:pStyle w:val="Heading1"/>
      </w:pPr>
      <w:r>
        <w:t xml:space="preserve">SECTION 5: NUMBERS — REBELLION, JUDGMENT, AND PRESERVING GRACE</w:t>
      </w:r>
    </w:p>
    <w:bookmarkStart w:id="45" w:name="the-wilderness-as-a-moral-geography"/>
    <w:p>
      <w:pPr>
        <w:pStyle w:val="Heading2"/>
      </w:pPr>
      <w:r>
        <w:t xml:space="preserve">The Wilderness as a Moral Geography</w:t>
      </w:r>
    </w:p>
    <w:p>
      <w:pPr>
        <w:pStyle w:val="FirstParagraph"/>
      </w:pPr>
      <w:r>
        <w:t xml:space="preserve">Numbers turns the wilderness into a map of remembered rebellion: Taberah (</w:t>
      </w:r>
      <w:r>
        <w:t xml:space="preserve">“</w:t>
      </w:r>
      <w:r>
        <w:t xml:space="preserve">burning</w:t>
      </w:r>
      <w:r>
        <w:t xml:space="preserve">”</w:t>
      </w:r>
      <w:r>
        <w:t xml:space="preserve">), Kibroth-hattaavah (</w:t>
      </w:r>
      <w:r>
        <w:t xml:space="preserve">“</w:t>
      </w:r>
      <w:r>
        <w:t xml:space="preserve">graves of craving</w:t>
      </w:r>
      <w:r>
        <w:t xml:space="preserve">”</w:t>
      </w:r>
      <w:r>
        <w:t xml:space="preserve">), Hazeroth, Kadesh, and the waters of Meribah. Place names become sermons. Israel’s problem is not merely lack but disordered desire. The people remember Egypt’s fish and vegetables while forgetting its bricks, beatings, and murdered sons (Numbers 11:4–6). Unbelief edits the past until slavery appears preferable to dependence upon God.</w:t>
      </w:r>
    </w:p>
    <w:bookmarkEnd w:id="45"/>
    <w:bookmarkStart w:id="46" w:name="craving-and-the-graves-of-appetite"/>
    <w:p>
      <w:pPr>
        <w:pStyle w:val="Heading2"/>
      </w:pPr>
      <w:r>
        <w:t xml:space="preserve">Craving and the Graves of Appetite</w:t>
      </w:r>
    </w:p>
    <w:p>
      <w:pPr>
        <w:pStyle w:val="FirstParagraph"/>
      </w:pPr>
      <w:r>
        <w:t xml:space="preserve">In Numbers 11 the people reject manna not because it fails to nourish but because it fails to satisfy their demand for variety and control. God gives quail in abundance, yet judgment accompanies the gift. The episode distinguishes provision from indulgence. God’s fatherly care meets need; judgment may hand rebellious desire over to the object it idolizes.</w:t>
      </w:r>
    </w:p>
    <w:p>
      <w:pPr>
        <w:pStyle w:val="BodyText"/>
      </w:pPr>
      <w:r>
        <w:t xml:space="preserve">Moses also reaches the limit of his strength. He tells God that the burden is too heavy and asks to die. God responds by placing the Spirit upon seventy elders. The answer is not rebuke alone but shared leadership. Wilderness theology must make room for finite servants whose collapse is met by structural provision. Spiritualizing every burden can conceal the practical help God himself supplies.</w:t>
      </w:r>
    </w:p>
    <w:bookmarkEnd w:id="46"/>
    <w:bookmarkStart w:id="47" w:name="the-spies-and-the-refusal-to-enter"/>
    <w:p>
      <w:pPr>
        <w:pStyle w:val="Heading2"/>
      </w:pPr>
      <w:r>
        <w:t xml:space="preserve">The Spies and the Refusal to Enter</w:t>
      </w:r>
    </w:p>
    <w:p>
      <w:pPr>
        <w:pStyle w:val="FirstParagraph"/>
      </w:pPr>
      <w:r>
        <w:t xml:space="preserve">Numbers 13–14 is the decisive crisis. Twelve spies see the same land, fortified cities, and inhabitants. Ten interpret God’s promise through the size of the giants; Joshua and Caleb interpret the giants through God’s promise. Faith does not deny the evidence. It locates the evidence within the prior speech and demonstrated power of God.</w:t>
      </w:r>
    </w:p>
    <w:p>
      <w:pPr>
        <w:pStyle w:val="BodyText"/>
      </w:pPr>
      <w:r>
        <w:t xml:space="preserve">The congregation proposes a new leader and a return to Egypt. This is covenant apostasy, not ordinary anxiety. God sentences the numbered generation to die in the wilderness over forty years, corresponding to the forty days of spying. Their children, whom they claimed would become prey, will enter the land. Judgment is both retributive and revelatory: the generation that refuses God’s rest receives the wandering it chose.</w:t>
      </w:r>
    </w:p>
    <w:p>
      <w:pPr>
        <w:pStyle w:val="BodyText"/>
      </w:pPr>
      <w:r>
        <w:t xml:space="preserve">Moses’ intercession appeals to God’s name, reputation among the nations, and self-revelation in Exodus 34. God pardons the people in the sense that he does not destroy the nation immediately, yet temporal judgment remains. Forgiveness does not always erase historical consequence. Grace preserves the promise through judgment rather than treating rebellion as morally weightless.</w:t>
      </w:r>
    </w:p>
    <w:bookmarkEnd w:id="47"/>
    <w:bookmarkStart w:id="48" w:name="Xae3403817895b3287cd0f782ba3b617424c97e7"/>
    <w:p>
      <w:pPr>
        <w:pStyle w:val="Heading2"/>
      </w:pPr>
      <w:r>
        <w:t xml:space="preserve">Korah, the Bronze Serpent, and the Ambiguity of Nearness</w:t>
      </w:r>
    </w:p>
    <w:p>
      <w:pPr>
        <w:pStyle w:val="FirstParagraph"/>
      </w:pPr>
      <w:r>
        <w:t xml:space="preserve">Korah’s rebellion (Numbers 16) shows that proximity to holy things does not guarantee humble faith. Levites given sacred service grasp for priestly office. The earth’s opening dramatizes de-creation: rebellion against God’s appointed holiness returns creatures toward the abyss. Yet Aaron then stands with incense between the dead and living, and the plague is checked. Priesthood is vindicated precisely as mediating mercy.</w:t>
      </w:r>
    </w:p>
    <w:p>
      <w:pPr>
        <w:pStyle w:val="BodyText"/>
      </w:pPr>
      <w:r>
        <w:t xml:space="preserve">Numbers 21 joins judgment and healing. Serpents expose the deadly character of the people’s speech against God and Moses. God then appoints a bronze serpent to be lifted up; the bitten person who looks lives. The means has no inherent magical power. Centuries later Hezekiah destroys it when Israel burns incense to it (2 Kings 18:4). Jesus interprets the lifted serpent typologically in John 3:14–15: the condemned image raised before the dying camp anticipates the crucified Son, who bears the curse so believers may have life.</w:t>
      </w:r>
    </w:p>
    <w:bookmarkEnd w:id="48"/>
    <w:bookmarkStart w:id="49" w:name="moses-at-meribah"/>
    <w:p>
      <w:pPr>
        <w:pStyle w:val="Heading2"/>
      </w:pPr>
      <w:r>
        <w:t xml:space="preserve">Moses at Meribah</w:t>
      </w:r>
    </w:p>
    <w:p>
      <w:pPr>
        <w:pStyle w:val="FirstParagraph"/>
      </w:pPr>
      <w:r>
        <w:t xml:space="preserve">At Numbers 20, Moses strikes the rock and speaks as though he and Aaron were the providers:</w:t>
      </w:r>
      <w:r>
        <w:t xml:space="preserve"> </w:t>
      </w:r>
      <w:r>
        <w:t xml:space="preserve">“</w:t>
      </w:r>
      <w:r>
        <w:t xml:space="preserve">Shall we bring forth water for you?</w:t>
      </w:r>
      <w:r>
        <w:t xml:space="preserve">”</w:t>
      </w:r>
      <w:r>
        <w:t xml:space="preserve"> </w:t>
      </w:r>
      <w:r>
        <w:t xml:space="preserve">God judges them for failing to treat him as holy before Israel. Moses’ long faithfulness does not make public distortion of God’s character trivial. The servant cannot possess the gift or the glory.</w:t>
      </w:r>
    </w:p>
    <w:p>
      <w:pPr>
        <w:pStyle w:val="BodyText"/>
      </w:pPr>
      <w:r>
        <w:t xml:space="preserve">Yet water still flows for the congregation. God’s provision is not validation of Moses’ act. This is pastorally important: a beneficial outcome does not retroactively sanctify a leader’s disobedience. God may mercifully feed his people while disciplining the instrument.</w:t>
      </w:r>
    </w:p>
    <w:bookmarkEnd w:id="49"/>
    <w:bookmarkEnd w:id="50"/>
    <w:bookmarkStart w:id="55" w:name="Xa45c2330ff2004f86cd5936a763b91aa9b0aac8"/>
    <w:p>
      <w:pPr>
        <w:pStyle w:val="Heading1"/>
      </w:pPr>
      <w:r>
        <w:t xml:space="preserve">SECTION 6: DEUTERONOMY 8 — THE INSPIRED THEOLOGY OF THE WILDERNESS</w:t>
      </w:r>
    </w:p>
    <w:bookmarkStart w:id="51" w:name="that-he-might-humble-you-testing-you"/>
    <w:p>
      <w:pPr>
        <w:pStyle w:val="Heading2"/>
      </w:pPr>
      <w:r>
        <w:t xml:space="preserve">“</w:t>
      </w:r>
      <w:r>
        <w:t xml:space="preserve">That He Might Humble You, Testing You</w:t>
      </w:r>
      <w:r>
        <w:t xml:space="preserve">”</w:t>
      </w:r>
    </w:p>
    <w:p>
      <w:pPr>
        <w:pStyle w:val="FirstParagraph"/>
      </w:pPr>
      <w:r>
        <w:t xml:space="preserve">Deuteronomy 8 is Scripture’s own sustained interpretation of the forty years. Moses commands Israel to remember</w:t>
      </w:r>
      <w:r>
        <w:t xml:space="preserve"> </w:t>
      </w:r>
      <w:r>
        <w:t xml:space="preserve">“</w:t>
      </w:r>
      <w:r>
        <w:t xml:space="preserve">all the way</w:t>
      </w:r>
      <w:r>
        <w:t xml:space="preserve">”</w:t>
      </w:r>
      <w:r>
        <w:t xml:space="preserve"> </w:t>
      </w:r>
      <w:r>
        <w:t xml:space="preserve">God led them. The wilderness humbled and tested them</w:t>
      </w:r>
      <w:r>
        <w:t xml:space="preserve"> </w:t>
      </w:r>
      <w:r>
        <w:t xml:space="preserve">“</w:t>
      </w:r>
      <w:r>
        <w:t xml:space="preserve">to know what was in your heart, whether you would keep His commandments or not</w:t>
      </w:r>
      <w:r>
        <w:t xml:space="preserve">”</w:t>
      </w:r>
      <w:r>
        <w:t xml:space="preserve"> </w:t>
      </w:r>
      <w:r>
        <w:t xml:space="preserve">(8:2).</w:t>
      </w:r>
      <w:r>
        <w:t xml:space="preserve"> </w:t>
      </w:r>
      <w:r>
        <w:t xml:space="preserve">“</w:t>
      </w:r>
      <w:r>
        <w:t xml:space="preserve">To know</w:t>
      </w:r>
      <w:r>
        <w:t xml:space="preserve">”</w:t>
      </w:r>
      <w:r>
        <w:t xml:space="preserve"> </w:t>
      </w:r>
      <w:r>
        <w:t xml:space="preserve">describes historical disclosure, not divine ignorance. God brings covenant allegiance out of abstraction and into embodied choices.</w:t>
      </w:r>
    </w:p>
    <w:p>
      <w:pPr>
        <w:pStyle w:val="BodyText"/>
      </w:pPr>
      <w:r>
        <w:t xml:space="preserve">Humbling is not humiliation for its own sake. It is the truthful reordering of the creature before the Creator. Hunger teaches that autonomous life is an illusion. Manna then teaches that life depends upon</w:t>
      </w:r>
      <w:r>
        <w:t xml:space="preserve"> </w:t>
      </w:r>
      <w:r>
        <w:t xml:space="preserve">“</w:t>
      </w:r>
      <w:r>
        <w:t xml:space="preserve">everything that proceeds out of the mouth of the LORD</w:t>
      </w:r>
      <w:r>
        <w:t xml:space="preserve">”</w:t>
      </w:r>
      <w:r>
        <w:t xml:space="preserve"> </w:t>
      </w:r>
      <w:r>
        <w:t xml:space="preserve">(8:3). The word does not replace bread as though bodies were irrelevant; God’s command creates, gives, and governs bread. Israel lives because the Provider speaks.</w:t>
      </w:r>
    </w:p>
    <w:bookmarkEnd w:id="51"/>
    <w:bookmarkStart w:id="52" w:name="fatherly-discipline"/>
    <w:p>
      <w:pPr>
        <w:pStyle w:val="Heading2"/>
      </w:pPr>
      <w:r>
        <w:t xml:space="preserve">Fatherly Discipline</w:t>
      </w:r>
    </w:p>
    <w:p>
      <w:pPr>
        <w:pStyle w:val="FirstParagraph"/>
      </w:pPr>
      <w:r>
        <w:t xml:space="preserve">Deuteronomy 8:5 interprets the journey relationally:</w:t>
      </w:r>
      <w:r>
        <w:t xml:space="preserve"> </w:t>
      </w:r>
      <w:r>
        <w:t xml:space="preserve">“</w:t>
      </w:r>
      <w:r>
        <w:t xml:space="preserve">as a man disciplines his son, the LORD your God disciplines you.</w:t>
      </w:r>
      <w:r>
        <w:t xml:space="preserve">”</w:t>
      </w:r>
      <w:r>
        <w:t xml:space="preserve"> </w:t>
      </w:r>
      <w:r>
        <w:t xml:space="preserve">Discipline includes correction, formation, and education within belonging. Israel is not tested to determine whether it can become God’s son; it is disciplined because God has called Israel his son (Exodus 4:22).</w:t>
      </w:r>
    </w:p>
    <w:p>
      <w:pPr>
        <w:pStyle w:val="BodyText"/>
      </w:pPr>
      <w:r>
        <w:t xml:space="preserve">This does not mean every instance of Christian suffering can be decoded as punishment for a specific sin. Job forbids that simplification; John 9:1–3 explicitly rejects it in one case; Hebrews 12 presents discipline as the Father’s broad formative work. The safe application is not</w:t>
      </w:r>
      <w:r>
        <w:t xml:space="preserve"> </w:t>
      </w:r>
      <w:r>
        <w:t xml:space="preserve">“</w:t>
      </w:r>
      <w:r>
        <w:t xml:space="preserve">hardship proves you committed a hidden offense,</w:t>
      </w:r>
      <w:r>
        <w:t xml:space="preserve">”</w:t>
      </w:r>
      <w:r>
        <w:t xml:space="preserve"> </w:t>
      </w:r>
      <w:r>
        <w:t xml:space="preserve">but</w:t>
      </w:r>
      <w:r>
        <w:t xml:space="preserve"> </w:t>
      </w:r>
      <w:r>
        <w:t xml:space="preserve">“</w:t>
      </w:r>
      <w:r>
        <w:t xml:space="preserve">no hardship places God’s children outside his fatherly government, and his holiness aims at their share in his character.</w:t>
      </w:r>
      <w:r>
        <w:t xml:space="preserve">”</w:t>
      </w:r>
    </w:p>
    <w:bookmarkEnd w:id="52"/>
    <w:bookmarkStart w:id="53" w:name="the-greater-danger-of-abundance"/>
    <w:p>
      <w:pPr>
        <w:pStyle w:val="Heading2"/>
      </w:pPr>
      <w:r>
        <w:t xml:space="preserve">The Greater Danger of Abundance</w:t>
      </w:r>
    </w:p>
    <w:p>
      <w:pPr>
        <w:pStyle w:val="FirstParagraph"/>
      </w:pPr>
      <w:r>
        <w:t xml:space="preserve">The chapter’s surprising turn is that Canaan may be spiritually more dangerous than the wilderness. In scarcity Israel cries out, even sinfully, because need is obvious. In abundance houses, herds, silver, and gold multiply; then the heart may become proud and forget God (8:12–14). The confession</w:t>
      </w:r>
      <w:r>
        <w:t xml:space="preserve"> </w:t>
      </w:r>
      <w:r>
        <w:t xml:space="preserve">“</w:t>
      </w:r>
      <w:r>
        <w:t xml:space="preserve">My power and the strength of my hand made me this wealth</w:t>
      </w:r>
      <w:r>
        <w:t xml:space="preserve">”</w:t>
      </w:r>
      <w:r>
        <w:t xml:space="preserve"> </w:t>
      </w:r>
      <w:r>
        <w:t xml:space="preserve">is the settled-land form of unbelief.</w:t>
      </w:r>
    </w:p>
    <w:p>
      <w:pPr>
        <w:pStyle w:val="BodyText"/>
      </w:pPr>
      <w:r>
        <w:t xml:space="preserve">God gives power to make wealth</w:t>
      </w:r>
      <w:r>
        <w:t xml:space="preserve"> </w:t>
      </w:r>
      <w:r>
        <w:t xml:space="preserve">“</w:t>
      </w:r>
      <w:r>
        <w:t xml:space="preserve">that He may confirm His covenant</w:t>
      </w:r>
      <w:r>
        <w:t xml:space="preserve">”</w:t>
      </w:r>
      <w:r>
        <w:t xml:space="preserve"> </w:t>
      </w:r>
      <w:r>
        <w:t xml:space="preserve">(8:18). Human labor is real, yet its capacities, opportunities, land, rain, and social order remain gifts. Wilderness memory protects prosperity from becoming practical atheism. The correct lesson is not that poverty is inherently holy or prosperity inherently evil. Both scarcity and abundance test whether God is received as Lord and giver.</w:t>
      </w:r>
    </w:p>
    <w:bookmarkEnd w:id="53"/>
    <w:bookmarkStart w:id="54" w:name="X4e5d86ec8d044a70544c0f85af7c62fb59d1dab"/>
    <w:p>
      <w:pPr>
        <w:pStyle w:val="Heading2"/>
      </w:pPr>
      <w:r>
        <w:t xml:space="preserve">Deuteronomy 32 — The Song of the Wilderness</w:t>
      </w:r>
    </w:p>
    <w:p>
      <w:pPr>
        <w:pStyle w:val="FirstParagraph"/>
      </w:pPr>
      <w:r>
        <w:t xml:space="preserve">Moses’ final song says God found Jacob</w:t>
      </w:r>
      <w:r>
        <w:t xml:space="preserve"> </w:t>
      </w:r>
      <w:r>
        <w:t xml:space="preserve">“</w:t>
      </w:r>
      <w:r>
        <w:t xml:space="preserve">in a desert land, and in the howling waste of a wilderness,</w:t>
      </w:r>
      <w:r>
        <w:t xml:space="preserve">”</w:t>
      </w:r>
      <w:r>
        <w:t xml:space="preserve"> </w:t>
      </w:r>
      <w:r>
        <w:t xml:space="preserve">encircled him, cared for him, and guarded him</w:t>
      </w:r>
      <w:r>
        <w:t xml:space="preserve"> </w:t>
      </w:r>
      <w:r>
        <w:t xml:space="preserve">“</w:t>
      </w:r>
      <w:r>
        <w:t xml:space="preserve">as the pupil of His eye</w:t>
      </w:r>
      <w:r>
        <w:t xml:space="preserve">”</w:t>
      </w:r>
      <w:r>
        <w:t xml:space="preserve"> </w:t>
      </w:r>
      <w:r>
        <w:t xml:space="preserve">(32:10). Like an eagle stirring its nest and bearing young on its wings, God alone led Israel. The imagery joins disturbance and protection. The nest is stirred so the young will fly, but the eagle remains beneath them.</w:t>
      </w:r>
    </w:p>
    <w:p>
      <w:pPr>
        <w:pStyle w:val="BodyText"/>
      </w:pPr>
      <w:r>
        <w:t xml:space="preserve">The song then recounts Jeshurun growing fat and forsaking the God who made him. Again, the wilderness is not the only test. Dependence learned in desolation must be remembered in fullness. The goal is mature covenant fidelity, not permanent crisis.</w:t>
      </w:r>
    </w:p>
    <w:bookmarkEnd w:id="54"/>
    <w:bookmarkEnd w:id="55"/>
    <w:bookmarkStart w:id="59" w:name="X7919d50a1f7fceb90e26987751ecf393b3ca499"/>
    <w:p>
      <w:pPr>
        <w:pStyle w:val="Heading1"/>
      </w:pPr>
      <w:r>
        <w:t xml:space="preserve">SECTION 7: ELIJAH — COLLAPSE, PROVISION, AND RETURN TO HOREB</w:t>
      </w:r>
    </w:p>
    <w:bookmarkStart w:id="56" w:name="cherith-and-zarephath"/>
    <w:p>
      <w:pPr>
        <w:pStyle w:val="Heading2"/>
      </w:pPr>
      <w:r>
        <w:t xml:space="preserve">Cherith and Zarephath</w:t>
      </w:r>
    </w:p>
    <w:p>
      <w:pPr>
        <w:pStyle w:val="FirstParagraph"/>
      </w:pPr>
      <w:r>
        <w:t xml:space="preserve">Elijah’s ministry unfolds amid drought, a covenant curse corresponding to Israel’s Baal worship (1 Kings 17; Deuteronomy 11:16–17). God hides him by the brook Cherith and commands ravens to feed him. When the brook dries, God sends him outside Israel to a widow in Zarephath, within Sidonian territory associated with Jezebel’s world.</w:t>
      </w:r>
    </w:p>
    <w:p>
      <w:pPr>
        <w:pStyle w:val="BodyText"/>
      </w:pPr>
      <w:r>
        <w:t xml:space="preserve">Provision comes through scandalously weak means: unclean birds, a disappearing brook, and a destitute Gentile widow. The jar and jug do not become visible warehouses; flour and oil continue day by day. Like manna, the miracle sustains dependence rather than eliminating it. Jesus later cites the widow to expose Nazareth’s presumption that covenant privilege places God’s mercy under ethnic control (Luke 4:25–26).</w:t>
      </w:r>
    </w:p>
    <w:bookmarkEnd w:id="56"/>
    <w:bookmarkStart w:id="57" w:name="under-the-broom-tree"/>
    <w:p>
      <w:pPr>
        <w:pStyle w:val="Heading2"/>
      </w:pPr>
      <w:r>
        <w:t xml:space="preserve">Under the Broom Tree</w:t>
      </w:r>
    </w:p>
    <w:p>
      <w:pPr>
        <w:pStyle w:val="FirstParagraph"/>
      </w:pPr>
      <w:r>
        <w:t xml:space="preserve">After Carmel, Jezebel’s threat sends Elijah into the wilderness (1 Kings 19). He sits beneath a broom tree, asks to die, and confesses,</w:t>
      </w:r>
      <w:r>
        <w:t xml:space="preserve"> </w:t>
      </w:r>
      <w:r>
        <w:t xml:space="preserve">“</w:t>
      </w:r>
      <w:r>
        <w:t xml:space="preserve">I am no better than my fathers.</w:t>
      </w:r>
      <w:r>
        <w:t xml:space="preserve">”</w:t>
      </w:r>
      <w:r>
        <w:t xml:space="preserve"> </w:t>
      </w:r>
      <w:r>
        <w:t xml:space="preserve">The victorious prophet is physically exhausted, afraid, isolated, and unable to interpret his ministry accurately. God’s first response is remarkably embodied: sleep, touch, bread, and water. An angel tells him to eat because the journey is too great.</w:t>
      </w:r>
    </w:p>
    <w:p>
      <w:pPr>
        <w:pStyle w:val="BodyText"/>
      </w:pPr>
      <w:r>
        <w:t xml:space="preserve">The passage should not be reduced to a generic self-care slogan, but it does rebuke a disembodied spirituality. God addresses Elijah as a whole creature. Food and rest are not substitutes for revelation; they prepare him to receive it. The same God who later questions and recommissions him first preserves his life without shaming his exhaustion.</w:t>
      </w:r>
    </w:p>
    <w:bookmarkEnd w:id="57"/>
    <w:bookmarkStart w:id="58" w:name="forty-days-to-horeb"/>
    <w:p>
      <w:pPr>
        <w:pStyle w:val="Heading2"/>
      </w:pPr>
      <w:r>
        <w:t xml:space="preserve">Forty Days to Horeb</w:t>
      </w:r>
    </w:p>
    <w:p>
      <w:pPr>
        <w:pStyle w:val="FirstParagraph"/>
      </w:pPr>
      <w:r>
        <w:t xml:space="preserve">Strengthened by the food, Elijah travels forty days and nights to Horeb, the mountain of God. The Moses and Israel correspondences are unmistakable: wilderness, forty, mountain, cave, wind, earthquake, fire, and divine speech. Elijah has returned to the covenant mountain at a moment when Israel’s apostasy seems complete.</w:t>
      </w:r>
    </w:p>
    <w:p>
      <w:pPr>
        <w:pStyle w:val="BodyText"/>
      </w:pPr>
      <w:r>
        <w:t xml:space="preserve">The famous</w:t>
      </w:r>
      <w:r>
        <w:t xml:space="preserve"> </w:t>
      </w:r>
      <w:r>
        <w:rPr>
          <w:iCs/>
          <w:i/>
        </w:rPr>
        <w:t xml:space="preserve">qol demamah daqqah</w:t>
      </w:r>
      <w:r>
        <w:t xml:space="preserve"> </w:t>
      </w:r>
      <w:r>
        <w:t xml:space="preserve">is rendered</w:t>
      </w:r>
      <w:r>
        <w:t xml:space="preserve"> </w:t>
      </w:r>
      <w:r>
        <w:t xml:space="preserve">“</w:t>
      </w:r>
      <w:r>
        <w:t xml:space="preserve">a sound of a gentle blowing,</w:t>
      </w:r>
      <w:r>
        <w:t xml:space="preserve">”</w:t>
      </w:r>
      <w:r>
        <w:t xml:space="preserve"> </w:t>
      </w:r>
      <w:r>
        <w:t xml:space="preserve">“</w:t>
      </w:r>
      <w:r>
        <w:t xml:space="preserve">a still small voice,</w:t>
      </w:r>
      <w:r>
        <w:t xml:space="preserve">”</w:t>
      </w:r>
      <w:r>
        <w:t xml:space="preserve"> </w:t>
      </w:r>
      <w:r>
        <w:t xml:space="preserve">or more literally something like</w:t>
      </w:r>
      <w:r>
        <w:t xml:space="preserve"> </w:t>
      </w:r>
      <w:r>
        <w:t xml:space="preserve">“</w:t>
      </w:r>
      <w:r>
        <w:t xml:space="preserve">a sound of thin silence.</w:t>
      </w:r>
      <w:r>
        <w:t xml:space="preserve">”</w:t>
      </w:r>
      <w:r>
        <w:t xml:space="preserve"> </w:t>
      </w:r>
      <w:r>
        <w:t xml:space="preserve">The point is not that God is absent from wind, earthquake, and fire in every context; Sinai itself denies that. Here, God’s decisive address is not confined to spectacular judgment. Elijah must hear the word that sends him back into history.</w:t>
      </w:r>
    </w:p>
    <w:p>
      <w:pPr>
        <w:pStyle w:val="BodyText"/>
      </w:pPr>
      <w:r>
        <w:t xml:space="preserve">God corrects Elijah’s claim to be alone: seven thousand have not bowed to Baal. The prophet’s perception is sincere but incomplete. Wilderness isolation can narrow vision until the servant mistakes his field of sight for the extent of God’s work. The remnant exists because God preserves it, and Elijah’s calling continues through anointing kings and appointing Elisha.</w:t>
      </w:r>
    </w:p>
    <w:bookmarkEnd w:id="58"/>
    <w:bookmarkEnd w:id="59"/>
    <w:bookmarkStart w:id="64" w:name="Xb7d1c15810689c7c635fccc4cf50ec8e02a40f3"/>
    <w:p>
      <w:pPr>
        <w:pStyle w:val="Heading1"/>
      </w:pPr>
      <w:r>
        <w:t xml:space="preserve">SECTION 8: THE PROPHETS — JUDGMENT REVERSED INTO NEW EXODUS</w:t>
      </w:r>
    </w:p>
    <w:bookmarkStart w:id="60" w:name="hosea-2-allurement-into-the-wilderness"/>
    <w:p>
      <w:pPr>
        <w:pStyle w:val="Heading2"/>
      </w:pPr>
      <w:r>
        <w:t xml:space="preserve">Hosea 2 — Allurement into the Wilderness</w:t>
      </w:r>
    </w:p>
    <w:p>
      <w:pPr>
        <w:pStyle w:val="FirstParagraph"/>
      </w:pPr>
      <w:r>
        <w:t xml:space="preserve">Hosea uses the exodus pattern with startling tenderness. Israel has pursued the Baals and attributed grain, wine, oil, silver, and gold to them. God therefore hedges her way, removes misidentified gifts, and exposes covenant infidelity. Yet judgment is not the final word:</w:t>
      </w:r>
      <w:r>
        <w:t xml:space="preserve"> </w:t>
      </w:r>
      <w:r>
        <w:t xml:space="preserve">“</w:t>
      </w:r>
      <w:r>
        <w:t xml:space="preserve">I am going to allure her, bring her into the wilderness, and speak to her heart</w:t>
      </w:r>
      <w:r>
        <w:t xml:space="preserve">”</w:t>
      </w:r>
      <w:r>
        <w:t xml:space="preserve"> </w:t>
      </w:r>
      <w:r>
        <w:t xml:space="preserve">(Hosea 2:14).</w:t>
      </w:r>
    </w:p>
    <w:p>
      <w:pPr>
        <w:pStyle w:val="BodyText"/>
      </w:pPr>
      <w:r>
        <w:t xml:space="preserve">The wilderness here is both loss and courtship. God reverses Israel’s false abundance so that the giver may again be known. The Valley of Achor—associated with Achan’s judgment—becomes</w:t>
      </w:r>
      <w:r>
        <w:t xml:space="preserve"> </w:t>
      </w:r>
      <w:r>
        <w:t xml:space="preserve">“</w:t>
      </w:r>
      <w:r>
        <w:t xml:space="preserve">a door of hope.</w:t>
      </w:r>
      <w:r>
        <w:t xml:space="preserve">”</w:t>
      </w:r>
      <w:r>
        <w:t xml:space="preserve"> </w:t>
      </w:r>
      <w:r>
        <w:t xml:space="preserve">Restoration does not bypass truth about idolatry; it transforms the site of judgment into renewed covenant relation. Israel will call God</w:t>
      </w:r>
      <w:r>
        <w:t xml:space="preserve"> </w:t>
      </w:r>
      <w:r>
        <w:t xml:space="preserve">“</w:t>
      </w:r>
      <w:r>
        <w:t xml:space="preserve">my husband</w:t>
      </w:r>
      <w:r>
        <w:t xml:space="preserve">”</w:t>
      </w:r>
      <w:r>
        <w:t xml:space="preserve"> </w:t>
      </w:r>
      <w:r>
        <w:t xml:space="preserve">rather than using a title entangled with Baal.</w:t>
      </w:r>
    </w:p>
    <w:bookmarkEnd w:id="60"/>
    <w:bookmarkStart w:id="61" w:name="X148297faf45c77cd5b11985e7eec4e8adbbcfa0"/>
    <w:p>
      <w:pPr>
        <w:pStyle w:val="Heading2"/>
      </w:pPr>
      <w:r>
        <w:t xml:space="preserve">Isaiah 35 and 40 — The Desert Blossoms and the Highway Appears</w:t>
      </w:r>
    </w:p>
    <w:p>
      <w:pPr>
        <w:pStyle w:val="FirstParagraph"/>
      </w:pPr>
      <w:r>
        <w:t xml:space="preserve">Isaiah announces that the wilderness and desert will rejoice and blossom (Isaiah 35:1). Weak hands are strengthened, fearful hearts hear</w:t>
      </w:r>
      <w:r>
        <w:t xml:space="preserve"> </w:t>
      </w:r>
      <w:r>
        <w:t xml:space="preserve">“</w:t>
      </w:r>
      <w:r>
        <w:t xml:space="preserve">Be strong, do not fear,</w:t>
      </w:r>
      <w:r>
        <w:t xml:space="preserve">”</w:t>
      </w:r>
      <w:r>
        <w:t xml:space="preserve"> </w:t>
      </w:r>
      <w:r>
        <w:t xml:space="preserve">waters break forth, and a Highway of Holiness carries the redeemed to Zion. The imagery is not mere environmental decoration. Creation participates in redemption, and the dangerous route of exile becomes the ordered road of return.</w:t>
      </w:r>
    </w:p>
    <w:p>
      <w:pPr>
        <w:pStyle w:val="BodyText"/>
      </w:pPr>
      <w:r>
        <w:t xml:space="preserve">Isaiah 40 begins with comfort and a voice calling for a way to be cleared</w:t>
      </w:r>
      <w:r>
        <w:t xml:space="preserve"> </w:t>
      </w:r>
      <w:r>
        <w:t xml:space="preserve">“</w:t>
      </w:r>
      <w:r>
        <w:t xml:space="preserve">in the wilderness</w:t>
      </w:r>
      <w:r>
        <w:t xml:space="preserve">”</w:t>
      </w:r>
      <w:r>
        <w:t xml:space="preserve"> </w:t>
      </w:r>
      <w:r>
        <w:t xml:space="preserve">for the LORD. The new exodus surpasses the first because God himself comes as shepherd, gathers lambs, and leads the nursing ewes. The Gospels apply this text to John the Baptist. John does not simply choose a quiet venue; his location and proclamation announce that Israel is still, in a profound covenantal sense, in exile and needs God to come again.</w:t>
      </w:r>
    </w:p>
    <w:bookmarkEnd w:id="61"/>
    <w:bookmarkStart w:id="62" w:name="isaiah-43-a-way-in-the-wilderness"/>
    <w:p>
      <w:pPr>
        <w:pStyle w:val="Heading2"/>
      </w:pPr>
      <w:r>
        <w:t xml:space="preserve">Isaiah 43 — A Way in the Wilderness</w:t>
      </w:r>
    </w:p>
    <w:p>
      <w:pPr>
        <w:pStyle w:val="FirstParagraph"/>
      </w:pPr>
      <w:r>
        <w:t xml:space="preserve">Isaiah 43:16–21 recalls the sea crossing and then commands,</w:t>
      </w:r>
      <w:r>
        <w:t xml:space="preserve"> </w:t>
      </w:r>
      <w:r>
        <w:t xml:space="preserve">“</w:t>
      </w:r>
      <w:r>
        <w:t xml:space="preserve">Do not call to mind the former things</w:t>
      </w:r>
      <w:r>
        <w:t xml:space="preserve">”</w:t>
      </w:r>
      <w:r>
        <w:t xml:space="preserve"> </w:t>
      </w:r>
      <w:r>
        <w:t xml:space="preserve">in the sense of limiting expectation to the former pattern. God will do a new thing: make a roadway in the wilderness and rivers in the desert. The new act is continuous with exodus yet not a mere repetition.</w:t>
      </w:r>
    </w:p>
    <w:p>
      <w:pPr>
        <w:pStyle w:val="BodyText"/>
      </w:pPr>
      <w:r>
        <w:t xml:space="preserve">This passage is frequently individualized into a promise that every blocked personal plan will receive an unexpected solution. Its canonical claim is larger and more specific: God will restore his covenant people for his praise through a redemptive act comparable to, yet greater than, the exodus. Christian application reaches its center in Christ’s saving work, not in guaranteed circumstantial breakthroughs.</w:t>
      </w:r>
    </w:p>
    <w:bookmarkEnd w:id="62"/>
    <w:bookmarkStart w:id="63" w:name="ezekiel-20-the-wilderness-of-the-peoples"/>
    <w:p>
      <w:pPr>
        <w:pStyle w:val="Heading2"/>
      </w:pPr>
      <w:r>
        <w:t xml:space="preserve">Ezekiel 20 — The Wilderness of the Peoples</w:t>
      </w:r>
    </w:p>
    <w:p>
      <w:pPr>
        <w:pStyle w:val="FirstParagraph"/>
      </w:pPr>
      <w:r>
        <w:t xml:space="preserve">Ezekiel reviews Israel’s rebellions in Egypt and the wilderness, especially profanation of Sabbaths and rejection of statutes. God acts repeatedly for the sake of his name among the nations. Future restoration includes bringing Israel</w:t>
      </w:r>
      <w:r>
        <w:t xml:space="preserve"> </w:t>
      </w:r>
      <w:r>
        <w:t xml:space="preserve">“</w:t>
      </w:r>
      <w:r>
        <w:t xml:space="preserve">into the wilderness of the peoples</w:t>
      </w:r>
      <w:r>
        <w:t xml:space="preserve">”</w:t>
      </w:r>
      <w:r>
        <w:t xml:space="preserve"> </w:t>
      </w:r>
      <w:r>
        <w:t xml:space="preserve">and entering into judgment face to face (Ezekiel 20:35–38). Rebels are purged; the covenant people are brought under the bond of covenant.</w:t>
      </w:r>
    </w:p>
    <w:p>
      <w:pPr>
        <w:pStyle w:val="BodyText"/>
      </w:pPr>
      <w:r>
        <w:t xml:space="preserve">The wilderness is thus not automatically safe or saving. It is the arena where God distinguishes, judges, and restores. The same holy presence that provides manna also exposes unbelief. Any theology that treats wilderness only as therapeutic renewal ignores Ezekiel’s covenant lawsuit.</w:t>
      </w:r>
    </w:p>
    <w:bookmarkEnd w:id="63"/>
    <w:bookmarkEnd w:id="64"/>
    <w:bookmarkStart w:id="68" w:name="Xfc7959e7d30fcabfdb4123616fb8b2776504030"/>
    <w:p>
      <w:pPr>
        <w:pStyle w:val="Heading1"/>
      </w:pPr>
      <w:r>
        <w:t xml:space="preserve">SECTION 9: JOHN THE BAPTIST — THE VOICE IN THE WILDERNESS</w:t>
      </w:r>
    </w:p>
    <w:bookmarkStart w:id="65" w:name="location-as-proclamation"/>
    <w:p>
      <w:pPr>
        <w:pStyle w:val="Heading2"/>
      </w:pPr>
      <w:r>
        <w:t xml:space="preserve">Location as Proclamation</w:t>
      </w:r>
    </w:p>
    <w:p>
      <w:pPr>
        <w:pStyle w:val="FirstParagraph"/>
      </w:pPr>
      <w:r>
        <w:t xml:space="preserve">John appears in the wilderness of Judea proclaiming repentance because the kingdom of heaven has drawn near (Matthew 3:1–3). All four Gospels identify him with Isaiah’s voice preparing the way of the Lord. His clothing of camel’s hair and leather belt evokes Elijah (2 Kings 1:8); his diet belongs to the wilderness; his ministry gathers Israel away from temple and city to the Jordan.</w:t>
      </w:r>
    </w:p>
    <w:p>
      <w:pPr>
        <w:pStyle w:val="BodyText"/>
      </w:pPr>
      <w:r>
        <w:t xml:space="preserve">The geography performs the message. Israel must confess that covenant ancestry and institutional proximity do not remove the need for repentance. The people cross, as it were, back into the place where national life began and undergo a baptism associated with cleansing and readiness. John is not founding a private spirituality outside the people of God. He is summoning Israel to prepare for God’s visitation.</w:t>
      </w:r>
    </w:p>
    <w:bookmarkEnd w:id="65"/>
    <w:bookmarkStart w:id="66" w:name="repentance-and-the-fruit-of-the-kingdom"/>
    <w:p>
      <w:pPr>
        <w:pStyle w:val="Heading2"/>
      </w:pPr>
      <w:r>
        <w:t xml:space="preserve">Repentance and the Fruit of the Kingdom</w:t>
      </w:r>
    </w:p>
    <w:p>
      <w:pPr>
        <w:pStyle w:val="FirstParagraph"/>
      </w:pPr>
      <w:r>
        <w:t xml:space="preserve">John’s</w:t>
      </w:r>
      <w:r>
        <w:t xml:space="preserve"> </w:t>
      </w:r>
      <w:r>
        <w:rPr>
          <w:iCs/>
          <w:i/>
        </w:rPr>
        <w:t xml:space="preserve">metanoia</w:t>
      </w:r>
      <w:r>
        <w:t xml:space="preserve"> </w:t>
      </w:r>
      <w:r>
        <w:t xml:space="preserve">is more than regret. It is a reorientation expressed in fruit. Luke records concrete applications: share clothing and food; tax collectors must take no more than authorized; soldiers must reject extortion and be content with wages (Luke 3:10–14). Wilderness preaching does not end in romantic retreat. It sends hearers back into economic and vocational life under the coming King’s rule.</w:t>
      </w:r>
    </w:p>
    <w:p>
      <w:pPr>
        <w:pStyle w:val="BodyText"/>
      </w:pPr>
      <w:r>
        <w:t xml:space="preserve">John also rejects confidence in descent from Abraham. God can raise children for Abraham from stones. The axe is already at the root, and the coming One will baptize with the Holy Spirit and fire. The wilderness voice announces both salvation and judgment, just as Isaiah’s highway prepares for the arrival of the holy God.</w:t>
      </w:r>
    </w:p>
    <w:bookmarkEnd w:id="66"/>
    <w:bookmarkStart w:id="67" w:name="the-friend-who-decreases"/>
    <w:p>
      <w:pPr>
        <w:pStyle w:val="Heading2"/>
      </w:pPr>
      <w:r>
        <w:t xml:space="preserve">The Friend Who Decreases</w:t>
      </w:r>
    </w:p>
    <w:p>
      <w:pPr>
        <w:pStyle w:val="FirstParagraph"/>
      </w:pPr>
      <w:r>
        <w:t xml:space="preserve">John identifies Jesus as the Lamb of God and bridegroom, then confesses,</w:t>
      </w:r>
      <w:r>
        <w:t xml:space="preserve"> </w:t>
      </w:r>
      <w:r>
        <w:t xml:space="preserve">“</w:t>
      </w:r>
      <w:r>
        <w:t xml:space="preserve">He must increase, but I must decrease</w:t>
      </w:r>
      <w:r>
        <w:t xml:space="preserve">”</w:t>
      </w:r>
      <w:r>
        <w:t xml:space="preserve"> </w:t>
      </w:r>
      <w:r>
        <w:t xml:space="preserve">(John 3:30). This is the true aim of wilderness ministry: not the construction of a permanent identity around austerity, charisma, or separation, but the transfer of attention to Christ.</w:t>
      </w:r>
    </w:p>
    <w:p>
      <w:pPr>
        <w:pStyle w:val="BodyText"/>
      </w:pPr>
      <w:r>
        <w:t xml:space="preserve">John’s later imprisonment also prevents triumphalism. He sends messengers asking whether Jesus is the Coming One (Matthew 11:2–6). Jesus answers from Isaiah’s restoration signs—blind see, lame walk, poor hear good news—while adding a beatitude for the one who does not stumble over his manner of fulfillment. Faith may need to hold prophetic promise while providence remains personally painful.</w:t>
      </w:r>
    </w:p>
    <w:bookmarkEnd w:id="67"/>
    <w:bookmarkEnd w:id="68"/>
    <w:bookmarkStart w:id="75" w:name="X36b031d3c95bdd31ca8788fc2aebf859568dd89"/>
    <w:p>
      <w:pPr>
        <w:pStyle w:val="Heading1"/>
      </w:pPr>
      <w:r>
        <w:t xml:space="preserve">SECTION 10: CHRIST’S TEMPTATION — THE FAITHFUL SON IN ISRAEL’S PLACE</w:t>
      </w:r>
    </w:p>
    <w:bookmarkStart w:id="69" w:name="baptism-sonship-wilderness"/>
    <w:p>
      <w:pPr>
        <w:pStyle w:val="Heading2"/>
      </w:pPr>
      <w:r>
        <w:t xml:space="preserve">Baptism, Sonship, Wilderness</w:t>
      </w:r>
    </w:p>
    <w:p>
      <w:pPr>
        <w:pStyle w:val="FirstParagraph"/>
      </w:pPr>
      <w:r>
        <w:t xml:space="preserve">The Synoptic order is deliberate. Jesus passes through the baptismal waters, hears the Father declare him the beloved Son, and is led by the Spirit into the wilderness. Israel passed through the sea, was called God’s son (Exodus 4:22), and entered testing. Jesus recapitulates that history as the representative and faithful Son.</w:t>
      </w:r>
    </w:p>
    <w:p>
      <w:pPr>
        <w:pStyle w:val="BodyText"/>
      </w:pPr>
      <w:r>
        <w:t xml:space="preserve">Matthew says the Spirit leads him</w:t>
      </w:r>
      <w:r>
        <w:t xml:space="preserve"> </w:t>
      </w:r>
      <w:r>
        <w:t xml:space="preserve">“</w:t>
      </w:r>
      <w:r>
        <w:t xml:space="preserve">to be tempted by the devil.</w:t>
      </w:r>
      <w:r>
        <w:t xml:space="preserve">”</w:t>
      </w:r>
      <w:r>
        <w:t xml:space="preserve"> </w:t>
      </w:r>
      <w:r>
        <w:t xml:space="preserve">Mark’s stronger verb says the Spirit drives him out, and adds that he is with wild animals while angels minister to him. The scene gathers Adamic, Israelite, and eschatological themes. Where Adam failed amid food in a garden and Israel failed amid hunger in a wilderness, Jesus obeys amid deprivation.</w:t>
      </w:r>
    </w:p>
    <w:bookmarkEnd w:id="69"/>
    <w:bookmarkStart w:id="70" w:name="forty-days-and-forty-years"/>
    <w:p>
      <w:pPr>
        <w:pStyle w:val="Heading2"/>
      </w:pPr>
      <w:r>
        <w:t xml:space="preserve">Forty Days and Forty Years</w:t>
      </w:r>
    </w:p>
    <w:p>
      <w:pPr>
        <w:pStyle w:val="FirstParagraph"/>
      </w:pPr>
      <w:r>
        <w:t xml:space="preserve">The forty days correspond most directly to Israel’s forty years and also recall Moses and Elijah’s forty-day fasts. Jesus’ three quotations all come from Deuteronomy 6–8, precisely the portion interpreting Israel’s wilderness education. He does not select isolated prooftexts at random; he inhabits Israel’s covenant lesson and answers as Israel should have answered.</w:t>
      </w:r>
    </w:p>
    <w:tbl>
      <w:tblPr>
        <w:tblStyle w:val="Table"/>
        <w:tblW w:type="dxa" w:w="9360"/>
        <w:tblLayout w:type="fixed"/>
        <w:tblLook w:firstRow="1" w:lastRow="0" w:firstColumn="0" w:lastColumn="0" w:noHBand="0" w:noVBand="0" w:val="0020"/>
        <w:jc w:val="start"/>
      </w:tblPr>
      <w:tblGrid>
        <w:gridCol w:w="2952"/>
        <w:gridCol w:w="3024"/>
        <w:gridCol w:w="3384"/>
      </w:tblGrid>
      <w:tr>
        <w:trPr>
          <w:tblHeader w:val="true"/>
          <w:tblHeader w:val="true"/>
          <w:cantSplit/>
        </w:trPr>
        <w:tc>
          <w:tcPr>
            <w:tcW w:type="dxa" w:w="295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Israel in the Wilderness</w:t>
            </w:r>
          </w:p>
        </w:tc>
        <w:tc>
          <w:tcPr>
            <w:tcW w:type="dxa" w:w="302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Jesus in the Wilderness</w:t>
            </w:r>
          </w:p>
        </w:tc>
        <w:tc>
          <w:tcPr>
            <w:tcW w:type="dxa" w:w="338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Deuteronomic Answer</w:t>
            </w:r>
          </w:p>
        </w:tc>
      </w:tr>
      <w:tr>
        <w:trPr>
          <w:cantSplit/>
        </w:trPr>
        <w:tc>
          <w:tcPr>
            <w:tcW w:type="dxa" w:w="295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Hungers and distrusts provision (Exodus 16)</w:t>
            </w:r>
          </w:p>
        </w:tc>
        <w:tc>
          <w:tcPr>
            <w:tcW w:type="dxa" w:w="302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Tempted to turn stones to bread</w:t>
            </w:r>
          </w:p>
        </w:tc>
        <w:tc>
          <w:tcPr>
            <w:tcW w:type="dxa" w:w="338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Deuteronomy 8:3: life depends on every word from God</w:t>
            </w:r>
          </w:p>
        </w:tc>
      </w:tr>
      <w:tr>
        <w:trPr>
          <w:cantSplit/>
        </w:trPr>
        <w:tc>
          <w:tcPr>
            <w:tcW w:type="dxa" w:w="295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Tests God at Massah (Exodus 17:1–7)</w:t>
            </w:r>
          </w:p>
        </w:tc>
        <w:tc>
          <w:tcPr>
            <w:tcW w:type="dxa" w:w="302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Tempted to force spectacular rescue</w:t>
            </w:r>
          </w:p>
        </w:tc>
        <w:tc>
          <w:tcPr>
            <w:tcW w:type="dxa" w:w="338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Deuteronomy 6:16: do not test the LORD</w:t>
            </w:r>
          </w:p>
        </w:tc>
      </w:tr>
      <w:tr>
        <w:trPr>
          <w:cantSplit/>
        </w:trPr>
        <w:tc>
          <w:tcPr>
            <w:tcW w:type="dxa" w:w="2952"/>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Worships the calf and other gods</w:t>
            </w:r>
          </w:p>
        </w:tc>
        <w:tc>
          <w:tcPr>
            <w:tcW w:type="dxa" w:w="302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Offered kingdoms through false worship</w:t>
            </w:r>
          </w:p>
        </w:tc>
        <w:tc>
          <w:tcPr>
            <w:tcW w:type="dxa" w:w="338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Deuteronomy 6:13: worship and serve the LORD alone</w:t>
            </w:r>
          </w:p>
        </w:tc>
      </w:tr>
    </w:tbl>
    <w:bookmarkEnd w:id="70"/>
    <w:bookmarkStart w:id="71" w:name="X68d30b35fb00ca7d650672a456e7cdc888f3e96"/>
    <w:p>
      <w:pPr>
        <w:pStyle w:val="Heading2"/>
      </w:pPr>
      <w:r>
        <w:t xml:space="preserve">Stones into Bread — Sonship without Self-Authorization</w:t>
      </w:r>
    </w:p>
    <w:p>
      <w:pPr>
        <w:pStyle w:val="FirstParagraph"/>
      </w:pPr>
      <w:r>
        <w:t xml:space="preserve">The temptation is not that bread is evil. Jesus later multiplies bread for others. The issue is whether the Son will use power at the tempter’s direction to escape the Father-appointed path.</w:t>
      </w:r>
      <w:r>
        <w:t xml:space="preserve"> </w:t>
      </w:r>
      <w:r>
        <w:t xml:space="preserve">“</w:t>
      </w:r>
      <w:r>
        <w:t xml:space="preserve">If You are the Son of God</w:t>
      </w:r>
      <w:r>
        <w:t xml:space="preserve">”</w:t>
      </w:r>
      <w:r>
        <w:t xml:space="preserve"> </w:t>
      </w:r>
      <w:r>
        <w:t xml:space="preserve">attacks the meaning of the baptismal declaration: will sonship be lived as trusting obedience or autonomous privilege?</w:t>
      </w:r>
    </w:p>
    <w:p>
      <w:pPr>
        <w:pStyle w:val="BodyText"/>
      </w:pPr>
      <w:r>
        <w:t xml:space="preserve">Jesus cites Deuteronomy 8:3. Human life is sustained by God’s speaking will. The Father who has appointed the fast can appoint its end. Jesus refuses to make provision ultimate or to receive a good thing through disobedient means. Dependence is not inability; it is power submitted to the Father.</w:t>
      </w:r>
    </w:p>
    <w:bookmarkEnd w:id="71"/>
    <w:bookmarkStart w:id="72" w:name="Xc7b27cd5923a87f18c6e9f5e2c4e722bf9d5b58"/>
    <w:p>
      <w:pPr>
        <w:pStyle w:val="Heading2"/>
      </w:pPr>
      <w:r>
        <w:t xml:space="preserve">The Temple Pinnacle — Faith versus Presumption</w:t>
      </w:r>
    </w:p>
    <w:p>
      <w:pPr>
        <w:pStyle w:val="FirstParagraph"/>
      </w:pPr>
      <w:r>
        <w:t xml:space="preserve">The devil cites Psalm 91, proving that biblical words can be deployed against biblical faithfulness. He isolates the promise of angelic protection from the psalm’s posture of dwelling in and trusting God. Jesus answers with Deuteronomy 6:16:</w:t>
      </w:r>
      <w:r>
        <w:t xml:space="preserve"> </w:t>
      </w:r>
      <w:r>
        <w:t xml:space="preserve">“</w:t>
      </w:r>
      <w:r>
        <w:t xml:space="preserve">You shall not put the LORD your God to the test,</w:t>
      </w:r>
      <w:r>
        <w:t xml:space="preserve">”</w:t>
      </w:r>
      <w:r>
        <w:t xml:space="preserve"> </w:t>
      </w:r>
      <w:r>
        <w:t xml:space="preserve">recalling Massah.</w:t>
      </w:r>
    </w:p>
    <w:p>
      <w:pPr>
        <w:pStyle w:val="BodyText"/>
      </w:pPr>
      <w:r>
        <w:t xml:space="preserve">Presumption manufactures danger to compel God to demonstrate faithfulness. Faith obeys within providential danger without demanding theatrical proof. A promise is not permission to create the conditions of its misuse. Scripture interprets Scripture, and no application is sound if it contradicts the commanded posture toward God.</w:t>
      </w:r>
    </w:p>
    <w:bookmarkEnd w:id="72"/>
    <w:bookmarkStart w:id="73" w:name="the-kingdoms-glory-without-the-cross"/>
    <w:p>
      <w:pPr>
        <w:pStyle w:val="Heading2"/>
      </w:pPr>
      <w:r>
        <w:t xml:space="preserve">The Kingdoms — Glory without the Cross</w:t>
      </w:r>
    </w:p>
    <w:p>
      <w:pPr>
        <w:pStyle w:val="FirstParagraph"/>
      </w:pPr>
      <w:r>
        <w:t xml:space="preserve">The final temptation offers rule over the world through worship of the devil. Jesus truly is the heir of the nations (Psalm 2), so the temptation again offers a promised end through an idolatrous means. It is a crown without suffering, kingdom without obedience, and glory without the cross.</w:t>
      </w:r>
    </w:p>
    <w:p>
      <w:pPr>
        <w:pStyle w:val="BodyText"/>
      </w:pPr>
      <w:r>
        <w:t xml:space="preserve">Jesus answers from Deuteronomy 6:13. Worship belongs to God alone. The kingdom cannot be received by bowing to the ruler of this world’s rebellious order. Matthew’s Gospel will end with the risen Christ declaring that all authority has been given to him. He receives the kingdoms from the Father through obedient suffering, not from Satan through compromise.</w:t>
      </w:r>
    </w:p>
    <w:bookmarkEnd w:id="73"/>
    <w:bookmarkStart w:id="74" w:name="X32e66e433ba36fa6bed161e93fe2b3a622b3bb7"/>
    <w:p>
      <w:pPr>
        <w:pStyle w:val="Heading2"/>
      </w:pPr>
      <w:r>
        <w:t xml:space="preserve">Active Obedience and Representative Victory</w:t>
      </w:r>
    </w:p>
    <w:p>
      <w:pPr>
        <w:pStyle w:val="FirstParagraph"/>
      </w:pPr>
      <w:r>
        <w:t xml:space="preserve">Christ’s victory is more than an example of how to quote Scripture during temptation. He acts representatively. The true Son renders the obedience Adam and Israel failed to give. This faithful life belongs to the saving work that culminates at the cross and resurrection. Believers resist temptation by following his pattern, but their hope rests first in his accomplished victory and union with him.</w:t>
      </w:r>
    </w:p>
    <w:p>
      <w:pPr>
        <w:pStyle w:val="BodyText"/>
      </w:pPr>
      <w:r>
        <w:t xml:space="preserve">Luke closes by saying the devil departed</w:t>
      </w:r>
      <w:r>
        <w:t xml:space="preserve"> </w:t>
      </w:r>
      <w:r>
        <w:t xml:space="preserve">“</w:t>
      </w:r>
      <w:r>
        <w:t xml:space="preserve">until an opportune time.</w:t>
      </w:r>
      <w:r>
        <w:t xml:space="preserve">”</w:t>
      </w:r>
      <w:r>
        <w:t xml:space="preserve"> </w:t>
      </w:r>
      <w:r>
        <w:t xml:space="preserve">Wilderness victory begins rather than ends the conflict. The pressure returns through crowds seeking signs, disciples resisting the cross, Gethsemane, mockery, and the demand that he save himself. Jesus remains the obedient Son to death.</w:t>
      </w:r>
    </w:p>
    <w:bookmarkEnd w:id="74"/>
    <w:bookmarkEnd w:id="75"/>
    <w:bookmarkStart w:id="79" w:name="Xe023a90e6be0b86c189301e22103c40c10af2d9"/>
    <w:p>
      <w:pPr>
        <w:pStyle w:val="Heading1"/>
      </w:pPr>
      <w:r>
        <w:t xml:space="preserve">SECTION 11: CHRIST’S WILDERNESS MINISTRY AND THE NEW EXODUS</w:t>
      </w:r>
    </w:p>
    <w:bookmarkStart w:id="76" w:name="withdrawal-for-prayer"/>
    <w:p>
      <w:pPr>
        <w:pStyle w:val="Heading2"/>
      </w:pPr>
      <w:r>
        <w:t xml:space="preserve">Withdrawal for Prayer</w:t>
      </w:r>
    </w:p>
    <w:p>
      <w:pPr>
        <w:pStyle w:val="FirstParagraph"/>
      </w:pPr>
      <w:r>
        <w:t xml:space="preserve">Jesus frequently withdraws to</w:t>
      </w:r>
      <w:r>
        <w:t xml:space="preserve"> </w:t>
      </w:r>
      <w:r>
        <w:rPr>
          <w:iCs/>
          <w:i/>
        </w:rPr>
        <w:t xml:space="preserve">erēmos</w:t>
      </w:r>
      <w:r>
        <w:t xml:space="preserve"> </w:t>
      </w:r>
      <w:r>
        <w:t xml:space="preserve">places to pray (Luke 5:16; Mark 1:35). Solitude is neither escape from vocation nor contempt for people. It is communion with the Father within vocation. He returns from prayer to preach, heal, choose apostles, and move toward the cross.</w:t>
      </w:r>
    </w:p>
    <w:p>
      <w:pPr>
        <w:pStyle w:val="BodyText"/>
      </w:pPr>
      <w:r>
        <w:t xml:space="preserve">These withdrawals correct two opposite errors. Constant public activity can masquerade as faithfulness while avoiding dependent prayer. Permanent withdrawal can masquerade as spirituality while avoiding love of neighbor. Jesus holds solitude and mission together.</w:t>
      </w:r>
    </w:p>
    <w:bookmarkEnd w:id="76"/>
    <w:bookmarkStart w:id="77" w:name="feeding-in-a-desolate-place"/>
    <w:p>
      <w:pPr>
        <w:pStyle w:val="Heading2"/>
      </w:pPr>
      <w:r>
        <w:t xml:space="preserve">Feeding in a Desolate Place</w:t>
      </w:r>
    </w:p>
    <w:p>
      <w:pPr>
        <w:pStyle w:val="FirstParagraph"/>
      </w:pPr>
      <w:r>
        <w:t xml:space="preserve">The feeding miracles occur in a</w:t>
      </w:r>
      <w:r>
        <w:t xml:space="preserve"> </w:t>
      </w:r>
      <w:r>
        <w:t xml:space="preserve">“</w:t>
      </w:r>
      <w:r>
        <w:t xml:space="preserve">desolate place,</w:t>
      </w:r>
      <w:r>
        <w:t xml:space="preserve">”</w:t>
      </w:r>
      <w:r>
        <w:t xml:space="preserve"> </w:t>
      </w:r>
      <w:r>
        <w:t xml:space="preserve">and the crowd is arranged and fed through miraculous bread. The imagery recalls manna, Moses, and shepherding in the wilderness. Yet Jesus is greater than Moses: he does not merely ask God for bread; he takes, blesses, breaks, and gives it in abundance.</w:t>
      </w:r>
    </w:p>
    <w:p>
      <w:pPr>
        <w:pStyle w:val="BodyText"/>
      </w:pPr>
      <w:r>
        <w:t xml:space="preserve">John 6 makes the claim explicit. The Father, not Moses, gave the true bread from heaven, and Jesus declares,</w:t>
      </w:r>
      <w:r>
        <w:t xml:space="preserve"> </w:t>
      </w:r>
      <w:r>
        <w:t xml:space="preserve">“</w:t>
      </w:r>
      <w:r>
        <w:t xml:space="preserve">I am the bread of life.</w:t>
      </w:r>
      <w:r>
        <w:t xml:space="preserve">”</w:t>
      </w:r>
      <w:r>
        <w:t xml:space="preserve"> </w:t>
      </w:r>
      <w:r>
        <w:t xml:space="preserve">The crowd wants continuing earthly bread and a king shaped by appetite. Jesus directs them to the food enduring to eternal life and to faith in the One sent by the Father. The wilderness sign points beyond provision to the Provider incarnate.</w:t>
      </w:r>
    </w:p>
    <w:bookmarkEnd w:id="77"/>
    <w:bookmarkStart w:id="78" w:name="Xe7ca2d444ceef9b4180acc50117e4ff9b9345ea"/>
    <w:p>
      <w:pPr>
        <w:pStyle w:val="Heading2"/>
      </w:pPr>
      <w:r>
        <w:t xml:space="preserve">The Transfiguration and the</w:t>
      </w:r>
      <w:r>
        <w:t xml:space="preserve"> </w:t>
      </w:r>
      <w:r>
        <w:t xml:space="preserve">“</w:t>
      </w:r>
      <w:r>
        <w:t xml:space="preserve">Exodus</w:t>
      </w:r>
      <w:r>
        <w:t xml:space="preserve">”</w:t>
      </w:r>
      <w:r>
        <w:t xml:space="preserve"> </w:t>
      </w:r>
      <w:r>
        <w:t xml:space="preserve">at Jerusalem</w:t>
      </w:r>
    </w:p>
    <w:p>
      <w:pPr>
        <w:pStyle w:val="FirstParagraph"/>
      </w:pPr>
      <w:r>
        <w:t xml:space="preserve">At the transfiguration Moses and Elijah speak with Jesus about his</w:t>
      </w:r>
      <w:r>
        <w:t xml:space="preserve"> </w:t>
      </w:r>
      <w:r>
        <w:t xml:space="preserve">“</w:t>
      </w:r>
      <w:r>
        <w:t xml:space="preserve">departure</w:t>
      </w:r>
      <w:r>
        <w:t xml:space="preserve">”</w:t>
      </w:r>
      <w:r>
        <w:t xml:space="preserve"> </w:t>
      </w:r>
      <w:r>
        <w:t xml:space="preserve">(</w:t>
      </w:r>
      <w:r>
        <w:rPr>
          <w:iCs/>
          <w:i/>
        </w:rPr>
        <w:t xml:space="preserve">exodos</w:t>
      </w:r>
      <w:r>
        <w:t xml:space="preserve">) which he is about to accomplish at Jerusalem (Luke 9:31). The word deliberately gathers Israel’s deliverance and the coming death, resurrection, and ascension. Jesus’ cross is the climactic exodus: liberation from sin’s slavery, judgment borne by the Lamb, and a journey into resurrection life.</w:t>
      </w:r>
    </w:p>
    <w:p>
      <w:pPr>
        <w:pStyle w:val="BodyText"/>
      </w:pPr>
      <w:r>
        <w:t xml:space="preserve">The disciples then follow him on the road toward Jerusalem. Christian pilgrimage is cruciform because its leader accomplishes deliverance through suffering. It is also hopeful because the exodus is something Jesus</w:t>
      </w:r>
      <w:r>
        <w:t xml:space="preserve"> </w:t>
      </w:r>
      <w:r>
        <w:t xml:space="preserve">“</w:t>
      </w:r>
      <w:r>
        <w:t xml:space="preserve">accomplishes</w:t>
      </w:r>
      <w:r>
        <w:t xml:space="preserve">”</w:t>
      </w:r>
      <w:r>
        <w:t xml:space="preserve">; the cross is not an accidental defeat but the appointed passage to glory.</w:t>
      </w:r>
    </w:p>
    <w:bookmarkEnd w:id="78"/>
    <w:bookmarkEnd w:id="79"/>
    <w:bookmarkStart w:id="84" w:name="X1f9c06f075fb9fa6db0bb0fcdcdced5daa70bc2"/>
    <w:p>
      <w:pPr>
        <w:pStyle w:val="Heading1"/>
      </w:pPr>
      <w:r>
        <w:t xml:space="preserve">SECTION 12: THE CHURCH IN THE WILDERNESS — PAUL AND HEBREWS</w:t>
      </w:r>
    </w:p>
    <w:bookmarkStart w:id="80" w:name="Xbecf3e6da3847e829fbf8e706b4c7f6bfd8d947"/>
    <w:p>
      <w:pPr>
        <w:pStyle w:val="Heading2"/>
      </w:pPr>
      <w:r>
        <w:t xml:space="preserve">1 Corinthians 10 —</w:t>
      </w:r>
      <w:r>
        <w:t xml:space="preserve"> </w:t>
      </w:r>
      <w:r>
        <w:t xml:space="preserve">“</w:t>
      </w:r>
      <w:r>
        <w:t xml:space="preserve">These Things Happened as Examples</w:t>
      </w:r>
      <w:r>
        <w:t xml:space="preserve">”</w:t>
      </w:r>
    </w:p>
    <w:p>
      <w:pPr>
        <w:pStyle w:val="FirstParagraph"/>
      </w:pPr>
      <w:r>
        <w:t xml:space="preserve">Paul explicitly teaches the church to read Israel’s history typologically. All were under the cloud, passed through the sea, ate spiritual food, and drank spiritual drink; nevertheless, with most of them God was not pleased (1 Corinthians 10:1–5). Participation in covenant privileges did not make idolatry, immorality, testing Christ, and grumbling harmless.</w:t>
      </w:r>
    </w:p>
    <w:p>
      <w:pPr>
        <w:pStyle w:val="BodyText"/>
      </w:pPr>
      <w:r>
        <w:t xml:space="preserve">The word</w:t>
      </w:r>
      <w:r>
        <w:t xml:space="preserve"> </w:t>
      </w:r>
      <w:r>
        <w:rPr>
          <w:iCs/>
          <w:i/>
        </w:rPr>
        <w:t xml:space="preserve">typoi</w:t>
      </w:r>
      <w:r>
        <w:t xml:space="preserve"> </w:t>
      </w:r>
      <w:r>
        <w:t xml:space="preserve">(</w:t>
      </w:r>
      <w:r>
        <w:t xml:space="preserve">“</w:t>
      </w:r>
      <w:r>
        <w:t xml:space="preserve">examples,</w:t>
      </w:r>
      <w:r>
        <w:t xml:space="preserve">”</w:t>
      </w:r>
      <w:r>
        <w:t xml:space="preserve"> </w:t>
      </w:r>
      <w:r>
        <w:t xml:space="preserve">“</w:t>
      </w:r>
      <w:r>
        <w:t xml:space="preserve">types</w:t>
      </w:r>
      <w:r>
        <w:t xml:space="preserve">”</w:t>
      </w:r>
      <w:r>
        <w:t xml:space="preserve">) in verse 6 identifies historical events that form a divinely intended pattern for later instruction. Paul neither allegorizes away the history nor equates the church with Israel at every point. He traces a covenantal analogy: a redeemed community possessing real signs and gifts must not presume upon privilege while rejecting the Lord.</w:t>
      </w:r>
    </w:p>
    <w:p>
      <w:pPr>
        <w:pStyle w:val="BodyText"/>
      </w:pPr>
      <w:r>
        <w:t xml:space="preserve">The warning lands upon the confident:</w:t>
      </w:r>
      <w:r>
        <w:t xml:space="preserve"> </w:t>
      </w:r>
      <w:r>
        <w:t xml:space="preserve">“</w:t>
      </w:r>
      <w:r>
        <w:t xml:space="preserve">Let the one who thinks he stands watch out that he does not fall.</w:t>
      </w:r>
      <w:r>
        <w:t xml:space="preserve">”</w:t>
      </w:r>
      <w:r>
        <w:t xml:space="preserve"> </w:t>
      </w:r>
      <w:r>
        <w:t xml:space="preserve">It is followed by assurance concerning temptation. First Corinthians 10:13 does not promise that every burden will remain beneath one’s unaided psychological capacity. It says God is faithful in temptation and will provide the way of escape so believers may endure. The escape may be strength to remain obedient within the trial rather than immediate removal from it.</w:t>
      </w:r>
    </w:p>
    <w:p>
      <w:pPr>
        <w:pStyle w:val="BodyText"/>
      </w:pPr>
      <w:r>
        <w:t xml:space="preserve">The chapter then commands flight from idolatry and appeals to the Lord’s Supper. The church’s wilderness sustenance is communion with Christ, not autonomous resolve. Warning and sacrament belong together.</w:t>
      </w:r>
    </w:p>
    <w:bookmarkEnd w:id="80"/>
    <w:bookmarkStart w:id="81" w:name="hebrews-34-today-if-you-hear-his-voice"/>
    <w:p>
      <w:pPr>
        <w:pStyle w:val="Heading2"/>
      </w:pPr>
      <w:r>
        <w:t xml:space="preserve">Hebrews 3–4 —</w:t>
      </w:r>
      <w:r>
        <w:t xml:space="preserve"> </w:t>
      </w:r>
      <w:r>
        <w:t xml:space="preserve">“</w:t>
      </w:r>
      <w:r>
        <w:t xml:space="preserve">Today, If You Hear His Voice</w:t>
      </w:r>
      <w:r>
        <w:t xml:space="preserve">”</w:t>
      </w:r>
    </w:p>
    <w:p>
      <w:pPr>
        <w:pStyle w:val="FirstParagraph"/>
      </w:pPr>
      <w:r>
        <w:t xml:space="preserve">Hebrews compares Jesus and Moses, then quotes Psalm 95’s interpretation of the wilderness rebellion. The repeated word is</w:t>
      </w:r>
      <w:r>
        <w:t xml:space="preserve"> </w:t>
      </w:r>
      <w:r>
        <w:t xml:space="preserve">“</w:t>
      </w:r>
      <w:r>
        <w:t xml:space="preserve">Today.</w:t>
      </w:r>
      <w:r>
        <w:t xml:space="preserve">”</w:t>
      </w:r>
      <w:r>
        <w:t xml:space="preserve"> </w:t>
      </w:r>
      <w:r>
        <w:t xml:space="preserve">Israel’s failure is not safely sealed in the past; the living God addresses the congregation now. The danger is an</w:t>
      </w:r>
      <w:r>
        <w:t xml:space="preserve"> </w:t>
      </w:r>
      <w:r>
        <w:t xml:space="preserve">“</w:t>
      </w:r>
      <w:r>
        <w:t xml:space="preserve">evil, unbelieving heart</w:t>
      </w:r>
      <w:r>
        <w:t xml:space="preserve">”</w:t>
      </w:r>
      <w:r>
        <w:t xml:space="preserve"> </w:t>
      </w:r>
      <w:r>
        <w:t xml:space="preserve">that falls away from him (Hebrews 3:12).</w:t>
      </w:r>
    </w:p>
    <w:p>
      <w:pPr>
        <w:pStyle w:val="BodyText"/>
      </w:pPr>
      <w:r>
        <w:t xml:space="preserve">The remedy includes communal exhortation:</w:t>
      </w:r>
      <w:r>
        <w:t xml:space="preserve"> </w:t>
      </w:r>
      <w:r>
        <w:t xml:space="preserve">“</w:t>
      </w:r>
      <w:r>
        <w:t xml:space="preserve">encourage one another day after day.</w:t>
      </w:r>
      <w:r>
        <w:t xml:space="preserve">”</w:t>
      </w:r>
      <w:r>
        <w:t xml:space="preserve"> </w:t>
      </w:r>
      <w:r>
        <w:t xml:space="preserve">Hardening is deceitful and progressive. The pilgrim church is not a collection of isolated travelers but a body responsible to speak God’s promise and warning to one another.</w:t>
      </w:r>
    </w:p>
    <w:p>
      <w:pPr>
        <w:pStyle w:val="BodyText"/>
      </w:pPr>
      <w:r>
        <w:t xml:space="preserve">Hebrews 4 argues that Joshua’s entrance into Canaan did not exhaust God’s rest, because Psalm 95 later speaks of another</w:t>
      </w:r>
      <w:r>
        <w:t xml:space="preserve"> </w:t>
      </w:r>
      <w:r>
        <w:t xml:space="preserve">“</w:t>
      </w:r>
      <w:r>
        <w:t xml:space="preserve">Today.</w:t>
      </w:r>
      <w:r>
        <w:t xml:space="preserve">”</w:t>
      </w:r>
      <w:r>
        <w:t xml:space="preserve"> </w:t>
      </w:r>
      <w:r>
        <w:t xml:space="preserve">A Sabbath-rest remains for God’s people. Believers already enter by faith, yet they must be diligent to enter. The tension is characteristic of New Testament eschatology: rest is inaugurated in Christ but awaits consummation.</w:t>
      </w:r>
    </w:p>
    <w:bookmarkEnd w:id="81"/>
    <w:bookmarkStart w:id="82" w:name="hebrews-1113-seeking-the-city-to-come"/>
    <w:p>
      <w:pPr>
        <w:pStyle w:val="Heading2"/>
      </w:pPr>
      <w:r>
        <w:t xml:space="preserve">Hebrews 11–13 — Seeking the City to Come</w:t>
      </w:r>
    </w:p>
    <w:p>
      <w:pPr>
        <w:pStyle w:val="FirstParagraph"/>
      </w:pPr>
      <w:r>
        <w:t xml:space="preserve">Abraham confesses himself a stranger; Moses chooses mistreatment with God’s people over Egypt’s treasures; others wander in deserts, mountains, caves, and holes in the ground. They desire a better, heavenly country (Hebrews 11). This is not escape from embodied creation, for Hebrews 12 anticipates an unshakable kingdom and Hebrews 13 calls for concrete hospitality, prison care, sexual holiness, and contentment.</w:t>
      </w:r>
    </w:p>
    <w:p>
      <w:pPr>
        <w:pStyle w:val="BodyText"/>
      </w:pPr>
      <w:r>
        <w:t xml:space="preserve">Jesus suffers</w:t>
      </w:r>
      <w:r>
        <w:t xml:space="preserve"> </w:t>
      </w:r>
      <w:r>
        <w:t xml:space="preserve">“</w:t>
      </w:r>
      <w:r>
        <w:t xml:space="preserve">outside the gate,</w:t>
      </w:r>
      <w:r>
        <w:t xml:space="preserve">”</w:t>
      </w:r>
      <w:r>
        <w:t xml:space="preserve"> </w:t>
      </w:r>
      <w:r>
        <w:t xml:space="preserve">so believers go to him outside the camp, bearing reproach,</w:t>
      </w:r>
      <w:r>
        <w:t xml:space="preserve"> </w:t>
      </w:r>
      <w:r>
        <w:t xml:space="preserve">“</w:t>
      </w:r>
      <w:r>
        <w:t xml:space="preserve">for here we do not have a lasting city, but we are seeking the city which is to come</w:t>
      </w:r>
      <w:r>
        <w:t xml:space="preserve">”</w:t>
      </w:r>
      <w:r>
        <w:t xml:space="preserve"> </w:t>
      </w:r>
      <w:r>
        <w:t xml:space="preserve">(Hebrews 13:12–14). Pilgrimage means allegiance to the rejected Christ while practicing faithful presence in the present world.</w:t>
      </w:r>
    </w:p>
    <w:bookmarkEnd w:id="82"/>
    <w:bookmarkStart w:id="83" w:name="already-sustained-not-yet-home"/>
    <w:p>
      <w:pPr>
        <w:pStyle w:val="Heading2"/>
      </w:pPr>
      <w:r>
        <w:t xml:space="preserve">Already Sustained, Not Yet Home</w:t>
      </w:r>
    </w:p>
    <w:p>
      <w:pPr>
        <w:pStyle w:val="FirstParagraph"/>
      </w:pPr>
      <w:r>
        <w:t xml:space="preserve">The church’s wilderness condition is defined by the overlap of the ages. Believers have the Spirit as firstfruits and pledge, access to God through Christ, and the nourishment of the Word and Supper. Yet they groan, suffer, battle sin, and await bodily redemption (Romans 8:18–25). They are not abandoned between salvation and glory. The One who began the journey preserves his people toward its end.</w:t>
      </w:r>
    </w:p>
    <w:p>
      <w:pPr>
        <w:pStyle w:val="BodyText"/>
      </w:pPr>
      <w:r>
        <w:t xml:space="preserve">This preservation does not make warnings unreal. Scripture’s warnings are among the means God uses to keep his people watchful and dependent. Assurance rests in Christ’s priesthood and promise, not in presumption that covenant language makes persevering faith unnecessary.</w:t>
      </w:r>
    </w:p>
    <w:bookmarkEnd w:id="83"/>
    <w:bookmarkEnd w:id="84"/>
    <w:bookmarkStart w:id="88" w:name="X0b96026c05e5ff1100b77cd9395e7583393f496"/>
    <w:p>
      <w:pPr>
        <w:pStyle w:val="Heading1"/>
      </w:pPr>
      <w:r>
        <w:t xml:space="preserve">SECTION 13: REVELATION — THE PROTECTED WOMAN AND THE FINAL HOMECOMING</w:t>
      </w:r>
    </w:p>
    <w:bookmarkStart w:id="85" w:name="the-woman-in-the-wilderness"/>
    <w:p>
      <w:pPr>
        <w:pStyle w:val="Heading2"/>
      </w:pPr>
      <w:r>
        <w:t xml:space="preserve">The Woman in the Wilderness</w:t>
      </w:r>
    </w:p>
    <w:p>
      <w:pPr>
        <w:pStyle w:val="FirstParagraph"/>
      </w:pPr>
      <w:r>
        <w:t xml:space="preserve">Revelation 12 portrays a woman who gives birth to the messianic child and is pursued by the dragon. She flees into the wilderness to a place prepared by God, where she is nourished for a divinely bounded period (12:6, 14). The imagery gathers Israel, Zion, the messianic community, exodus protection, and prophetic preservation.</w:t>
      </w:r>
    </w:p>
    <w:p>
      <w:pPr>
        <w:pStyle w:val="BodyText"/>
      </w:pPr>
      <w:r>
        <w:t xml:space="preserve">The wilderness is simultaneously refuge and contested space. The dragon cannot devour the child and cannot finally destroy the woman, but he wages war against her offspring. Divine protection does not equal absence of persecution; it means the enemy cannot overturn God’s covenant purpose. Nourishment echoes manna and Elijah: provision is measured to the appointed pilgrimage.</w:t>
      </w:r>
    </w:p>
    <w:p>
      <w:pPr>
        <w:pStyle w:val="BodyText"/>
      </w:pPr>
      <w:r>
        <w:t xml:space="preserve">Interpretive systems differ over the woman’s precise referent and chronology. Yet the passage clearly presents the people connected to the Messiah as preserved by God amid satanic hostility. The church’s security is theological before it is circumstantial.</w:t>
      </w:r>
    </w:p>
    <w:bookmarkEnd w:id="85"/>
    <w:bookmarkStart w:id="86" w:name="babylon-as-a-wilderness-vision"/>
    <w:p>
      <w:pPr>
        <w:pStyle w:val="Heading2"/>
      </w:pPr>
      <w:r>
        <w:t xml:space="preserve">Babylon as a Wilderness Vision</w:t>
      </w:r>
    </w:p>
    <w:p>
      <w:pPr>
        <w:pStyle w:val="FirstParagraph"/>
      </w:pPr>
      <w:r>
        <w:t xml:space="preserve">In Revelation 17, John is carried</w:t>
      </w:r>
      <w:r>
        <w:t xml:space="preserve"> </w:t>
      </w:r>
      <w:r>
        <w:t xml:space="preserve">“</w:t>
      </w:r>
      <w:r>
        <w:t xml:space="preserve">in the Spirit into a wilderness</w:t>
      </w:r>
      <w:r>
        <w:t xml:space="preserve">”</w:t>
      </w:r>
      <w:r>
        <w:t xml:space="preserve"> </w:t>
      </w:r>
      <w:r>
        <w:t xml:space="preserve">to see Babylon, the seductive city opposed to God. The location interprets the city. Though Babylon appears wealthy, jeweled, and powerful, from heaven’s perspective she belongs to desolation. This reverses ordinary perception: the city of consumption may be the true wasteland, while the persecuted people nourished in the wilderness possess life.</w:t>
      </w:r>
    </w:p>
    <w:bookmarkEnd w:id="86"/>
    <w:bookmarkStart w:id="87" w:name="no-more-sea-curse-hunger-or-thirst"/>
    <w:p>
      <w:pPr>
        <w:pStyle w:val="Heading2"/>
      </w:pPr>
      <w:r>
        <w:t xml:space="preserve">No More Sea, Curse, Hunger, or Thirst</w:t>
      </w:r>
    </w:p>
    <w:p>
      <w:pPr>
        <w:pStyle w:val="FirstParagraph"/>
      </w:pPr>
      <w:r>
        <w:t xml:space="preserve">Revelation ends not with permanent wandering but with the holy city descending, God dwelling with humanity, the river of life, and the tree of life (Revelation 21–22). Eden returns enlarged as a city-garden filled with redeemed nations. Hunger, thirst, scorching heat, death, mourning, and curse are removed.</w:t>
      </w:r>
    </w:p>
    <w:p>
      <w:pPr>
        <w:pStyle w:val="BodyText"/>
      </w:pPr>
      <w:r>
        <w:t xml:space="preserve">The biblical goal is not to become endlessly skilled at wilderness survival. God brings his people home. Pilgrimage spirituality becomes distorted when instability itself is romanticized. The wilderness has purpose because it lies between redemption accomplished and inheritance consummated.</w:t>
      </w:r>
    </w:p>
    <w:bookmarkEnd w:id="87"/>
    <w:bookmarkEnd w:id="88"/>
    <w:bookmarkStart w:id="95" w:name="Xfbf1a7e832e45a92a48051a26c10a7958b54524"/>
    <w:p>
      <w:pPr>
        <w:pStyle w:val="Heading1"/>
      </w:pPr>
      <w:r>
        <w:t xml:space="preserve">SECTION 14: MAJOR THEOLOGICAL DISTINCTIONS AND PASTORAL GUARDRAILS</w:t>
      </w:r>
    </w:p>
    <w:bookmarkStart w:id="89" w:name="testing-is-not-divine-ignorance"/>
    <w:p>
      <w:pPr>
        <w:pStyle w:val="Heading2"/>
      </w:pPr>
      <w:r>
        <w:t xml:space="preserve">Testing Is Not Divine Ignorance</w:t>
      </w:r>
    </w:p>
    <w:p>
      <w:pPr>
        <w:pStyle w:val="FirstParagraph"/>
      </w:pPr>
      <w:r>
        <w:t xml:space="preserve">When Scripture says God tested Israel</w:t>
      </w:r>
      <w:r>
        <w:t xml:space="preserve"> </w:t>
      </w:r>
      <w:r>
        <w:t xml:space="preserve">“</w:t>
      </w:r>
      <w:r>
        <w:t xml:space="preserve">to know</w:t>
      </w:r>
      <w:r>
        <w:t xml:space="preserve">”</w:t>
      </w:r>
      <w:r>
        <w:t xml:space="preserve"> </w:t>
      </w:r>
      <w:r>
        <w:t xml:space="preserve">what was in the heart, it describes knowledge made manifest in covenant history. The omniscient God does not conduct an experiment because outcomes are hidden from him. The test reveals the heart to the tested community, publicly vindicates judgment, and forms obedience through action.</w:t>
      </w:r>
    </w:p>
    <w:bookmarkEnd w:id="89"/>
    <w:bookmarkStart w:id="90" w:name="testing-is-not-tempting-to-evil"/>
    <w:p>
      <w:pPr>
        <w:pStyle w:val="Heading2"/>
      </w:pPr>
      <w:r>
        <w:t xml:space="preserve">Testing Is Not Tempting to Evil</w:t>
      </w:r>
    </w:p>
    <w:p>
      <w:pPr>
        <w:pStyle w:val="FirstParagraph"/>
      </w:pPr>
      <w:r>
        <w:t xml:space="preserve">God may ordain circumstances in which loyalty is tested; Satan and sinful desire aim at rebellion within those circumstances. James 1:13–17 safeguards God’s goodness. The distinction is visible in Christ’s temptation: the Spirit leads; the devil tempts; the Son obeys; God’s purpose is holy.</w:t>
      </w:r>
    </w:p>
    <w:bookmarkEnd w:id="90"/>
    <w:bookmarkStart w:id="91" w:name="Xef2246837433b844ef3035c8d777b9467beda6a"/>
    <w:p>
      <w:pPr>
        <w:pStyle w:val="Heading2"/>
      </w:pPr>
      <w:r>
        <w:t xml:space="preserve">Provision Is Not a Promise of Continuous Comfort</w:t>
      </w:r>
    </w:p>
    <w:p>
      <w:pPr>
        <w:pStyle w:val="FirstParagraph"/>
      </w:pPr>
      <w:r>
        <w:t xml:space="preserve">Manna is enough for the day, Elijah’s brook dries, Paul knows hunger and abundance, and faithful witnesses inhabit caves. Biblical provision means God supplies what serves his covenant purpose and brings his people to their true inheritance. It does not authorize claims that believers will always possess wealth, health, or immediate relief.</w:t>
      </w:r>
    </w:p>
    <w:bookmarkEnd w:id="91"/>
    <w:bookmarkStart w:id="92" w:name="judgment-and-grace-are-not-opposites"/>
    <w:p>
      <w:pPr>
        <w:pStyle w:val="Heading2"/>
      </w:pPr>
      <w:r>
        <w:t xml:space="preserve">Judgment and Grace Are Not Opposites</w:t>
      </w:r>
    </w:p>
    <w:p>
      <w:pPr>
        <w:pStyle w:val="FirstParagraph"/>
      </w:pPr>
      <w:r>
        <w:t xml:space="preserve">The wilderness generation is judged, yet the promise continues. Moses is disciplined, yet Israel receives water. Serpents strike, yet a God-appointed sign gives life. Grace is not God pretending rebellion does not matter. At the cross, judgment and grace meet without either being diminished.</w:t>
      </w:r>
    </w:p>
    <w:bookmarkEnd w:id="92"/>
    <w:bookmarkStart w:id="93" w:name="Xe86b4e9a04c204b98de2976840bca80dfe528a1"/>
    <w:p>
      <w:pPr>
        <w:pStyle w:val="Heading2"/>
      </w:pPr>
      <w:r>
        <w:t xml:space="preserve">Israel, Christ, and the Church Must Be Related in Order</w:t>
      </w:r>
    </w:p>
    <w:p>
      <w:pPr>
        <w:pStyle w:val="FirstParagraph"/>
      </w:pPr>
      <w:r>
        <w:t xml:space="preserve">The typological sequence is historical Israel, fulfilled in Christ, then applied to the church in union with Christ. Jumping directly from Israel to an individual Christian can bypass the Gospel. David’s stones, Israel’s manna, or Elijah’s cave are not free-floating symbols of personal ambition. Their fullest Christian significance is governed by Christ and the apostolic use of Scripture.</w:t>
      </w:r>
    </w:p>
    <w:bookmarkEnd w:id="93"/>
    <w:bookmarkStart w:id="94" w:name="X1dae8a083d63c8c7dcbe578b20a4e1a0ad9a41a"/>
    <w:p>
      <w:pPr>
        <w:pStyle w:val="Heading2"/>
      </w:pPr>
      <w:r>
        <w:t xml:space="preserve">Wilderness Is a Season, a Condition, and a Symbol—but Not a Technique</w:t>
      </w:r>
    </w:p>
    <w:p>
      <w:pPr>
        <w:pStyle w:val="FirstParagraph"/>
      </w:pPr>
      <w:r>
        <w:t xml:space="preserve">Believers may use</w:t>
      </w:r>
      <w:r>
        <w:t xml:space="preserve"> </w:t>
      </w:r>
      <w:r>
        <w:t xml:space="preserve">“</w:t>
      </w:r>
      <w:r>
        <w:t xml:space="preserve">wilderness season</w:t>
      </w:r>
      <w:r>
        <w:t xml:space="preserve">”</w:t>
      </w:r>
      <w:r>
        <w:t xml:space="preserve"> </w:t>
      </w:r>
      <w:r>
        <w:t xml:space="preserve">as a helpful metaphor for grief, waiting, illness, ministry exhaustion, or loss of stability. Scripture gives genuine language for such experiences. But a metaphor should not become a claim to private revelation. No one should tell a sufferer with certainty, apart from biblical warrant, exactly why God caused a particular event or when it will end.</w:t>
      </w:r>
    </w:p>
    <w:bookmarkEnd w:id="94"/>
    <w:bookmarkEnd w:id="95"/>
    <w:bookmarkStart w:id="102" w:name="X748fe0c50f3dba6057fb6a996780a966e7e98e0"/>
    <w:p>
      <w:pPr>
        <w:pStyle w:val="Heading1"/>
      </w:pPr>
      <w:r>
        <w:t xml:space="preserve">SECTION 15: SYNTHESIS AND STUDY CONCLUSIONS</w:t>
      </w:r>
    </w:p>
    <w:bookmarkStart w:id="96" w:name="the-canonical-movement"/>
    <w:p>
      <w:pPr>
        <w:pStyle w:val="Heading2"/>
      </w:pPr>
      <w:r>
        <w:t xml:space="preserve">The Canonical Movement</w:t>
      </w:r>
    </w:p>
    <w:p>
      <w:pPr>
        <w:pStyle w:val="FirstParagraph"/>
      </w:pPr>
      <w:r>
        <w:t xml:space="preserve">The wilderness theme moves through five major stages:</w:t>
      </w:r>
    </w:p>
    <w:p>
      <w:pPr>
        <w:numPr>
          <w:ilvl w:val="0"/>
          <w:numId w:val="1002"/>
        </w:numPr>
        <w:pStyle w:val="Compact"/>
      </w:pPr>
      <w:r>
        <w:rPr>
          <w:bCs/>
          <w:b/>
        </w:rPr>
        <w:t xml:space="preserve">Exile and preservation:</w:t>
      </w:r>
      <w:r>
        <w:t xml:space="preserve"> </w:t>
      </w:r>
      <w:r>
        <w:t xml:space="preserve">humanity lives east of Eden; Hagar is seen; patriarchs sojourn by promise.</w:t>
      </w:r>
    </w:p>
    <w:p>
      <w:pPr>
        <w:numPr>
          <w:ilvl w:val="0"/>
          <w:numId w:val="1002"/>
        </w:numPr>
        <w:pStyle w:val="Compact"/>
      </w:pPr>
      <w:r>
        <w:rPr>
          <w:bCs/>
          <w:b/>
        </w:rPr>
        <w:t xml:space="preserve">Israel’s formation and failure:</w:t>
      </w:r>
      <w:r>
        <w:t xml:space="preserve"> </w:t>
      </w:r>
      <w:r>
        <w:t xml:space="preserve">God redeems his son, provides in the wilderness, dwells in the camp, and judges unbelief.</w:t>
      </w:r>
    </w:p>
    <w:p>
      <w:pPr>
        <w:numPr>
          <w:ilvl w:val="0"/>
          <w:numId w:val="1002"/>
        </w:numPr>
        <w:pStyle w:val="Compact"/>
      </w:pPr>
      <w:r>
        <w:rPr>
          <w:bCs/>
          <w:b/>
        </w:rPr>
        <w:t xml:space="preserve">Prophetic judgment and hope:</w:t>
      </w:r>
      <w:r>
        <w:t xml:space="preserve"> </w:t>
      </w:r>
      <w:r>
        <w:t xml:space="preserve">the wilderness exposes idolatry but becomes the roadway of a new exodus.</w:t>
      </w:r>
    </w:p>
    <w:p>
      <w:pPr>
        <w:numPr>
          <w:ilvl w:val="0"/>
          <w:numId w:val="1002"/>
        </w:numPr>
        <w:pStyle w:val="Compact"/>
      </w:pPr>
      <w:r>
        <w:rPr>
          <w:bCs/>
          <w:b/>
        </w:rPr>
        <w:t xml:space="preserve">Christological fulfillment:</w:t>
      </w:r>
      <w:r>
        <w:t xml:space="preserve"> </w:t>
      </w:r>
      <w:r>
        <w:t xml:space="preserve">John announces the way; Jesus, the faithful Son, conquers temptation and accomplishes the definitive exodus.</w:t>
      </w:r>
    </w:p>
    <w:p>
      <w:pPr>
        <w:numPr>
          <w:ilvl w:val="0"/>
          <w:numId w:val="1002"/>
        </w:numPr>
        <w:pStyle w:val="Compact"/>
      </w:pPr>
      <w:r>
        <w:rPr>
          <w:bCs/>
          <w:b/>
        </w:rPr>
        <w:t xml:space="preserve">Ecclesial pilgrimage and consummation:</w:t>
      </w:r>
      <w:r>
        <w:t xml:space="preserve"> </w:t>
      </w:r>
      <w:r>
        <w:t xml:space="preserve">the church receives warning and nourishment while seeking the city to come, until the garden-city descends.</w:t>
      </w:r>
    </w:p>
    <w:bookmarkEnd w:id="96"/>
    <w:bookmarkStart w:id="97" w:name="what-the-wilderness-reveals-about-god"/>
    <w:p>
      <w:pPr>
        <w:pStyle w:val="Heading2"/>
      </w:pPr>
      <w:r>
        <w:t xml:space="preserve">What the Wilderness Reveals about God</w:t>
      </w:r>
    </w:p>
    <w:p>
      <w:pPr>
        <w:pStyle w:val="FirstParagraph"/>
      </w:pPr>
      <w:r>
        <w:t xml:space="preserve">God is sovereign in guidance: he chooses the route and remains present when the route is hard. He is holy: covenant privilege never licenses rebellion. He is patient: he hears complaints, provides food and water, restores exhausted servants, and preserves a remnant. He is just: a generation that refuses his promise does not enter the land. He is faithful: judgment never causes his redemptive word to fail. Above all, he is revealed in Christ, the Son who obeys in hunger, gives himself as true bread, bears judgment, and leads many sons to glory.</w:t>
      </w:r>
    </w:p>
    <w:bookmarkEnd w:id="97"/>
    <w:bookmarkStart w:id="98" w:name="X0a53511904bf4edb69a239aa7abf5f1ec1641f3"/>
    <w:p>
      <w:pPr>
        <w:pStyle w:val="Heading2"/>
      </w:pPr>
      <w:r>
        <w:t xml:space="preserve">What the Wilderness Reveals about the Human Heart</w:t>
      </w:r>
    </w:p>
    <w:p>
      <w:pPr>
        <w:pStyle w:val="FirstParagraph"/>
      </w:pPr>
      <w:r>
        <w:t xml:space="preserve">Scarcity exposes fear, craving, nostalgia for slavery, rivalry, presumption, and unbelief. Abundance exposes forgetfulness and pride. Religious proximity exposes the temptation to treat signs and offices as substitutes for faith. Exhaustion exposes creaturely limits. None of these revelations is the wilderness manufacturing a foreign self; testing draws into action loves and loyalties that ordinary stability can conceal.</w:t>
      </w:r>
    </w:p>
    <w:bookmarkEnd w:id="98"/>
    <w:bookmarkStart w:id="99" w:name="what-faith-looks-like-in-the-wilderness"/>
    <w:p>
      <w:pPr>
        <w:pStyle w:val="Heading2"/>
      </w:pPr>
      <w:r>
        <w:t xml:space="preserve">What Faith Looks Like in the Wilderness</w:t>
      </w:r>
    </w:p>
    <w:p>
      <w:pPr>
        <w:pStyle w:val="FirstParagraph"/>
      </w:pPr>
      <w:r>
        <w:t xml:space="preserve">Faith remembers redemption, listens to God’s voice, gathers today’s manna, refuses to test God, receives creaturely help, intercedes for the weak, rejects idolatrous shortcuts, and keeps moving toward the promised rest. It laments honestly without enthroning its interpretation of circumstances. It reads provision as gift rather than entitlement and discipline as fatherly formation rather than abandonment.</w:t>
      </w:r>
    </w:p>
    <w:p>
      <w:pPr>
        <w:pStyle w:val="BodyText"/>
      </w:pPr>
      <w:r>
        <w:t xml:space="preserve">Faith is not sustained by fascination with one’s own endurance. Israel’s history makes that confidence impossible. The church survives because its faithful representative has already passed through the decisive test. Christian perseverance is active, watchful, and communal, but it rests upon the obedient Son, the interceding High Priest, and the Spirit who is the pledge of inheritance.</w:t>
      </w:r>
    </w:p>
    <w:bookmarkEnd w:id="99"/>
    <w:bookmarkStart w:id="100" w:name="master-cross-reference-table"/>
    <w:p>
      <w:pPr>
        <w:pStyle w:val="Heading2"/>
      </w:pPr>
      <w:r>
        <w:t xml:space="preserve">Master Cross-Reference Table</w:t>
      </w:r>
    </w:p>
    <w:tbl>
      <w:tblPr>
        <w:tblStyle w:val="Table"/>
        <w:tblW w:type="dxa" w:w="9360"/>
        <w:tblLayout w:type="fixed"/>
        <w:tblLook w:firstRow="1" w:lastRow="0" w:firstColumn="0" w:lastColumn="0" w:noHBand="0" w:noVBand="0" w:val="0020"/>
        <w:jc w:val="start"/>
      </w:tblPr>
      <w:tblGrid>
        <w:gridCol w:w="2664"/>
        <w:gridCol w:w="6696"/>
      </w:tblGrid>
      <w:tr>
        <w:trPr>
          <w:tblHeader w:val="true"/>
          <w:tblHeader w:val="true"/>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Theme</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shd w:fill="D9E4EF"/>
          </w:tcPr>
          <w:p>
            <w:pPr>
              <w:spacing w:after="40"/>
              <w:jc w:val="left"/>
            </w:pPr>
            <w:r>
              <w:rPr>
                <w:b/>
                <w:color w:val="1B3A5C"/>
                <w:sz w:val="18"/>
              </w:rPr>
              <w:t xml:space="preserve">Key Texts</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Exile and wandering</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Genesis 3:23–24; 4:12–16; Hebrews 11:8–16</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God sees the afflicted</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Genesis 16:7–14; 21:14–21</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Divine leading into difficulty</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Exodus 13:17–22; Deuteronomy 8:2; Matthew 4:1</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Water and bread</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Exodus 15:22–27; 16:1–36; 17:1–7; John 6:22–59</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Testing and the heart</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Exodus 16:4; Deuteronomy 8:2–5; James 1:2–18</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Rebellion and judgment</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Numbers 11–16; Psalm 78; 95; 106; Hebrews 3:7–19</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Tabernacle presence</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Exodus 25–40; Numbers 2; John 1:14</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Elijah’s provision and renewal</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1 Kings 17–19; Luke 4:25–26; Romans 11:2–5</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Prophetic new exodus</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Hosea 2:14–23; Isaiah 35; 40:1–11; 43:16–21</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John’s wilderness ministry</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Matthew 3:1–12; Mark 1:1–8; Luke 3:1–20; John 1:19–34</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Christ as faithful Son</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Matthew 3:13–4:11; Luke 3:21–4:13; Deuteronomy 6–8</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Christ’s exodus</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Luke 9:28–36; 1 Corinthians 5:7; Colossians 1:13–14</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Church warning and nourishment</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1 Corinthians 10:1–22; Hebrews 3–4; 12:1–29</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Pilgrimage and heavenly country</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Hebrews 11:8–16; 13:12–16; 1 Peter 1:1–9; 2:11–12</w:t>
            </w:r>
          </w:p>
        </w:tc>
      </w:tr>
      <w:tr>
        <w:trPr>
          <w:cantSplit/>
        </w:trPr>
        <w:tc>
          <w:tcPr>
            <w:tcW w:type="dxa" w:w="2664"/>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Protection and final homecoming</w:t>
            </w:r>
          </w:p>
        </w:tc>
        <w:tc>
          <w:tcPr>
            <w:tcW w:type="dxa" w:w="6696"/>
            <w:tcBorders>
              <w:top w:val="single" w:sz="4" w:color="B8C5D1"/>
              <w:left w:val="single" w:sz="4" w:color="B8C5D1"/>
              <w:bottom w:val="single" w:sz="4" w:color="B8C5D1"/>
              <w:right w:val="single" w:sz="4" w:color="B8C5D1"/>
              <w:insideH w:val="single" w:sz="4" w:color="B8C5D1"/>
              <w:insideV w:val="single" w:sz="4" w:color="B8C5D1"/>
            </w:tcBorders>
            <w:tcMar>
              <w:top w:w="90" w:type="dxa"/>
              <w:left w:w="90" w:type="dxa"/>
              <w:bottom w:w="90" w:type="dxa"/>
              <w:right w:w="90" w:type="dxa"/>
            </w:tcMar>
          </w:tcPr>
          <w:p>
            <w:pPr>
              <w:spacing w:after="40"/>
              <w:jc w:val="left"/>
            </w:pPr>
            <w:r>
              <w:rPr>
                <w:color w:val="222222"/>
                <w:sz w:val="18"/>
              </w:rPr>
              <w:t xml:space="preserve">Revelation 12:6–17; 21:1–22:5</w:t>
            </w:r>
          </w:p>
        </w:tc>
      </w:tr>
    </w:tbl>
    <w:bookmarkEnd w:id="100"/>
    <w:bookmarkStart w:id="101" w:name="final-word"/>
    <w:p>
      <w:pPr>
        <w:pStyle w:val="Heading2"/>
      </w:pPr>
      <w:r>
        <w:t xml:space="preserve">Final Word</w:t>
      </w:r>
    </w:p>
    <w:p>
      <w:pPr>
        <w:pStyle w:val="FirstParagraph"/>
      </w:pPr>
      <w:r>
        <w:t xml:space="preserve">The wilderness is not proof that God has lost the path. In Scripture it is often the place to which his own pillar leads. Yet neither is it spiritually harmless. The ground between redemption and inheritance becomes the arena in which unbelief demands Egypt, presumption tests God, and idolatry offers visible substitutes. Graves in the wilderness warn the church not to confuse outward privilege with persevering faith.</w:t>
      </w:r>
    </w:p>
    <w:p>
      <w:pPr>
        <w:pStyle w:val="BodyText"/>
      </w:pPr>
      <w:r>
        <w:t xml:space="preserve">The final emphasis, however, rests not upon the wilderness but upon the Guide. God carried Israel, fed Elijah, prepared John, upheld the incarnate Son, and now brings a pilgrim people toward an unshakable kingdom. Jesus did not merely survive the wilderness; he defeated the tempter as the faithful Son and accomplished the exodus at Jerusalem. Those united to him travel under a better covenant, nourished by a better bread, approaching a better country. The church therefore hears both words Scripture speaks:</w:t>
      </w:r>
      <w:r>
        <w:t xml:space="preserve"> </w:t>
      </w:r>
      <w:r>
        <w:t xml:space="preserve">“</w:t>
      </w:r>
      <w:r>
        <w:t xml:space="preserve">Do not harden your hearts,</w:t>
      </w:r>
      <w:r>
        <w:t xml:space="preserve">”</w:t>
      </w:r>
      <w:r>
        <w:t xml:space="preserve"> </w:t>
      </w:r>
      <w:r>
        <w:t xml:space="preserve">and</w:t>
      </w:r>
      <w:r>
        <w:t xml:space="preserve"> </w:t>
      </w:r>
      <w:r>
        <w:t xml:space="preserve">“</w:t>
      </w:r>
      <w:r>
        <w:t xml:space="preserve">He who promised is faithful.</w:t>
      </w:r>
      <w:r>
        <w:t xml:space="preserve">”</w:t>
      </w:r>
    </w:p>
    <w:bookmarkEnd w:id="101"/>
    <w:bookmarkEnd w:id="102"/>
    <w:bookmarkStart w:id="106" w:name="key-sources-and-further-reading"/>
    <w:p>
      <w:pPr>
        <w:pStyle w:val="Heading1"/>
      </w:pPr>
      <w:r>
        <w:t xml:space="preserve">KEY SOURCES AND FURTHER READING</w:t>
      </w:r>
    </w:p>
    <w:bookmarkStart w:id="103" w:name="primary-lexical-and-exegetical-resources"/>
    <w:p>
      <w:pPr>
        <w:pStyle w:val="Heading2"/>
      </w:pPr>
      <w:r>
        <w:t xml:space="preserve">Primary Lexical and Exegetical Resources</w:t>
      </w:r>
    </w:p>
    <w:p>
      <w:pPr>
        <w:numPr>
          <w:ilvl w:val="0"/>
          <w:numId w:val="1003"/>
        </w:numPr>
        <w:pStyle w:val="Compact"/>
      </w:pPr>
      <w:r>
        <w:t xml:space="preserve">Brown, Francis; Driver, S. R.; and Briggs, Charles A.</w:t>
      </w:r>
      <w:r>
        <w:t xml:space="preserve"> </w:t>
      </w:r>
      <w:r>
        <w:rPr>
          <w:iCs/>
          <w:i/>
        </w:rPr>
        <w:t xml:space="preserve">A Hebrew and English Lexicon of the Old Testament</w:t>
      </w:r>
      <w:r>
        <w:t xml:space="preserve">.</w:t>
      </w:r>
    </w:p>
    <w:p>
      <w:pPr>
        <w:numPr>
          <w:ilvl w:val="0"/>
          <w:numId w:val="1003"/>
        </w:numPr>
        <w:pStyle w:val="Compact"/>
      </w:pPr>
      <w:r>
        <w:t xml:space="preserve">Koehler, Ludwig; Baumgartner, Walter; and Stamm, Johann Jakob.</w:t>
      </w:r>
      <w:r>
        <w:t xml:space="preserve"> </w:t>
      </w:r>
      <w:r>
        <w:rPr>
          <w:iCs/>
          <w:i/>
        </w:rPr>
        <w:t xml:space="preserve">The Hebrew and Aramaic Lexicon of the Old Testament</w:t>
      </w:r>
      <w:r>
        <w:t xml:space="preserve">.</w:t>
      </w:r>
    </w:p>
    <w:p>
      <w:pPr>
        <w:numPr>
          <w:ilvl w:val="0"/>
          <w:numId w:val="1003"/>
        </w:numPr>
        <w:pStyle w:val="Compact"/>
      </w:pPr>
      <w:r>
        <w:t xml:space="preserve">Danker, Frederick William, ed. </w:t>
      </w:r>
      <w:r>
        <w:rPr>
          <w:iCs/>
          <w:i/>
        </w:rPr>
        <w:t xml:space="preserve">A Greek-English Lexicon of the New Testament and Other Early Christian Literature</w:t>
      </w:r>
      <w:r>
        <w:t xml:space="preserve">, 3rd ed.</w:t>
      </w:r>
    </w:p>
    <w:p>
      <w:pPr>
        <w:numPr>
          <w:ilvl w:val="0"/>
          <w:numId w:val="1003"/>
        </w:numPr>
        <w:pStyle w:val="Compact"/>
      </w:pPr>
      <w:r>
        <w:t xml:space="preserve">Beale, G. K., and Carson, D. A., eds. </w:t>
      </w:r>
      <w:r>
        <w:rPr>
          <w:iCs/>
          <w:i/>
        </w:rPr>
        <w:t xml:space="preserve">Commentary on the New Testament Use of the Old Testament</w:t>
      </w:r>
      <w:r>
        <w:t xml:space="preserve">.</w:t>
      </w:r>
    </w:p>
    <w:bookmarkEnd w:id="103"/>
    <w:bookmarkStart w:id="104" w:name="Xf75536aeafea59813730deb99a174d712271edf"/>
    <w:p>
      <w:pPr>
        <w:pStyle w:val="Heading2"/>
      </w:pPr>
      <w:r>
        <w:t xml:space="preserve">Major Works on Biblical Theology and the Wilderness</w:t>
      </w:r>
    </w:p>
    <w:p>
      <w:pPr>
        <w:numPr>
          <w:ilvl w:val="0"/>
          <w:numId w:val="1004"/>
        </w:numPr>
        <w:pStyle w:val="Compact"/>
      </w:pPr>
      <w:r>
        <w:t xml:space="preserve">Alexander, T. Desmond.</w:t>
      </w:r>
      <w:r>
        <w:t xml:space="preserve"> </w:t>
      </w:r>
      <w:r>
        <w:rPr>
          <w:iCs/>
          <w:i/>
        </w:rPr>
        <w:t xml:space="preserve">From Eden to the New Jerusalem</w:t>
      </w:r>
      <w:r>
        <w:t xml:space="preserve">.</w:t>
      </w:r>
    </w:p>
    <w:p>
      <w:pPr>
        <w:numPr>
          <w:ilvl w:val="0"/>
          <w:numId w:val="1004"/>
        </w:numPr>
        <w:pStyle w:val="Compact"/>
      </w:pPr>
      <w:r>
        <w:t xml:space="preserve">Beale, G. K.</w:t>
      </w:r>
      <w:r>
        <w:t xml:space="preserve"> </w:t>
      </w:r>
      <w:r>
        <w:rPr>
          <w:iCs/>
          <w:i/>
        </w:rPr>
        <w:t xml:space="preserve">The Temple and the Church’s Mission</w:t>
      </w:r>
      <w:r>
        <w:t xml:space="preserve">.</w:t>
      </w:r>
    </w:p>
    <w:p>
      <w:pPr>
        <w:numPr>
          <w:ilvl w:val="0"/>
          <w:numId w:val="1004"/>
        </w:numPr>
        <w:pStyle w:val="Compact"/>
      </w:pPr>
      <w:r>
        <w:t xml:space="preserve">Childs, Brevard S.</w:t>
      </w:r>
      <w:r>
        <w:t xml:space="preserve"> </w:t>
      </w:r>
      <w:r>
        <w:rPr>
          <w:iCs/>
          <w:i/>
        </w:rPr>
        <w:t xml:space="preserve">The Book of Exodus: A Critical, Theological Commentary</w:t>
      </w:r>
      <w:r>
        <w:t xml:space="preserve">.</w:t>
      </w:r>
    </w:p>
    <w:p>
      <w:pPr>
        <w:numPr>
          <w:ilvl w:val="0"/>
          <w:numId w:val="1004"/>
        </w:numPr>
        <w:pStyle w:val="Compact"/>
      </w:pPr>
      <w:r>
        <w:t xml:space="preserve">Hamilton, Victor P.</w:t>
      </w:r>
      <w:r>
        <w:t xml:space="preserve"> </w:t>
      </w:r>
      <w:r>
        <w:rPr>
          <w:iCs/>
          <w:i/>
        </w:rPr>
        <w:t xml:space="preserve">Handbook on the Pentateuch</w:t>
      </w:r>
      <w:r>
        <w:t xml:space="preserve">.</w:t>
      </w:r>
    </w:p>
    <w:p>
      <w:pPr>
        <w:numPr>
          <w:ilvl w:val="0"/>
          <w:numId w:val="1004"/>
        </w:numPr>
        <w:pStyle w:val="Compact"/>
      </w:pPr>
      <w:r>
        <w:t xml:space="preserve">Morales, L. Michael.</w:t>
      </w:r>
      <w:r>
        <w:t xml:space="preserve"> </w:t>
      </w:r>
      <w:r>
        <w:rPr>
          <w:iCs/>
          <w:i/>
        </w:rPr>
        <w:t xml:space="preserve">Exodus Old and New: A Biblical Theology of Redemption</w:t>
      </w:r>
      <w:r>
        <w:t xml:space="preserve">.</w:t>
      </w:r>
    </w:p>
    <w:p>
      <w:pPr>
        <w:numPr>
          <w:ilvl w:val="0"/>
          <w:numId w:val="1004"/>
        </w:numPr>
        <w:pStyle w:val="Compact"/>
      </w:pPr>
      <w:r>
        <w:t xml:space="preserve">Schreiner, Thomas R.</w:t>
      </w:r>
      <w:r>
        <w:t xml:space="preserve"> </w:t>
      </w:r>
      <w:r>
        <w:rPr>
          <w:iCs/>
          <w:i/>
        </w:rPr>
        <w:t xml:space="preserve">The King in His Beauty: A Biblical Theology of the Old and New Testaments</w:t>
      </w:r>
      <w:r>
        <w:t xml:space="preserve">.</w:t>
      </w:r>
    </w:p>
    <w:p>
      <w:pPr>
        <w:numPr>
          <w:ilvl w:val="0"/>
          <w:numId w:val="1004"/>
        </w:numPr>
        <w:pStyle w:val="Compact"/>
      </w:pPr>
      <w:r>
        <w:t xml:space="preserve">Vos, Geerhardus.</w:t>
      </w:r>
      <w:r>
        <w:t xml:space="preserve"> </w:t>
      </w:r>
      <w:r>
        <w:rPr>
          <w:iCs/>
          <w:i/>
        </w:rPr>
        <w:t xml:space="preserve">Biblical Theology: Old and New Testaments</w:t>
      </w:r>
      <w:r>
        <w:t xml:space="preserve">.</w:t>
      </w:r>
    </w:p>
    <w:p>
      <w:pPr>
        <w:numPr>
          <w:ilvl w:val="0"/>
          <w:numId w:val="1004"/>
        </w:numPr>
        <w:pStyle w:val="Compact"/>
      </w:pPr>
      <w:r>
        <w:t xml:space="preserve">Wright, Christopher J. H.</w:t>
      </w:r>
      <w:r>
        <w:t xml:space="preserve"> </w:t>
      </w:r>
      <w:r>
        <w:rPr>
          <w:iCs/>
          <w:i/>
        </w:rPr>
        <w:t xml:space="preserve">Deuteronomy</w:t>
      </w:r>
      <w:r>
        <w:t xml:space="preserve">.</w:t>
      </w:r>
    </w:p>
    <w:bookmarkEnd w:id="104"/>
    <w:bookmarkStart w:id="105" w:name="recommended-commentary-engagement"/>
    <w:p>
      <w:pPr>
        <w:pStyle w:val="Heading2"/>
      </w:pPr>
      <w:r>
        <w:t xml:space="preserve">Recommended Commentary Engagement</w:t>
      </w:r>
    </w:p>
    <w:p>
      <w:pPr>
        <w:numPr>
          <w:ilvl w:val="0"/>
          <w:numId w:val="1005"/>
        </w:numPr>
        <w:pStyle w:val="Compact"/>
      </w:pPr>
      <w:r>
        <w:t xml:space="preserve">Cole, R. Alan.</w:t>
      </w:r>
      <w:r>
        <w:t xml:space="preserve"> </w:t>
      </w:r>
      <w:r>
        <w:rPr>
          <w:iCs/>
          <w:i/>
        </w:rPr>
        <w:t xml:space="preserve">Exodus: An Introduction and Commentary</w:t>
      </w:r>
      <w:r>
        <w:t xml:space="preserve">.</w:t>
      </w:r>
    </w:p>
    <w:p>
      <w:pPr>
        <w:numPr>
          <w:ilvl w:val="0"/>
          <w:numId w:val="1005"/>
        </w:numPr>
        <w:pStyle w:val="Compact"/>
      </w:pPr>
      <w:r>
        <w:t xml:space="preserve">Wenham, Gordon J.</w:t>
      </w:r>
      <w:r>
        <w:t xml:space="preserve"> </w:t>
      </w:r>
      <w:r>
        <w:rPr>
          <w:iCs/>
          <w:i/>
        </w:rPr>
        <w:t xml:space="preserve">Numbers: An Introduction and Commentary</w:t>
      </w:r>
      <w:r>
        <w:t xml:space="preserve">.</w:t>
      </w:r>
    </w:p>
    <w:p>
      <w:pPr>
        <w:numPr>
          <w:ilvl w:val="0"/>
          <w:numId w:val="1005"/>
        </w:numPr>
        <w:pStyle w:val="Compact"/>
      </w:pPr>
      <w:r>
        <w:t xml:space="preserve">Block, Daniel I.</w:t>
      </w:r>
      <w:r>
        <w:t xml:space="preserve"> </w:t>
      </w:r>
      <w:r>
        <w:rPr>
          <w:iCs/>
          <w:i/>
        </w:rPr>
        <w:t xml:space="preserve">The Gospel According to Moses</w:t>
      </w:r>
      <w:r>
        <w:t xml:space="preserve">.</w:t>
      </w:r>
    </w:p>
    <w:p>
      <w:pPr>
        <w:numPr>
          <w:ilvl w:val="0"/>
          <w:numId w:val="1005"/>
        </w:numPr>
        <w:pStyle w:val="Compact"/>
      </w:pPr>
      <w:r>
        <w:t xml:space="preserve">France, R. T.</w:t>
      </w:r>
      <w:r>
        <w:t xml:space="preserve"> </w:t>
      </w:r>
      <w:r>
        <w:rPr>
          <w:iCs/>
          <w:i/>
        </w:rPr>
        <w:t xml:space="preserve">The Gospel of Matthew</w:t>
      </w:r>
      <w:r>
        <w:t xml:space="preserve">.</w:t>
      </w:r>
    </w:p>
    <w:p>
      <w:pPr>
        <w:numPr>
          <w:ilvl w:val="0"/>
          <w:numId w:val="1005"/>
        </w:numPr>
        <w:pStyle w:val="Compact"/>
      </w:pPr>
      <w:r>
        <w:t xml:space="preserve">Lane, William L.</w:t>
      </w:r>
      <w:r>
        <w:t xml:space="preserve"> </w:t>
      </w:r>
      <w:r>
        <w:rPr>
          <w:iCs/>
          <w:i/>
        </w:rPr>
        <w:t xml:space="preserve">Hebrews 1–8</w:t>
      </w:r>
      <w:r>
        <w:t xml:space="preserve">.</w:t>
      </w:r>
    </w:p>
    <w:p>
      <w:pPr>
        <w:numPr>
          <w:ilvl w:val="0"/>
          <w:numId w:val="1005"/>
        </w:numPr>
        <w:pStyle w:val="Compact"/>
      </w:pPr>
      <w:r>
        <w:t xml:space="preserve">Koester, Craig R.</w:t>
      </w:r>
      <w:r>
        <w:t xml:space="preserve"> </w:t>
      </w:r>
      <w:r>
        <w:rPr>
          <w:iCs/>
          <w:i/>
        </w:rPr>
        <w:t xml:space="preserve">Hebrews</w:t>
      </w:r>
      <w:r>
        <w:t xml:space="preserve">.</w:t>
      </w:r>
    </w:p>
    <w:p>
      <w:pPr>
        <w:numPr>
          <w:ilvl w:val="0"/>
          <w:numId w:val="1005"/>
        </w:numPr>
        <w:pStyle w:val="Compact"/>
      </w:pPr>
      <w:r>
        <w:t xml:space="preserve">Beale, G. K.</w:t>
      </w:r>
      <w:r>
        <w:t xml:space="preserve"> </w:t>
      </w:r>
      <w:r>
        <w:rPr>
          <w:iCs/>
          <w:i/>
        </w:rPr>
        <w:t xml:space="preserve">The Book of Revelation</w:t>
      </w:r>
      <w:r>
        <w:t xml:space="preserve">.</w:t>
      </w:r>
    </w:p>
    <w:bookmarkEnd w:id="105"/>
    <w:bookmarkEnd w:id="106"/>
    <w:sectPr w:rsidR="00435C62">
      <w:headerReference r:id="rId9" w:type="default"/>
      <w:footerReference r:id="rId10" w:type="default"/>
      <w:pgSz w:h="15840" w:w="12240"/>
      <w:pgMar w:bottom="1440" w:footer="708" w:gutter="0" w:header="708" w:left="1440" w:right="1440" w:top="144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2CC1" w14:textId="77777777" w:rsidR="00435C62" w:rsidRDefault="00DA0FB7">
    <w:pPr>
      <w:jc w:val="center"/>
    </w:pPr>
    <w:r>
      <w:rPr>
        <w:b w:val="0"/>
        <w:color w:val="5A5A5A"/>
        <w:sz w:val="18"/>
      </w:rPr>
      <w:t xml:space="preserve">Page </w:t>
    </w:r>
    <w:r>
      <w:rPr>
        <w:b w:val="0"/>
        <w:color w:val="5A5A5A"/>
        <w:sz w:val="18"/>
      </w:rPr>
      <w:fldChar w:fldCharType="begin"/>
      <w:instrText xml:space="preserve">PAGE</w:instrText>
      <w:fldChar w:fldCharType="separate"/>
      <w:t>1</w:t>
      <w:fldChar w:fldCharType="end"/>
    </w:r>
    <w:r>
      <w:rPr>
        <w:b w:val="0"/>
        <w:color w:val="5A5A5A"/>
        <w:sz w:val="18"/>
      </w:rPr>
      <w:t xml:space="preserve"> of </w:t>
    </w:r>
    <w:r>
      <w:rPr>
        <w:b w:val="0"/>
        <w:color w:val="5A5A5A"/>
        <w:sz w:val="18"/>
      </w:rPr>
      <w:fldChar w:fldCharType="begin"/>
      <w:instrText xml:space="preserve">NUMPAGES</w:instrText>
      <w:fldChar w:fldCharType="separate"/>
      <w:t>1</w: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C96A0" w14:textId="77777777" w:rsidR="00435C62" w:rsidRDefault="00DA0FB7">
    <w:pPr>
      <w:jc w:val="center"/>
    </w:pPr>
    <w:r>
      <w:rPr>
        <w:b w:val="0"/>
        <w:color w:val="5A5A5A"/>
        <w:sz w:val="18"/>
      </w:rPr>
      <w:t>Wilderness Theology — Biblical-Theological Study</w:t>
    </w: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900493E"/>
    <w:multiLevelType w:val="hybridMultilevel"/>
    <w:tmpl w:val="0FD85242"/>
    <w:lvl w:ilvl="0" w:tplc="4642E90A">
      <w:start w:val="1"/>
      <w:numFmt w:val="bullet"/>
      <w:lvlText w:val="●"/>
      <w:lvlJc w:val="left"/>
      <w:pPr>
        <w:ind w:hanging="360" w:left="720"/>
      </w:pPr>
    </w:lvl>
    <w:lvl w:ilvl="1" w:tplc="C22EE7E2">
      <w:start w:val="1"/>
      <w:numFmt w:val="bullet"/>
      <w:lvlText w:val="○"/>
      <w:lvlJc w:val="left"/>
      <w:pPr>
        <w:ind w:hanging="360" w:left="1440"/>
      </w:pPr>
    </w:lvl>
    <w:lvl w:ilvl="2" w:tplc="52DAF5EE">
      <w:start w:val="1"/>
      <w:numFmt w:val="bullet"/>
      <w:lvlText w:val="■"/>
      <w:lvlJc w:val="left"/>
      <w:pPr>
        <w:ind w:hanging="360" w:left="2160"/>
      </w:pPr>
    </w:lvl>
    <w:lvl w:ilvl="3" w:tplc="34308A82">
      <w:start w:val="1"/>
      <w:numFmt w:val="bullet"/>
      <w:lvlText w:val="●"/>
      <w:lvlJc w:val="left"/>
      <w:pPr>
        <w:ind w:hanging="360" w:left="2880"/>
      </w:pPr>
    </w:lvl>
    <w:lvl w:ilvl="4" w:tplc="2F08CAD6">
      <w:start w:val="1"/>
      <w:numFmt w:val="bullet"/>
      <w:lvlText w:val="○"/>
      <w:lvlJc w:val="left"/>
      <w:pPr>
        <w:ind w:hanging="360" w:left="3600"/>
      </w:pPr>
    </w:lvl>
    <w:lvl w:ilvl="5" w:tplc="2EAC0598">
      <w:start w:val="1"/>
      <w:numFmt w:val="bullet"/>
      <w:lvlText w:val="■"/>
      <w:lvlJc w:val="left"/>
      <w:pPr>
        <w:ind w:hanging="360" w:left="4320"/>
      </w:pPr>
    </w:lvl>
    <w:lvl w:ilvl="6" w:tplc="07B85D42">
      <w:start w:val="1"/>
      <w:numFmt w:val="bullet"/>
      <w:lvlText w:val="●"/>
      <w:lvlJc w:val="left"/>
      <w:pPr>
        <w:ind w:hanging="360" w:left="5040"/>
      </w:pPr>
    </w:lvl>
    <w:lvl w:ilvl="7" w:tplc="143C9B38">
      <w:start w:val="1"/>
      <w:numFmt w:val="bullet"/>
      <w:lvlText w:val="●"/>
      <w:lvlJc w:val="left"/>
      <w:pPr>
        <w:ind w:hanging="360" w:left="5760"/>
      </w:pPr>
    </w:lvl>
    <w:lvl w:ilvl="8" w:tplc="35E28D48">
      <w:start w:val="1"/>
      <w:numFmt w:val="bullet"/>
      <w:lvlText w:val="●"/>
      <w:lvlJc w:val="left"/>
      <w:pPr>
        <w:ind w:hanging="360" w:left="6480"/>
      </w:pPr>
    </w:lvl>
  </w:abstractNum>
  <w:abstractNum w15:restartNumberingAfterBreak="0" w:abstractNumId="1">
    <w:nsid w:val="584C3437"/>
    <w:multiLevelType w:val="hybridMultilevel"/>
    <w:tmpl w:val="D1CC3DC2"/>
    <w:lvl w:ilvl="0" w:tplc="C7045D46">
      <w:start w:val="1"/>
      <w:numFmt w:val="bullet"/>
      <w:lvlText w:val="•"/>
      <w:lvlJc w:val="left"/>
      <w:pPr>
        <w:ind w:hanging="360" w:left="720"/>
      </w:pPr>
    </w:lvl>
    <w:lvl w:ilvl="1" w:tplc="BFD25C1E">
      <w:numFmt w:val="decimal"/>
      <w:lvlText w:val=""/>
      <w:lvlJc w:val="left"/>
    </w:lvl>
    <w:lvl w:ilvl="2" w:tplc="68AA9CB8">
      <w:numFmt w:val="decimal"/>
      <w:lvlText w:val=""/>
      <w:lvlJc w:val="left"/>
    </w:lvl>
    <w:lvl w:ilvl="3" w:tplc="C004E058">
      <w:numFmt w:val="decimal"/>
      <w:lvlText w:val=""/>
      <w:lvlJc w:val="left"/>
    </w:lvl>
    <w:lvl w:ilvl="4" w:tplc="22A094D4">
      <w:numFmt w:val="decimal"/>
      <w:lvlText w:val=""/>
      <w:lvlJc w:val="left"/>
    </w:lvl>
    <w:lvl w:ilvl="5" w:tplc="F9446BF4">
      <w:numFmt w:val="decimal"/>
      <w:lvlText w:val=""/>
      <w:lvlJc w:val="left"/>
    </w:lvl>
    <w:lvl w:ilvl="6" w:tplc="FEE09524">
      <w:numFmt w:val="decimal"/>
      <w:lvlText w:val=""/>
      <w:lvlJc w:val="left"/>
    </w:lvl>
    <w:lvl w:ilvl="7" w:tplc="F06021A0">
      <w:numFmt w:val="decimal"/>
      <w:lvlText w:val=""/>
      <w:lvlJc w:val="left"/>
    </w:lvl>
    <w:lvl w:ilvl="8" w:tplc="664CD4A4">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16cid:durableId="21056409" w:numId="1">
    <w:abstractNumId w:val="0"/>
    <w:lvlOverride w:ilvl="0">
      <w:startOverride w:val="1"/>
    </w:lvlOverride>
  </w:num>
  <w:num w16cid:durableId="255097156" w:numId="2">
    <w:abstractNumId w:val="1"/>
    <w:lvlOverride w:ilvl="0">
      <w:startOverride w:val="1"/>
    </w:lvlOverride>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savePreviewPicture/>
  <w:rsids>
  </w:rsids>
  <w:clrSchemeMapping w:accent1="accent1" w:accent2="accent2" w:accent3="accent3" w:accent4="accent4" w:accent5="accent5" w:accent6="accent6" w:bg1="light1" w:bg2="light2" w:followedHyperlink="followedHyperlink" w:hyperlink="hyperlink" w:t1="dark1" w:t2="dark2"/>
  <w:zoom w:percent="100"/>
  <w:proofState w:grammar="clean"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cs="Calibri" w:eastAsia="Calibri" w:hAnsi="Calibri"/>
        <w:color w:val="1A1A1A"/>
        <w:sz w:val="22"/>
        <w:szCs w:val="22"/>
        <w:lang w:bidi="ar-SA" w:eastAsia="en-US" w:val="en-US"/>
      </w:rPr>
    </w:rPrDefault>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style>
  <w:style w:styleId="Heading1" w:type="paragraph">
    <w:name w:val="heading 1"/>
    <w:uiPriority w:val="9"/>
    <w:qFormat/>
    <w:pPr>
      <w:spacing w:after="160" w:before="480"/>
      <w:outlineLvl w:val="0"/>
    </w:pPr>
    <w:rPr>
      <w:b/>
      <w:bCs/>
      <w:color w:val="1B3A5C"/>
      <w:sz w:val="36"/>
      <w:szCs w:val="36"/>
    </w:rPr>
  </w:style>
  <w:style w:styleId="Heading2" w:type="paragraph">
    <w:name w:val="heading 2"/>
    <w:uiPriority w:val="9"/>
    <w:unhideWhenUsed/>
    <w:qFormat/>
    <w:pPr>
      <w:spacing w:after="120" w:before="320"/>
      <w:outlineLvl w:val="1"/>
    </w:pPr>
    <w:rPr>
      <w:b/>
      <w:bCs/>
      <w:color w:val="1B3A5C"/>
      <w:sz w:val="28"/>
      <w:szCs w:val="28"/>
    </w:rPr>
  </w:style>
  <w:style w:styleId="Heading3" w:type="paragraph">
    <w:name w:val="heading 3"/>
    <w:uiPriority w:val="9"/>
    <w:unhideWhenUsed/>
    <w:qFormat/>
    <w:pPr>
      <w:spacing w:after="80" w:before="240"/>
      <w:outlineLvl w:val="2"/>
    </w:pPr>
    <w:rPr>
      <w:b/>
      <w:bCs/>
      <w:color w:val="B8860B"/>
      <w:sz w:val="24"/>
      <w:szCs w:val="24"/>
    </w:rPr>
  </w:style>
  <w:style w:styleId="Heading4" w:type="paragraph">
    <w:name w:val="heading 4"/>
    <w:uiPriority w:val="9"/>
    <w:semiHidden/>
    <w:unhideWhenUsed/>
    <w:qFormat/>
    <w:pPr>
      <w:outlineLvl w:val="3"/>
    </w:pPr>
    <w:rPr>
      <w:i/>
      <w:iCs/>
      <w:color w:val="2E74B5"/>
    </w:rPr>
  </w:style>
  <w:style w:styleId="Heading5" w:type="paragraph">
    <w:name w:val="heading 5"/>
    <w:uiPriority w:val="9"/>
    <w:semiHidden/>
    <w:unhideWhenUsed/>
    <w:qFormat/>
    <w:pPr>
      <w:outlineLvl w:val="4"/>
    </w:pPr>
    <w:rPr>
      <w:color w:val="2E74B5"/>
    </w:rPr>
  </w:style>
  <w:style w:styleId="Heading6" w:type="paragraph">
    <w:name w:val="heading 6"/>
    <w:uiPriority w:val="9"/>
    <w:semiHidden/>
    <w:unhideWhenUsed/>
    <w:qFormat/>
    <w:pPr>
      <w:outlineLvl w:val="5"/>
    </w:pPr>
    <w:rPr>
      <w:color w:val="1F4D78"/>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Title" w:type="paragraph">
    <w:name w:val="Title"/>
    <w:uiPriority w:val="10"/>
    <w:qFormat/>
    <w:rPr>
      <w:sz w:val="56"/>
      <w:szCs w:val="56"/>
    </w:rPr>
  </w:style>
  <w:style w:customStyle="1" w:styleId="Strong1" w:type="paragraph">
    <w:name w:val="Strong1"/>
    <w:qFormat/>
    <w:rPr>
      <w:b/>
      <w:bCs/>
    </w:rPr>
  </w:style>
  <w:style w:styleId="ListParagraph" w:type="paragraph">
    <w:name w:val="List Paragraph"/>
    <w:qFormat/>
  </w:style>
  <w:style w:styleId="Hyperlink" w:type="character">
    <w:name w:val="Hyperlink"/>
    <w:uiPriority w:val="99"/>
    <w:unhideWhenUsed/>
    <w:rPr>
      <w:color w:val="0563C1"/>
      <w:u w:val="single"/>
    </w:rPr>
  </w:style>
  <w:style w:styleId="FootnoteReference" w:type="character">
    <w:name w:val="footnote reference"/>
    <w:uiPriority w:val="99"/>
    <w:semiHidden/>
    <w:unhideWhenUsed/>
    <w:rPr>
      <w:vertAlign w:val="superscript"/>
    </w:rPr>
  </w:style>
  <w:style w:styleId="FootnoteText" w:type="paragraph">
    <w:name w:val="footnote text"/>
    <w:link w:val="FootnoteTextChar"/>
    <w:uiPriority w:val="99"/>
    <w:semiHidden/>
    <w:unhideWhenUsed/>
    <w:rPr>
      <w:sz w:val="20"/>
      <w:szCs w:val="20"/>
    </w:rPr>
  </w:style>
  <w:style w:customStyle="1" w:styleId="FootnoteTextChar" w:type="character">
    <w:name w:val="Footnote Text Char"/>
    <w:link w:val="FootnoteText"/>
    <w:uiPriority w:val="99"/>
    <w:semiHidden/>
    <w:unhideWhenUsed/>
    <w:rPr>
      <w:sz w:val="20"/>
      <w:szCs w:val="20"/>
    </w:rPr>
  </w:style>
  <w:style w:styleId="EndnoteReference" w:type="character">
    <w:name w:val="endnote reference"/>
    <w:uiPriority w:val="99"/>
    <w:semiHidden/>
    <w:unhideWhenUsed/>
    <w:rPr>
      <w:vertAlign w:val="superscript"/>
    </w:rPr>
  </w:style>
  <w:style w:styleId="EndnoteText" w:type="paragraph">
    <w:name w:val="endnote text"/>
    <w:link w:val="EndnoteTextChar"/>
    <w:uiPriority w:val="99"/>
    <w:semiHidden/>
    <w:unhideWhenUsed/>
    <w:rPr>
      <w:sz w:val="20"/>
      <w:szCs w:val="20"/>
    </w:rPr>
  </w:style>
  <w:style w:customStyle="1" w:styleId="EndnoteTextChar" w:type="character">
    <w:name w:val="Endnote Text Char"/>
    <w:link w:val="EndnoteText"/>
    <w:uiPriority w:val="99"/>
    <w:semiHidden/>
    <w:unhideWhenUsed/>
    <w:rPr>
      <w:sz w:val="20"/>
      <w:szCs w:val="20"/>
    </w:rPr>
  </w:style>
  <w:style w:styleId="TOC1" w:type="paragraph">
    <w:name w:val="toc 1"/>
    <w:basedOn w:val="Normal"/>
    <w:next w:val="Normal"/>
    <w:autoRedefine/>
    <w:uiPriority w:val="39"/>
    <w:unhideWhenUsed/>
    <w:rsid w:val="004B5F3A"/>
    <w:pPr>
      <w:spacing w:after="100"/>
    </w:pPr>
  </w:style>
  <w:style w:styleId="TOC2" w:type="paragraph">
    <w:name w:val="toc 2"/>
    <w:basedOn w:val="Normal"/>
    <w:next w:val="Normal"/>
    <w:autoRedefine/>
    <w:uiPriority w:val="39"/>
    <w:unhideWhenUsed/>
    <w:rsid w:val="004B5F3A"/>
    <w:pPr>
      <w:spacing w:after="100"/>
      <w:ind w:left="220"/>
    </w:pPr>
  </w:style>
  <w:style w:styleId="TOC3" w:type="paragraph">
    <w:name w:val="toc 3"/>
    <w:basedOn w:val="Normal"/>
    <w:next w:val="Normal"/>
    <w:autoRedefine/>
    <w:uiPriority w:val="39"/>
    <w:unhideWhenUsed/>
    <w:rsid w:val="004B5F3A"/>
    <w:pPr>
      <w:spacing w:after="100"/>
      <w:ind w:left="440"/>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26</Pages>
  <Words>10304</Words>
  <Characters>53298</Characters>
  <Application>Microsoft Office Word</Application>
  <DocSecurity>0</DocSecurity>
  <Lines>978</Lines>
  <Paragraphs>487</Paragraphs>
  <ScaleCrop>false</ScaleCrop>
  <Company/>
  <LinksUpToDate>false</LinksUpToDate>
  <CharactersWithSpaces>63427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Wilderness Theology: An Exhaustive Biblical-Theological Study</dc:title>
  <dc:creator/>
  <cp:keywords>Bible study, wilderness theology, Exodus, Israel, Elijah, John the Baptist, temptation of Christ, pilgrimage</cp:keywords>
  <dcterms:created xsi:type="dcterms:W3CDTF">2026-09-08T17:18:05Z</dcterms:created>
  <dcterms:modified xsi:type="dcterms:W3CDTF">2026-09-08T17:18:05Z</dcterms:modified>
  <dc:subject>Testing, dependence, judgment, provision, Israel, Elijah, John the Baptist, Christ, and the church's pilgrimage</dc:subject>
</cp:coreProperties>
</file>

<file path=docProps/custom.xml><?xml version="1.0" encoding="utf-8"?>
<Properties xmlns="http://schemas.openxmlformats.org/officeDocument/2006/custom-properties" xmlns:vt="http://schemas.openxmlformats.org/officeDocument/2006/docPropsVTypes"/>
</file>